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auto"/>
          <w:spacing w:val="0"/>
          <w:kern w:val="0"/>
          <w:sz w:val="40"/>
          <w:szCs w:val="40"/>
          <w:lang w:val="en-US" w:eastAsia="zh-CN" w:bidi="ar"/>
        </w:rPr>
      </w:pPr>
      <w:r>
        <w:rPr>
          <w:rFonts w:hint="eastAsia" w:ascii="方正小标宋简体" w:hAnsi="方正小标宋简体" w:eastAsia="方正小标宋简体" w:cs="方正小标宋简体"/>
          <w:i w:val="0"/>
          <w:iCs w:val="0"/>
          <w:caps w:val="0"/>
          <w:color w:val="auto"/>
          <w:spacing w:val="0"/>
          <w:kern w:val="0"/>
          <w:sz w:val="40"/>
          <w:szCs w:val="40"/>
          <w:lang w:val="en-US" w:eastAsia="zh-CN" w:bidi="ar"/>
        </w:rPr>
        <w:t>岳阳县政协2021年度部门整体支出绩效评价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auto"/>
          <w:spacing w:val="0"/>
          <w:sz w:val="40"/>
          <w:szCs w:val="40"/>
        </w:rPr>
      </w:pPr>
      <w:r>
        <w:rPr>
          <w:rFonts w:hint="eastAsia" w:ascii="方正小标宋简体" w:hAnsi="方正小标宋简体" w:eastAsia="方正小标宋简体" w:cs="方正小标宋简体"/>
          <w:i w:val="0"/>
          <w:iCs w:val="0"/>
          <w:caps w:val="0"/>
          <w:color w:val="auto"/>
          <w:spacing w:val="0"/>
          <w:kern w:val="0"/>
          <w:sz w:val="40"/>
          <w:szCs w:val="40"/>
          <w:lang w:val="en-US" w:eastAsia="zh-CN" w:bidi="ar"/>
        </w:rPr>
        <w:t>自评报告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部门(单位)名称：           岳阳县政协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预 算 编 码：            YYX005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评价方式：部门（单位）评价组</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报告日期：2022年07月12日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岳阳县财政局（制）</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1143"/>
        <w:gridCol w:w="146"/>
        <w:gridCol w:w="29"/>
        <w:gridCol w:w="944"/>
        <w:gridCol w:w="195"/>
        <w:gridCol w:w="925"/>
        <w:gridCol w:w="265"/>
        <w:gridCol w:w="679"/>
        <w:gridCol w:w="1179"/>
        <w:gridCol w:w="154"/>
        <w:gridCol w:w="133"/>
        <w:gridCol w:w="184"/>
        <w:gridCol w:w="987"/>
        <w:gridCol w:w="269"/>
        <w:gridCol w:w="158"/>
        <w:gridCol w:w="332"/>
        <w:gridCol w:w="59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一、部门（单位）基本概况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联系人</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周向鹏</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联络电话</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0730-7635002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人员编制</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30</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实有人数</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职能职责概述</w:t>
            </w:r>
          </w:p>
        </w:tc>
        <w:tc>
          <w:tcPr>
            <w:tcW w:w="8145" w:type="dxa"/>
            <w:gridSpan w:val="1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负责县政协全体会议、常务委员会议、主席会议、联络办（组）会议的会务工作，负责上述会议所形成的决议、决定、建议案的组织实施。协调县政协各专门委员会的工作，充分发挥县政协委员的作用，履行好政治协商、民主监督、参政议政的基本职责。负责县政协委员进行视察、考察、参观、调查、座谈、学习、研讨等日常活动的组织服务及对外宣传工作；围绕全县大政方针，组织专题调查，课题研究，为县委、政府决策建言献策，当好参谋。做好统一战线和人民政协的理论研究工作。联系各民主党派、工商联、人民团体和无党派人士。做好政协自身建设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年度主要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工作内容</w:t>
            </w:r>
          </w:p>
        </w:tc>
        <w:tc>
          <w:tcPr>
            <w:tcW w:w="8145" w:type="dxa"/>
            <w:gridSpan w:val="1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任务1：扎实开展党史教育，不断筑牢共同思想基础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任务2：积极履行三大职能，全力助推经济社会发展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任务3：精心谋划严密组织，圆满完成换届工作任务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年度部门（单位）总体运行情况及取得的成绩</w:t>
            </w:r>
          </w:p>
        </w:tc>
        <w:tc>
          <w:tcPr>
            <w:tcW w:w="8145" w:type="dxa"/>
            <w:gridSpan w:val="1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积极开展调研活动。围绕“四区”建设和人民群众反映强烈的“急难愁盼”问题，我们组织开展了《对接主城区，融入大岳阳，加快省域副中心城市融合区建设》《打造良好发展环境，推进“五好”园区建设》《坚守医保为民底线，提升患者保障水平》等14次调研活动，形成了14篇高质量的调研报告和建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助推产业发展。为助推我县油茶产业健康发展，助力乡村振兴，换届结束后我们组织政协常委对全县油茶产业，开展了视察协商。随后由卫兵副主席带队，组织提案委、农业农村委及相关单位负责同志，深入平江、常宁等地考察学习，深度调研，形成县委政府建议案，让油茶产业在全县形成完整的产业链，全力助推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夯实基层基础。2021年改革取消了乡镇政协联络办，我们按省市政协《关于进一步加快委员工作室建设的通知》的文件精神，截止目前我县共建设委员工作室16个，政协云线上委员工作室16个，红色书屋16个，有效的整合了委员资源，全面提升了委员的履职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全面完成编志工作。《岳阳县政协志（1983-2020）》编纂工作，共13章63万余字，2021年7月已出版成书。该志以事实为依据，年经事纬、纵排横述，记载了我县政协成立、发展和壮大的光辉历程，对我县政协工作承前启后、存史资政具有重要指导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5.扎实推进“智慧政协”建设。按三年计划，截止2021年12月我县该项目已圆满完成，实现了上连省政协，下达委员工作室，外接“政协云”，全面提升了委员履职数字化水平，进入全市先进行列。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二、部门（单位）收支情况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年度收入情况（万元）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收入合计</w:t>
            </w:r>
          </w:p>
        </w:tc>
        <w:tc>
          <w:tcPr>
            <w:tcW w:w="7020" w:type="dxa"/>
            <w:gridSpan w:val="1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上年结转</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公共财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政拨款</w:t>
            </w:r>
          </w:p>
        </w:tc>
        <w:tc>
          <w:tcPr>
            <w:tcW w:w="16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政府基金拨款</w:t>
            </w:r>
          </w:p>
        </w:tc>
        <w:tc>
          <w:tcPr>
            <w:tcW w:w="18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纳入专户管理的非税收入拨款</w:t>
            </w:r>
          </w:p>
        </w:tc>
        <w:tc>
          <w:tcPr>
            <w:tcW w:w="108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收入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981.66</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181.27</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800.39</w:t>
            </w:r>
          </w:p>
        </w:tc>
        <w:tc>
          <w:tcPr>
            <w:tcW w:w="16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8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1、局机关</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981.66</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181.27</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800.39</w:t>
            </w:r>
          </w:p>
        </w:tc>
        <w:tc>
          <w:tcPr>
            <w:tcW w:w="16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8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2、二级机构1</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6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8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3、二级机构2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695"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8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部门（单位）年度支出和结余情况（万元）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支出合计</w:t>
            </w:r>
          </w:p>
        </w:tc>
        <w:tc>
          <w:tcPr>
            <w:tcW w:w="5670"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其中：</w:t>
            </w:r>
          </w:p>
        </w:tc>
        <w:tc>
          <w:tcPr>
            <w:tcW w:w="1335"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5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基本支出</w:t>
            </w:r>
          </w:p>
        </w:tc>
        <w:tc>
          <w:tcPr>
            <w:tcW w:w="324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其中：</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项目支出</w:t>
            </w:r>
          </w:p>
        </w:tc>
        <w:tc>
          <w:tcPr>
            <w:tcW w:w="7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当年结余</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累计结余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5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人员支出</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公用支出</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7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978.34</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665.14</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444.18</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220.96</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313.20</w:t>
            </w:r>
          </w:p>
        </w:tc>
        <w:tc>
          <w:tcPr>
            <w:tcW w:w="7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-177.95</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3.32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1、局机关</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978.34</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665.14</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444.18</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220.96</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313.20</w:t>
            </w:r>
          </w:p>
        </w:tc>
        <w:tc>
          <w:tcPr>
            <w:tcW w:w="7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-177.95</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3.32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2、二级机构1</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7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3、二级机构2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720"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合计</w:t>
            </w:r>
          </w:p>
        </w:tc>
        <w:tc>
          <w:tcPr>
            <w:tcW w:w="7020" w:type="dxa"/>
            <w:gridSpan w:val="1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公务接待费</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公务用车运维费</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公务用车购置费</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因公出国费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2.29</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2.29</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1、局机关</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2.29</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2.29</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2、二级机构1</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3、二级机构2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3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08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16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41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机构名称</w:t>
            </w:r>
          </w:p>
        </w:tc>
        <w:tc>
          <w:tcPr>
            <w:tcW w:w="108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合计</w:t>
            </w:r>
          </w:p>
        </w:tc>
        <w:tc>
          <w:tcPr>
            <w:tcW w:w="6075" w:type="dxa"/>
            <w:gridSpan w:val="11"/>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其中：</w:t>
            </w:r>
          </w:p>
        </w:tc>
        <w:tc>
          <w:tcPr>
            <w:tcW w:w="93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24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在用固定资产</w:t>
            </w:r>
          </w:p>
        </w:tc>
        <w:tc>
          <w:tcPr>
            <w:tcW w:w="3630"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出租固定资产</w:t>
            </w:r>
          </w:p>
        </w:tc>
        <w:tc>
          <w:tcPr>
            <w:tcW w:w="93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局机关及二级机构汇总</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285.40</w:t>
            </w:r>
          </w:p>
        </w:tc>
        <w:tc>
          <w:tcPr>
            <w:tcW w:w="24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285.40</w:t>
            </w:r>
          </w:p>
        </w:tc>
        <w:tc>
          <w:tcPr>
            <w:tcW w:w="3630"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93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1、局机关</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285.40</w:t>
            </w:r>
          </w:p>
        </w:tc>
        <w:tc>
          <w:tcPr>
            <w:tcW w:w="24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285.40</w:t>
            </w:r>
          </w:p>
        </w:tc>
        <w:tc>
          <w:tcPr>
            <w:tcW w:w="3630"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93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2、二级机构1</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4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3630"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93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9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3、二级机构2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43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3630"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93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三、部门（单位）整体支出绩效自评情况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整体支出绩效定性目标及实施计划完成情况</w:t>
            </w:r>
          </w:p>
        </w:tc>
        <w:tc>
          <w:tcPr>
            <w:tcW w:w="3765"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预期目标</w:t>
            </w:r>
          </w:p>
        </w:tc>
        <w:tc>
          <w:tcPr>
            <w:tcW w:w="4575"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实际完成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3765" w:type="dxa"/>
            <w:gridSpan w:val="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目标1：扎实开展党史教育，不断筑牢共同思想基础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目标2：积极履行三大职能，全力助推经济社会发展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目标3：精心谋划严密组织，圆满完成换届工作任务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4575" w:type="dxa"/>
            <w:gridSpan w:val="9"/>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1.扎实开展党史教育，不断筑牢共同思想基础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一是对标对表，主动推进。二是把准方向，彰显特色。三是创新方法，丰富载体。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2.积极履行三大职能，全力助推经济社会发展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一是积极开展调研活动。二是助推产业发展。三是夯实基层基础。四是全面完成编志工作。五是扎实推进“智慧政协”建设。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3.精心谋划严密组织，圆满完成换届工作任务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一是深入基层全员大走访。二是全面总结五年工作。三是做好委员人事安排。四是切实做好会务保障。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整体支出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绩效定量目标及实施计划完成情况</w:t>
            </w:r>
          </w:p>
        </w:tc>
        <w:tc>
          <w:tcPr>
            <w:tcW w:w="29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评价内容</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绩效目标</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产出目标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（部门工作实绩，包含上级部门和市委市政府布置的重点工作、实事任务等，根据部门实际进行调整细化）</w:t>
            </w:r>
          </w:p>
        </w:tc>
        <w:tc>
          <w:tcPr>
            <w:tcW w:w="141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质量指标</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指标1：委员提案回复率100%</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办理提案回复率为100%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指标2：全面完成编志工作。</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岳阳县政协（1983-2020）》编纂工作，共13章63万余字，2021年7月已出版成书。该志以事实为依据，年经事纬、纵排横述，记载了我县政协成立、发展和壮大的光辉历程，对我县政协工作承前启后、存史资政具有重要指导意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数量指标</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指标1：财政供养人员控制率100%</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编制内在职人员控制率小于100%；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指标2：“三公经费”变动率≤0</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三公经费变动率小于0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指标3：专题调研3次</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围绕“四区”建设和人民群众反映强烈的“急难愁盼”问题，我们组织开展了《对接主城区，融入大岳阳，加快省域副中心城市融合区建设》《打造良好发展环境，推进“五好”园区建设》《坚守医保为民底线，提升患者保障水平》等14次调研活动，形成了14篇高质量的调研报告和建议材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时效指标</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指标1：夯实基层基础</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共建设委员工作室16个，政协云线上委员工作室16个，红色书屋16个，有效的整合了委员资源，全面提升了委员的履职效能。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成本指标</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eastAsiaTheme="minorEastAsia"/>
                <w:lang w:eastAsia="zh-CN"/>
              </w:rPr>
            </w:pPr>
            <w:r>
              <w:rPr>
                <w:rFonts w:hint="eastAsia"/>
                <w:lang w:eastAsia="zh-CN"/>
              </w:rPr>
              <w:t>全年财政整体支出</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rPr>
                <w:rFonts w:hint="eastAsia" w:eastAsiaTheme="minorEastAsia"/>
                <w:lang w:eastAsia="zh-CN"/>
              </w:rPr>
            </w:pPr>
            <w:r>
              <w:t>981.66</w:t>
            </w:r>
            <w:r>
              <w:rPr>
                <w:rFonts w:hint="eastAsia"/>
                <w:lang w:eastAsia="zh-CN"/>
              </w:rPr>
              <w:t>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效益目标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（预期实现的效益）</w:t>
            </w:r>
          </w:p>
        </w:tc>
        <w:tc>
          <w:tcPr>
            <w:tcW w:w="14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社会效益</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指标1：扎实推进“智慧政协”建设</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按三年计划，截止2021年底我县该项目已圆满完成，实现了上连省政协，下达委员工作室，外接“政协云”，全面提升了委员履职数字化水平，进入全市先进行列。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经济效益</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指标1：在预算执行方面，全年支出总额要控制在预算总额以内</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本年预算配置控制较好，制度执行总体较为有效。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生态效益</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指标1：助推产业发展</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为助推我县油茶产业健康发展，助力乡村振兴，组织政协常委对全县油茶产业，开展了视察协商。由卫兵副主席带队，组织提案委、农业农村委及相关单位负责同志，深入平江、常宁等地考察学习，深度调研，形成县委政府建议案，让油茶产业在全县形成完整的产业链，全力助推乡村振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44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545"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41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社会公众或服务对象满意度</w:t>
            </w:r>
          </w:p>
        </w:tc>
        <w:tc>
          <w:tcPr>
            <w:tcW w:w="2700" w:type="dxa"/>
            <w:gridSpan w:val="4"/>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指标1：社会公众或服务对象满意度95%以上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2670"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社会公众或服务对象满意度98%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298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绩效自评综合得分</w:t>
            </w:r>
          </w:p>
        </w:tc>
        <w:tc>
          <w:tcPr>
            <w:tcW w:w="6810" w:type="dxa"/>
            <w:gridSpan w:val="1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99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2985" w:type="dxa"/>
            <w:gridSpan w:val="5"/>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评价等次</w:t>
            </w:r>
          </w:p>
        </w:tc>
        <w:tc>
          <w:tcPr>
            <w:tcW w:w="6810" w:type="dxa"/>
            <w:gridSpan w:val="1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优秀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四、评价人员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姓  名</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职务/职称</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单  位</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签  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毛世红</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党组成员、秘书长、办公室主任</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办公室</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庞玉红</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副主任</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社会法制和民族宗教委</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周成方</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副主任</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办公室</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650" w:type="dxa"/>
            <w:gridSpan w:val="2"/>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3555"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4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3105" w:type="dxa"/>
            <w:gridSpan w:val="8"/>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评价组组长（签字）：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795" w:type="dxa"/>
            <w:gridSpan w:val="17"/>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部门（单位）意见：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部门（单位）负责人（签章）：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填报人（签名）：周向鹏                           联系电话：7635002</w:t>
      </w:r>
    </w:p>
    <w:tbl>
      <w:tblPr>
        <w:tblStyle w:val="3"/>
        <w:tblW w:w="1209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1209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12015" w:type="dxa"/>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五、评价报告综述（文字部分）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一、部门（单位）概况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（一）部门（单位）基本情况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根据《中国人民政治协商会议章程》和县委、县政府《关于县直机构改革的实施意见》（岳县发[2002]4号）精神，政协岳阳县委员会的主要职能是政治协商、民主监督、参政议政。县政协办负责全会、主席会、常委会、主任（组长）会、机关工作的综合、协调、上传下达和服务；负责协调各专委会工作；负责机关退休干部的管理工作、计划生育工作；负责县定中心工作任务的接受、安排、协调、执行、总结；负责各种文字资料的撰写、汇编、印发、档案管理工作及报刊杂志的订发工作；负责机关后勤服务和财务工作。负责机关工会、妇联、共青团、老干、保密、宣传、纪检监察等机关日常管理工作。根据编委核定，政协机关由办公室、提案委员会、经济科技委员会、文化学习文化教育体育卫计委员会、法制群团人力资源环境委员会、联络工作委员会等6个正科级单位。2021年政协机关在职人员编制30人，实际30人，另有退休人员21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2021年政协办整体支出共计978.34万元，基本支出665.14万元，其中人员经费444.18万元，日常公用经费220.96万元；项目支出313.20万元。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二、部门（单位）整体支出管理及使用情况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2021年政协办基本支出共计665.14万元，主要用于人员支出444.18 万元，公用支出220.96万元，其中“三公”经费合计2.29万元，包括公务接待费2.29万元、公务用车及维护费0万元、因公出国（境）费用0万元。项目支出313.20万元，主要用于政协委员活动、调研和政协常委会议项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三、部门（单位）专项组织实施情况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（一）专项组织情况分析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按照绩效自评要求，机关组织成立了绩效评价工作小组，组织学习国家法律法规，制定了建立绩效管理制度。核查了2021年我办财政预算批复执行及部门整体支出情况，着重核查了“三公”经费及资产管理、内控制度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（二）专项管理情况分析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把专项资金预算编制、预算执行、绩效管理相结合。申请支出事项必须有预算指标，再履行预算支出审批手续，无预算指标或预算指标的事项应先履行预算追加调整程序，这样保证了项目资金的合理使用，同时定期采集绩效运行的信息，督促各部门按时完成预算执行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四、部门（单位）整体支出绩效情况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2021年，县政协办委班子在县委和县政协党组的正确领导下，在市政协各办委的具体指导下，紧紧围绕中心，服务大局，积极履职，主动作为，圆满完成了全年工作任务。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(一)经济性评价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2021年预算配置控制较好，财政供养人员控制在预算编制以内，编制内在职人员控制率小于100%；同时机关深入贯彻落实中央有关“厉行节约”的精神，严控行政成本，制订完善财务管理制度，加强了三公经费管理，三公经费预算总额较上年有所减少，三公经费变动率小于0。在预算执行方面，全年支出总额控制在预算总额以内，制度执行总体较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（二）效率性评价和社会公众满意度评价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1.扎实开展党史教育，不断筑牢共同思想基础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2021年，县政协机关把党史教育作为践行“两个维护”的生动实践，高度重视，精心部署，把准政协性质定位，找准学史发力重点，从“关键少数”到普通“绝大多数”，从广大政协委员到每一名机关干部，大家都积极投身党史学习活动中，不断筑牢了共同思想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对标对表，主动推进。我们第一时间传达学习并出台方案，组建工作专班，《实施方案》既确保了规定动作做到位，又结合政协实际创新工作举措，逐项明确任务内容、时间节点，层层落实工作责任，为机关党史学习教育把航定向。坚持以高站位、广视野、实态度认识和把握党史学习教育，真正从党史学习教育中汲取新动力、焕发新气象、展现新作为，做到学有所思、学有所悟、学有所得，推动政协各项工作提质增效，展现新时代人民政协的新作为。自活动开展以来，县政协机关共开展集中学习交流会6次，组织班子到红色教育基础学习3次，集中上党课4次，党员干部撰写心得体会文章60余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把准方向，彰显特色。我们把党史学习教育与政协工作实际紧密结合，与“主题党日”活动同步实施。在学史中强化统战定位，发挥人民政协代表性强、联系面广的优势，把党史学习教育延伸到政协各参加单位和界别委员。2021年3月30日，组织政协常委、乡镇政协联络办主任、县直界别组长和机关党员干部集中听取省政协统战系统党史学习教育《从党史看党的精神和中国道路》专题讲座。同时，向全县政协委员发出《学习党的辉煌史，同心共筑中国梦》倡议书，要求政协委员积极响应，踊跃参与，引导全体委员和各界人士从党的光辉历史中汲取精神力量，砥砺初心使命，增强履职动力，凝聚奋进共识，增强党对政协工作全面领导的政治自觉和行动自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创新方法，丰富载体。拍摄制作了《南方刘胡兰----蓝泽》视频，通过微视频等形式在政协云平台进行宣传。坚持把解决人民群众关心、关注、关切的“急难愁盼”问题作为“我为群众办实事”实践活动的重要内容，确定了办好“八件实亊”工作目标，结合“千户帮扶行动”“三进三助聚力行动”等活动，委员收集群众微建议47条，并进行了交办。把各类协商活动作为党史学习教育的重要实践载体，以建功“十四五”、奋进新征程为主线，结合年度政治协商和民主监督工作计划，启动了6个课题的专题调研和民主监督工作，把党史学习教育贯穿到政协工作各方面全过程，让党史学习教育“活”起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我们把党史教育与意识形态工作有机结合，在全体委员中开展了“学党史，讲红色故事”活动，先后有5位同志参与了讲红色故事，并在“政协云”平台进行了播放宣传。同时，我们通过“请进来”讲、“走出去”学、“座谈会”谈，多层次多轮次加强队伍的意识形态教育。注重委员意识形态方面的引导，把牢正确的舆论导向，使全体政协委员听党话，跟党走，感党恩的思潮得到进一步强化，委员们的共同思想基础得到进一步巩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2.积极履行三大职能，全力助推经济社会发展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年初，县政协机关根据县委县政府中心工作，认真研究并出台了《2021年政协工作要点》，把政协履职与全县大局工作有机结合，全面助推经济社会高质量发展。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积极开展调研活动。围绕“四区”建设和人民群众反映强烈的“急难愁盼”问题，我们组织开展了《对接主城区，融入大岳阳，加快省域副中心城市融合区建设》《打造良好发展环境，推进“五好”园区建设》《坚守医保为民底线，提升患者保障水平》等14次调研活动，形成了14篇高质量的调研报告和建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助推产业发展。为助推我县油茶产业健康发展，助力乡村振兴，换届结束后我们组织政协常委对全县油茶产业，开展了视察协商。随后由卫兵副主席带队，组织提案委、农业农村委及相关单位负责同志，深入平江、常宁等地考察学习，深度调研，形成县委政府建议案，让油茶产业在全县形成完整的产业链，全力助推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夯实基层基础。2021年改革取消了乡镇政协联络办，我们按省市政协《关于进一步加快委员工作室建设的通知》的文件精神，截止2021年12月我县共建设委员工作室16个，政协云线上委员工作室16个，红色书屋16个，有效的整合了委员资源，全面提升了委员的履职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全面完成编志工作。《岳阳县政协志（1983-2020）》编纂工作，共13章63万余字，2021年7月已出版成书。该志以事实为依据，年经事纬、纵排横述，记载了我县政协成立、发展和壮大的光辉历程，对我县政协工作承前启后、存史资政具有重要指导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（5）扎实推进“智慧政协”建设。按三年计划，截止2021年12月我县该项目已圆满完成，实现了上连省政协，下达委员工作室，外接“政协云”，全面提升了委员履职数字化水平，进入全市先进行列。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3.精心谋划严密组织，圆满完成换届工作任务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为圆满完成换届任务，根据县委统一部署，我们制订了可操性强的换届工作方案，明确任务，细化责任，做到有序推进。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深入基层全员大走访。为全面了解委员本届以来履职情况，以及对县委政府和下届政协工作的意见、建议，我们组织开展了机关专委下基层走访委员活动，与委员进行了零距离且坦诚的沟通，收集到委员提出的意见建议71条，并有效的整合到全会报告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全面总结五年工作。对十三届政协以来所做的工作，进行了全面系统的梳理提炼，在10月16日《湘声报》进行了报道。与县电视台制作了《五年风雨共济，一路凯歌同行》专题片，并在县电视台开辟《委员风采》栏目，对8名优秀委员的事迹拍摄并在全县宣传报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做好委员人事安排。政协换届委员人事安排，县委高度重视，我们坚持发扬民主、充分协商的原则，在名额分配、各方推荐、考察审查、人选公示、县委审定、协商通过等环节上严格按章程、按程序办事。新的一届政协委员构成比例符合要求，体现了人民政协的性质和组织原则。界别分布合理，充分体现了与时俱进的思想。代表性广泛，年龄结构进一步优化，知识层次和委员总体素质，体现了政协“人才荟萃”的特点。完全符合省、市文件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切实做好会务保障。县政协十四届一次会议规模大、要求高，会议筹备工作任务繁重，县委高度重视，县政协党组全力筹谋，做到了早动手、早准备，周密安排，精心组织。分工明确，责任到人，后勤保障、疫情防控、安保工作有条不条，全面确保了会议各项任务的完成，做到了零失误、零差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五、存在的主要问题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1.预算编制有待更完整、科学。支出预算与实际支出项目有的存在差异。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2.支出进度有点滞后，年终有结余。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3.存在一些临时性工作追加经费现象，预算编制的精确性有待进一步提高。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六、改进措施和有关建议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1.继续严格执行财务制度，合理安排经费支出，继续强化落实厉行节约精神，对经费使用从严控制，对资金运行要实行事前预测、事中控制、事后分析。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2.加快预算支出执行进度，做好本会计年度的支出应支尽支，不跨年度结账列支。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增强资金支出责任意识和绩效观念，提高财政资金的使用效益，与预算资金安排相结合，在预算额度内促进财政资金的合理分配与有效使用。另外，要加强资金的管理，注重支出的经济性、效益性，充分利用绩效评价结果，将结果作为改进预算管理和安排以后年度预算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4.财务工作人员的业务能力要与时俱进，不断加强学习，县财政局多组织业务方面的培训，包括“走出去”，到异地专业院校封闭培训,同时可去外地预算单位学习好的账务经验。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2022年07月12日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部门整体支出绩效评价评分表</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829"/>
        <w:gridCol w:w="762"/>
        <w:gridCol w:w="980"/>
        <w:gridCol w:w="3667"/>
        <w:gridCol w:w="475"/>
        <w:gridCol w:w="539"/>
        <w:gridCol w:w="106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一级指标</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二级指标</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三级指标</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评分标准</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分值</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自评得分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扣分原因和其他说明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投  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（15分）</w:t>
            </w:r>
          </w:p>
        </w:tc>
        <w:tc>
          <w:tcPr>
            <w:tcW w:w="9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预算配置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（15分）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财政供养人员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控制率</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以100%为标准。在职人员控制率≦100%，计5分；每超过一个百分点扣0.5分，扣完为止。</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人员编制数30人，在职人数30人，在职人员控制率≦100%，未超编，根据评分标准，得5分。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变动率</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“三公经费”变动率≦0,计5分；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“三公经费”＞0，每超过一个百分点扣0.5分，扣完为止。</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本年度三公经费 2.29万元，上年度三公经费2.97万元。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“三公经费”变动率=0.23（负数）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根据评分标准，得5分。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重点支出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安排率</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重点支出安排率≥90%，计5分；80%（含）-90%，计4分；70%（含）-80%，计3分；60%（含）-70%，计2分；低于60%不得分。</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重点支出足额安排</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过  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（40分）</w:t>
            </w:r>
          </w:p>
        </w:tc>
        <w:tc>
          <w:tcPr>
            <w:tcW w:w="9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预算执行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（15分）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预算调整率</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预算调整率=0，计3分；0-10%（含），计2分；10-20%（含），计1分；20-30%（含），计0.5分；大于30%不得分。</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预算无调整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支付进度</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春节前下达全部专项资金的50%；6月底前所有专项资金指标全部下达完。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每出现一个专项未按进度完成资金下达扣0.5分，扣完为止。</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按进度下达资金指标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资金结余</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无结余，3分；有结余，但不超过上年结转，2分；结余超过上年结转，不得分。</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有结余但没有超过上年结转</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控制率</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以100%为标准。三公经费控制率≦100%，计6分；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每超过一个百分点扣1分，扣完为止。</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6</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6</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三公经费预算数3.50万元，实际支出2.29万元，三公经费控制率100%，三公经费控制率≦100%，得6分。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预算管理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（15分）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健全性</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①已制定或具有预算资金管理办法，内部财务管理制度、会计核算制度等管理制度，1分；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②相关管理制度合法、合规、完整，1分；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③相关管理制度得到有效执行，1分。</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制定了《财务管理制度》、《小车管理制度》等相关制度，制度合法合规完整，执行有效。</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资金使用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合规性</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①支出符合国家财经法规和财务管理制度规定以及有关专项资金管理办法的规定；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②资金拨付有完整的审批程序和手续；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③项目支出按规定经过评估论证；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④支出符合部门预算批复的用途；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⑤资金使用无截留、挤占、挪用、虚列支出等情况。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以上情况每出现一例不符合要求的扣1分，扣完为止。</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预决算信息公开性和完善性</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①按规定内容公开预决算信息，1分；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②按规定时限公开预决算信息，0.5分；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③基础数据信息和会计信息资料真实，0.5分；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④基础数据信息和会计信息资料完整，0.5分；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⑤基础数据信息和汇集信息资料准确，0.5分。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政府采购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执行率</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政府采购执行率等于100%的，得3分；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每减少一个百分点，扣0.2分，扣完为止。</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公务卡刷卡率</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公务卡刷卡率达50％以上的，得3分。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每减少一个百分点，扣0.2分，扣完为止。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（10分）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健全性</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①已制定或具有资产管理制度，且相关资产管理制度合法、合规、完整，2分；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②相关资产管理制度得到有效执行，1分。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rPr>
        <w:t> </w:t>
      </w:r>
    </w:p>
    <w:tbl>
      <w:tblPr>
        <w:tblStyle w:val="3"/>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886"/>
        <w:gridCol w:w="826"/>
        <w:gridCol w:w="1167"/>
        <w:gridCol w:w="3344"/>
        <w:gridCol w:w="559"/>
        <w:gridCol w:w="609"/>
        <w:gridCol w:w="92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一级指标</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二级指标</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三级指标</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评分标准</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分值</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自评得分</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扣分原因和其他说明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过  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（40分）</w:t>
            </w:r>
          </w:p>
        </w:tc>
        <w:tc>
          <w:tcPr>
            <w:tcW w:w="9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（10分）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安全性</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①资产保存完整；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②资产配置合理；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③资产处置规范；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④资产账务管理合规，帐实相符；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⑤资产有偿使用及处置收入及时足额上缴；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以上情况每出现一例不符合有关要求的扣1分，扣完为止。</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利用率</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每低于100%一个百分点扣0.1分，扣完为止。</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3</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产  出（25分）</w:t>
            </w:r>
          </w:p>
        </w:tc>
        <w:tc>
          <w:tcPr>
            <w:tcW w:w="9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职责履行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（25分）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推进全面小康建设指标任务完成情况</w:t>
            </w:r>
          </w:p>
        </w:tc>
        <w:tc>
          <w:tcPr>
            <w:tcW w:w="417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根据岳县办发（2019年）1号《全面建成小康社会综合绩效考评实施方案》的通知折算</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建设湖南新增及目标任务完成情况</w:t>
            </w:r>
          </w:p>
        </w:tc>
        <w:tc>
          <w:tcPr>
            <w:tcW w:w="417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7</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7</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《政府工作报告》目标任务完成情况</w:t>
            </w:r>
          </w:p>
        </w:tc>
        <w:tc>
          <w:tcPr>
            <w:tcW w:w="417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省市县重点民生实事完成情况</w:t>
            </w:r>
          </w:p>
        </w:tc>
        <w:tc>
          <w:tcPr>
            <w:tcW w:w="417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省市县重点工程和重大项目建设完成情况</w:t>
            </w:r>
          </w:p>
        </w:tc>
        <w:tc>
          <w:tcPr>
            <w:tcW w:w="417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其他工作实绩指标完成情况</w:t>
            </w:r>
          </w:p>
        </w:tc>
        <w:tc>
          <w:tcPr>
            <w:tcW w:w="417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4</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效  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（20分）</w:t>
            </w:r>
          </w:p>
        </w:tc>
        <w:tc>
          <w:tcPr>
            <w:tcW w:w="93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履职效益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（20分）</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经济效益</w:t>
            </w:r>
          </w:p>
        </w:tc>
        <w:tc>
          <w:tcPr>
            <w:tcW w:w="4170"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615"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15</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社会效益</w:t>
            </w:r>
          </w:p>
        </w:tc>
        <w:tc>
          <w:tcPr>
            <w:tcW w:w="417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61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生态效益</w:t>
            </w:r>
          </w:p>
        </w:tc>
        <w:tc>
          <w:tcPr>
            <w:tcW w:w="417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61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75"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930"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sz w:val="24"/>
                <w:szCs w:val="24"/>
              </w:rPr>
            </w:pP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社会公众或服务对象满意度</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95%（含）以上计5分；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85%（含）-95%，计3分；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75%（含）-85%，计1分；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低于75%计0分。</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5</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社会公众满意度达到95%以上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9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总 分</w:t>
            </w:r>
          </w:p>
        </w:tc>
        <w:tc>
          <w:tcPr>
            <w:tcW w:w="93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13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417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c>
          <w:tcPr>
            <w:tcW w:w="61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100</w:t>
            </w:r>
          </w:p>
        </w:tc>
        <w:tc>
          <w:tcPr>
            <w:tcW w:w="72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99</w:t>
            </w:r>
          </w:p>
        </w:tc>
        <w:tc>
          <w:tcPr>
            <w:tcW w:w="108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QwZjU0NzA0NjY4Y2UyYTQ4YTUyMzc3NjRlOWEifQ=="/>
  </w:docVars>
  <w:rsids>
    <w:rsidRoot w:val="1DD9638C"/>
    <w:rsid w:val="1DD9638C"/>
    <w:rsid w:val="4DC6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8265</Words>
  <Characters>8794</Characters>
  <Lines>0</Lines>
  <Paragraphs>0</Paragraphs>
  <TotalTime>0</TotalTime>
  <ScaleCrop>false</ScaleCrop>
  <LinksUpToDate>false</LinksUpToDate>
  <CharactersWithSpaces>9155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2022-11-03T07:00:00Z</dcterms:created>
  <dc:creator>大鹏展翅</dc:creator>
  <cp:lastModifiedBy>大鹏展翅</cp:lastModifiedBy>
  <dcterms:modified xsi:type="dcterms:W3CDTF">2023-03-14T08:30:19Z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40863C358823476581AC40F2DD8E3D1D</vt:lpwstr>
  </property>
</Properties>
</file>