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color w:val="0485F4"/>
          <w:spacing w:val="0"/>
          <w:kern w:val="0"/>
          <w:sz w:val="60"/>
          <w:szCs w:val="60"/>
          <w:u w:val="none"/>
          <w:shd w:val="clear" w:fill="FFFFFF"/>
          <w:lang w:val="en-US" w:eastAsia="zh-CN" w:bidi="ar"/>
        </w:rPr>
        <w:t>2021年度岳阳县委组织部整体支出绩效评价自评报告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部门(单位)名称：         中共岳阳县委组织部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预 算 编 码：                  YYX164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评价方式：部门（单位）绩效自评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评价机构：部门（单位）评价组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报告日期：2022年5月15日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岳阳县财政局（制）</w:t>
      </w:r>
    </w:p>
    <w:tbl>
      <w:tblPr>
        <w:tblW w:w="998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49"/>
        <w:gridCol w:w="1449"/>
        <w:gridCol w:w="375"/>
        <w:gridCol w:w="90"/>
        <w:gridCol w:w="635"/>
        <w:gridCol w:w="744"/>
        <w:gridCol w:w="467"/>
        <w:gridCol w:w="229"/>
        <w:gridCol w:w="106"/>
        <w:gridCol w:w="507"/>
        <w:gridCol w:w="266"/>
        <w:gridCol w:w="81"/>
        <w:gridCol w:w="9"/>
        <w:gridCol w:w="571"/>
        <w:gridCol w:w="1120"/>
        <w:gridCol w:w="1180"/>
        <w:gridCol w:w="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一、部门（单位）基本概况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联系人</w:t>
            </w:r>
          </w:p>
        </w:tc>
        <w:tc>
          <w:tcPr>
            <w:tcW w:w="269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王隐</w:t>
            </w:r>
          </w:p>
        </w:tc>
        <w:tc>
          <w:tcPr>
            <w:tcW w:w="410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联络电话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07307621430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人员   编制</w:t>
            </w:r>
          </w:p>
        </w:tc>
        <w:tc>
          <w:tcPr>
            <w:tcW w:w="269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35</w:t>
            </w:r>
          </w:p>
        </w:tc>
        <w:tc>
          <w:tcPr>
            <w:tcW w:w="410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实有人数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职能职责概述</w:t>
            </w:r>
          </w:p>
        </w:tc>
        <w:tc>
          <w:tcPr>
            <w:tcW w:w="7978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负责对全县党的组织的管理，干部队伍管理和监督，制定或参与制定我县组织、干部、人事工作的重要政策和制度等。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年度主要工作内容</w:t>
            </w:r>
          </w:p>
        </w:tc>
        <w:tc>
          <w:tcPr>
            <w:tcW w:w="7978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任务1：深入学习贯彻习近平新时代中国特色社会主义思想。组织实施好主题学习教育，推进理论武装和党性教育。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任务2：扎实推进基层党组织和党员队伍建设。深入推进党支部“五化”建设，推进村（居）干部队伍“头雁”工程，严格党员教育管理，统筹推进各领域基层组织体系建设。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任务3：统筹推进各类人才队伍建设。深化人才机制创新，优化人才服务水平，强化紧缺人才引进。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任务4：全面加强组织部门自身建设。建设学习型、规范型、服务型机关。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年度部门（单位）总体运行情况及取得的成绩</w:t>
            </w:r>
          </w:p>
        </w:tc>
        <w:tc>
          <w:tcPr>
            <w:tcW w:w="7978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以“两学一做”学习教育、基层服务型党组织建设等工作为抓手，进一步夯实了党建工作基础；以党建网、远程教育等宣传平台，制作专题，拍摄纪录片，进行政策解答，宣传典型，树榜样；配优配强乡镇、县直领导班子，实行干部谈心谈话新机制，筑平台，聚人才，干部监督管理、干部学风建设取得新进展，干部工作全面加强；抓作风，重服务，组工部门自身建设取得新成绩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二、部门（单位）收支情况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年度收入情况（万元）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机构名称</w:t>
            </w:r>
          </w:p>
        </w:tc>
        <w:tc>
          <w:tcPr>
            <w:tcW w:w="1598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收入合计</w:t>
            </w:r>
          </w:p>
        </w:tc>
        <w:tc>
          <w:tcPr>
            <w:tcW w:w="638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其中：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上年结转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公共财政拨款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政府基金拨款</w:t>
            </w: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纳入专户管理的非税收入拨款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其他收入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部机关汇总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部门（单位）年度支出和结余情况（万元）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机构名称</w:t>
            </w:r>
          </w:p>
        </w:tc>
        <w:tc>
          <w:tcPr>
            <w:tcW w:w="1598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支出合计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其中：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结余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基本支出</w:t>
            </w:r>
          </w:p>
        </w:tc>
        <w:tc>
          <w:tcPr>
            <w:tcW w:w="240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其中：</w:t>
            </w:r>
          </w:p>
        </w:tc>
        <w:tc>
          <w:tcPr>
            <w:tcW w:w="170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项目支出</w:t>
            </w:r>
          </w:p>
        </w:tc>
        <w:tc>
          <w:tcPr>
            <w:tcW w:w="1180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人员支出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公用支出</w:t>
            </w:r>
          </w:p>
        </w:tc>
        <w:tc>
          <w:tcPr>
            <w:tcW w:w="170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部机关汇总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383.98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332.94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51.04</w:t>
            </w: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48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383.98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332.94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51.04</w:t>
            </w: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48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机构名称</w:t>
            </w:r>
          </w:p>
        </w:tc>
        <w:tc>
          <w:tcPr>
            <w:tcW w:w="1598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三公经费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638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其中：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公务接待费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公务用车运维费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公务用车购置费</w:t>
            </w: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因公出国费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会议费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部机关汇总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1.00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1.00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1.00</w:t>
            </w: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1.00</w:t>
            </w: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机构名称</w:t>
            </w:r>
          </w:p>
        </w:tc>
        <w:tc>
          <w:tcPr>
            <w:tcW w:w="1598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固定资产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其中：</w:t>
            </w:r>
          </w:p>
        </w:tc>
        <w:tc>
          <w:tcPr>
            <w:tcW w:w="11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在用固定资产</w:t>
            </w:r>
          </w:p>
        </w:tc>
        <w:tc>
          <w:tcPr>
            <w:tcW w:w="26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出租固定资产</w:t>
            </w:r>
          </w:p>
        </w:tc>
        <w:tc>
          <w:tcPr>
            <w:tcW w:w="11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部机关汇总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139</w:t>
            </w:r>
          </w:p>
        </w:tc>
        <w:tc>
          <w:tcPr>
            <w:tcW w:w="254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139</w:t>
            </w:r>
          </w:p>
        </w:tc>
        <w:tc>
          <w:tcPr>
            <w:tcW w:w="26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部机关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139</w:t>
            </w:r>
          </w:p>
        </w:tc>
        <w:tc>
          <w:tcPr>
            <w:tcW w:w="254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139</w:t>
            </w:r>
          </w:p>
        </w:tc>
        <w:tc>
          <w:tcPr>
            <w:tcW w:w="26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三、部门（单位）整体支出绩效自评情况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整体支出绩效定性目标及实施计划完成情况</w:t>
            </w:r>
          </w:p>
        </w:tc>
        <w:tc>
          <w:tcPr>
            <w:tcW w:w="269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预期目标</w:t>
            </w:r>
          </w:p>
        </w:tc>
        <w:tc>
          <w:tcPr>
            <w:tcW w:w="5280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实际完成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目标1：全年预算申请到位和下达数量在95%以上，三公经费变动率≤0。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目标2：量化考核、严格日常管理，加强领导班子和干部队伍建设；巩固群众路线教育实践活动成果，提升远教水平，加强基层党组织和党员队伍建设；持续深化组工干部“六为”精神，完善制度，改善基础设施，加强组工部门自身建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目标3：社会效益、可持续影响和社会公众满意度达到预期目标。</w:t>
            </w:r>
          </w:p>
        </w:tc>
        <w:tc>
          <w:tcPr>
            <w:tcW w:w="638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1、全年预算申请到位和下达数量在98%，三公经费比预算节约16%；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2、基层党组织建设、党员队伍清理整顿等工作稳步推进，群众路线教育实践活动进一步深化；领导班子和干部队伍建设有新举措，新进展；组工部门自身建设成效明显；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3、社会效益、可持续影响和社会公众满意度达到了预期目标。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整体支出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绩效定量目标及实施计划完成情况</w:t>
            </w:r>
          </w:p>
        </w:tc>
        <w:tc>
          <w:tcPr>
            <w:tcW w:w="19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评价内容</w:t>
            </w:r>
          </w:p>
        </w:tc>
        <w:tc>
          <w:tcPr>
            <w:tcW w:w="216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绩效内容</w:t>
            </w:r>
          </w:p>
        </w:tc>
        <w:tc>
          <w:tcPr>
            <w:tcW w:w="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绩效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目标值</w:t>
            </w:r>
          </w:p>
        </w:tc>
        <w:tc>
          <w:tcPr>
            <w:tcW w:w="288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完成情况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产出目标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（部门工作实绩，即绩效办制定的单位年度考核计分办法中考核的部门工作实绩内容）</w:t>
            </w:r>
          </w:p>
        </w:tc>
        <w:tc>
          <w:tcPr>
            <w:tcW w:w="3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质量指标</w:t>
            </w: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三公经费控制率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</w:t>
            </w: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政府采购执行率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</w:t>
            </w: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数量指标</w:t>
            </w: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财政供养人员控制率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</w:t>
            </w: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三公经费变动率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≤0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时效指标</w:t>
            </w: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专项资金到位率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成本指标</w:t>
            </w: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财政支出绩效目标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431.98万元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wAfter w:w="0" w:type="auto"/>
        </w:trPr>
        <w:tc>
          <w:tcPr>
            <w:tcW w:w="19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效益目标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（预期实现的效益）</w:t>
            </w:r>
          </w:p>
        </w:tc>
        <w:tc>
          <w:tcPr>
            <w:tcW w:w="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社会公众或服务对象满意度</w:t>
            </w:r>
          </w:p>
        </w:tc>
        <w:tc>
          <w:tcPr>
            <w:tcW w:w="31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社会公众满意度</w:t>
            </w:r>
          </w:p>
        </w:tc>
        <w:tc>
          <w:tcPr>
            <w:tcW w:w="5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95%以上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35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绩效自评综合得分</w:t>
            </w:r>
          </w:p>
        </w:tc>
        <w:tc>
          <w:tcPr>
            <w:tcW w:w="638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98.5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35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评价等次</w:t>
            </w:r>
          </w:p>
        </w:tc>
        <w:tc>
          <w:tcPr>
            <w:tcW w:w="6380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四、评价人员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姓  名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职务/职称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单  位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签  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龚克雄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县委组织部副部长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龚克雄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胡朋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县委组织部办公室主任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胡朋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王隐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县委组织部会计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王隐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李颜</w:t>
            </w:r>
          </w:p>
        </w:tc>
        <w:tc>
          <w:tcPr>
            <w:tcW w:w="159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组织部出纳</w:t>
            </w:r>
          </w:p>
        </w:tc>
        <w:tc>
          <w:tcPr>
            <w:tcW w:w="5200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</w:t>
            </w:r>
          </w:p>
        </w:tc>
        <w:tc>
          <w:tcPr>
            <w:tcW w:w="1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李颜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评价组组长（签字）：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年    月 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</w:trPr>
        <w:tc>
          <w:tcPr>
            <w:tcW w:w="9963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部门（单位）意见：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部门（单位）负责人（签字）：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年    月 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gridAfter w:val="1"/>
          <w:wAfter w:w="21" w:type="dxa"/>
          <w:trHeight w:val="0" w:hRule="atLeast"/>
        </w:trPr>
        <w:tc>
          <w:tcPr>
            <w:tcW w:w="19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3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5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287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" w:lineRule="atLeast"/>
        <w:ind w:left="0" w:right="0" w:firstLine="420"/>
        <w:jc w:val="both"/>
        <w:textAlignment w:val="center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填报人（签名）：王隐                      联系电话：7621430</w:t>
      </w:r>
    </w:p>
    <w:tbl>
      <w:tblPr>
        <w:tblW w:w="908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9353" w:hRule="atLeast"/>
        </w:trPr>
        <w:tc>
          <w:tcPr>
            <w:tcW w:w="9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五、评价报告综述（文字部分）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一、部门（单位）概况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（一）部门（单位）基本情况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县委组织部是财政全额拨款的行政事业单位。主要职责包括负责对全县党的组织的管理，干部队伍管理和监督，制定或参与制定我县组织、干部、人事工作的重要政策和制度等。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⑴机构情况：组织部设有办公室、党建办、干部办、机关工委、干部信息室、公务员管理办公室、干部监督室、研究室、非公有制经济组织和社会组织工作委员会办公室、县委基层党建工作领导小组办公室10个职能科室；有2个直属事业单位：①岳阳县党员干部现代远程教育管理中心；②岳阳县党群服务中心。⑵人员情况：组织部核定机关编制29名（包括行政编制27名、工勤编制2名），实有22名；核定事业编制8名，实有8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（二）部门（单位）整体支出规模、使用方向和主要内容、涉及范围等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2021年总支出431.98万，全部为公共财政拨款支出，其中：⑴基本支出383.98万，包括：①人员经费332.94万；②日常公用经费51.04万；⑵行政事业类项目支出48万。2021年年末无结余。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二、部门（单位）整体支出管理及使用情况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（一）基本支出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2021年决算基本支出383.98万，其中：⑴工资福利支出332.94万；⑵一般商品和服务支出51.04万。“三公”经费支出情况：⑴公务接待费。2021年决算公务接待费1.00万元。⑵公务用车费。2017年2月已将公车统一上交给公车平台，本单位今年无公务用车相关费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（三）专项支出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1、专项资金安排落实、总投入等情况分析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2021年决算专项支出48万，包括为农村老支部书记补助、干部教育经费、干部档案管理经费、干部年报经费、远程教育经费、专题教育工作经费、老党员工作专项、干部档案清理经费等8个项目。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2、专项资金实际使用情况分析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农村老支部书记补助13万元、干部教育经费4万元、干部档案管理经费2万元、干部年报经费2万元、远程教育经费15万元、专题教育工作经费4万元、老党员工作专项3万元、干部档案清理经费5万元。至2021年12月底，专项资金48万元全部拨付到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3、专项资金管理情况分析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专项资金管理方面，本部严格按照县财政局行政事业单位专项资金管理制度执行，重大开支由分管副部长提请部务会集体研究讨论审定后，按相关规定采购、开支。专项经费支出形成的各类条据，报经有关领导审阅后再按财务程序办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三、部门（单位）专项组织实施情况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（一）专项组织情况分析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所有专项经费都由所主管科室事前报批，专项资金采用按项目进度拨付所需资金的方式。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（二）专项管理情况分析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项目管理制度上，我们严格遵守县财政局项目资金管理制度，实行“专人管理、专户储存、专账核算、专项使用”，资金拨付一律转账结算，杜绝现金支付，并且定期或不定期进行督查，确保项目资金专款专用，全程参与项目验收和采购项目接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四、部门（单位）整体支出绩效情况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2021年部机关履职及履职效益情况：1.党建新成效汇聚改革发展正能量。坚持精细化管理，党支部“五化”激发基层党建活力；推行一线化管理，紧抓末梢强化基层党组织执政能力；突出科学化统筹，党建引领增强基层党建魅力。2.干部新举措打造干事创业好队伍。率先在全市范围内出台了《关于进一步激励干部工作一线担当作为干事创业的意见》，着力健全“考核评价、激励约束、容错纠错、能力培养”四大机制；科学考核。实施分类考核，注重因岗而异；实施实绩考核，注重精准量化。3.实行人才新政策优化人才发展软环境。在高端人才引进方面、在优质平台搭建方面、在本土人才培育方面，为县域发展提供人才保障。4.自身新形象洗练组工干部担当本色。锻造旗帜鲜明讲政治的组工干部队伍；锻造一以贯之业务精的组工干部队伍；锻造持之以恒作风好的组工干部队伍。社会效益、可持续影响和社会公众满意度达到了预期目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五、存在的主要问题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（一）财务监督管理机制还有待加强。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（二）财务工作者的业务能力有待进一步加强。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（三）加强专项资金管理，实行项目申报制，按预算执行。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六、改进措施和有关建议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（一)加强监管，做到监管机制环环相扣，不出现断层、漏洞，坚决把权力关进制度的笼子。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（二）进一步完善财务制度，规范财经纪律，实行会计、出纳一人一岗，钱、账分离。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" w:lineRule="atLeast"/>
              <w:ind w:left="0" w:right="0"/>
              <w:jc w:val="both"/>
              <w:textAlignment w:val="center"/>
            </w:pPr>
            <w:r>
              <w:rPr>
                <w:rFonts w:hint="default"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bdr w:val="none" w:color="auto" w:sz="0" w:space="0"/>
              </w:rPr>
              <w:t>（三）财务工作人员的业务能力要与时俱进，不断加强学习，多组织业务方面的培训，包括“走出去”，多学习外单位经验。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3C670"/>
    <w:rsid w:val="F6F3C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2023-09-22T21:35:00Z</dcterms:created>
  <dc:creator>hh</dc:creator>
  <cp:lastModifiedBy>hh</cp:lastModifiedBy>
  <dcterms:modified xsi:type="dcterms:W3CDTF">2023-09-22T21:42:54Z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4F867CC53BFC44B715980D659EAEEB94_41</vt:lpwstr>
  </property>
</Properties>
</file>