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2021</w:t>
      </w:r>
      <w:r>
        <w:rPr>
          <w:rFonts w:hint="eastAsia"/>
          <w:sz w:val="84"/>
          <w:szCs w:val="84"/>
        </w:rPr>
        <w:t>年度</w:t>
      </w:r>
    </w:p>
    <w:p>
      <w:pPr>
        <w:pStyle w:val="10"/>
        <w:jc w:val="center"/>
        <w:rPr>
          <w:sz w:val="84"/>
          <w:szCs w:val="84"/>
        </w:rPr>
      </w:pPr>
      <w:r>
        <w:rPr>
          <w:rFonts w:hint="eastAsia"/>
          <w:sz w:val="84"/>
          <w:szCs w:val="84"/>
        </w:rPr>
        <w:t>岳阳县农产品质量安全检测中心部门决算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宋体" w:hAnsi="宋体" w:eastAsia="宋体" w:cs="仿宋_GB2312"/>
          <w:b/>
          <w:sz w:val="28"/>
          <w:szCs w:val="28"/>
        </w:rPr>
      </w:pPr>
      <w:r>
        <w:rPr>
          <w:rFonts w:hint="eastAsia"/>
          <w:b/>
          <w:sz w:val="28"/>
          <w:szCs w:val="28"/>
        </w:rPr>
        <w:t>第一部分</w:t>
      </w:r>
      <w:r>
        <w:rPr>
          <w:rFonts w:hint="eastAsia" w:ascii="宋体" w:hAnsi="宋体" w:eastAsia="宋体" w:cs="仿宋_GB2312"/>
          <w:b/>
          <w:sz w:val="28"/>
          <w:szCs w:val="28"/>
        </w:rPr>
        <w:t>岳阳县农产品质量安全检测中心概况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十二、政府采购支出说明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sz w:val="84"/>
          <w:szCs w:val="84"/>
        </w:rPr>
      </w:pPr>
      <w:r>
        <w:rPr>
          <w:rFonts w:hint="eastAsia"/>
          <w:sz w:val="84"/>
          <w:szCs w:val="84"/>
        </w:rPr>
        <w:t>岳阳县农产品质量安全检测中心概况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widowControl/>
        <w:spacing w:line="600" w:lineRule="exact"/>
        <w:ind w:firstLine="640" w:firstLineChars="200"/>
        <w:rPr>
          <w:rFonts w:ascii="宋体"/>
          <w:sz w:val="32"/>
          <w:szCs w:val="32"/>
        </w:rPr>
      </w:pPr>
      <w:r>
        <w:rPr>
          <w:rFonts w:hint="eastAsia" w:ascii="宋体" w:hAnsi="宋体"/>
          <w:sz w:val="32"/>
          <w:szCs w:val="32"/>
        </w:rPr>
        <w:t>岳阳县农产品质量安全检测中心隶属于岳阳县畜牧水产发展服务中心的二级机构</w:t>
      </w:r>
      <w:r>
        <w:rPr>
          <w:rFonts w:ascii="宋体"/>
          <w:sz w:val="32"/>
          <w:szCs w:val="32"/>
        </w:rPr>
        <w:t>,</w:t>
      </w:r>
      <w:r>
        <w:rPr>
          <w:rFonts w:hint="eastAsia" w:ascii="宋体" w:hAnsi="宋体"/>
          <w:sz w:val="32"/>
          <w:szCs w:val="32"/>
        </w:rPr>
        <w:t>主要负责全县畜禽水产质量安全监管。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宋体"/>
          <w:bCs/>
          <w:kern w:val="0"/>
          <w:sz w:val="32"/>
          <w:szCs w:val="32"/>
        </w:rPr>
      </w:pPr>
      <w:r>
        <w:rPr>
          <w:rFonts w:hint="eastAsia" w:ascii="宋体" w:hAnsi="宋体"/>
          <w:bCs/>
          <w:kern w:val="0"/>
          <w:sz w:val="32"/>
          <w:szCs w:val="32"/>
        </w:rPr>
        <w:t>（一）内设机构设置。</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岳阳县农产品质量安全检测中心属全额拨款事业单位，内设机构</w:t>
      </w:r>
      <w:r>
        <w:rPr>
          <w:rFonts w:ascii="宋体" w:hAnsi="宋体"/>
          <w:bCs/>
          <w:kern w:val="0"/>
          <w:sz w:val="32"/>
          <w:szCs w:val="32"/>
        </w:rPr>
        <w:t>5</w:t>
      </w:r>
      <w:r>
        <w:rPr>
          <w:rFonts w:hint="eastAsia" w:ascii="宋体" w:hAnsi="宋体"/>
          <w:bCs/>
          <w:kern w:val="0"/>
          <w:sz w:val="32"/>
          <w:szCs w:val="32"/>
        </w:rPr>
        <w:t>个：主任室、办公室、财务室、检测室、仪器室。</w:t>
      </w:r>
    </w:p>
    <w:p>
      <w:pPr>
        <w:widowControl/>
        <w:spacing w:line="600" w:lineRule="exact"/>
        <w:rPr>
          <w:rFonts w:ascii="宋体"/>
          <w:bCs/>
          <w:kern w:val="0"/>
          <w:sz w:val="32"/>
          <w:szCs w:val="32"/>
        </w:rPr>
      </w:pPr>
      <w:r>
        <w:rPr>
          <w:rFonts w:hint="eastAsia" w:ascii="宋体" w:hAnsi="宋体"/>
          <w:bCs/>
          <w:kern w:val="0"/>
          <w:sz w:val="32"/>
          <w:szCs w:val="32"/>
        </w:rPr>
        <w:t>（二）决算单位构成。</w:t>
      </w:r>
    </w:p>
    <w:p>
      <w:pPr>
        <w:ind w:firstLine="640" w:firstLineChars="200"/>
        <w:rPr>
          <w:rFonts w:ascii="宋体"/>
          <w:bCs/>
          <w:kern w:val="0"/>
          <w:sz w:val="32"/>
          <w:szCs w:val="32"/>
        </w:rPr>
      </w:pPr>
      <w:r>
        <w:rPr>
          <w:rFonts w:hint="eastAsia" w:ascii="宋体" w:hAnsi="宋体"/>
          <w:bCs/>
          <w:kern w:val="0"/>
          <w:sz w:val="32"/>
          <w:szCs w:val="32"/>
        </w:rPr>
        <w:t>纳入岳阳县农产品质量安全检测中心</w:t>
      </w:r>
      <w:r>
        <w:rPr>
          <w:rFonts w:ascii="宋体" w:hAnsi="宋体"/>
          <w:bCs/>
          <w:kern w:val="0"/>
          <w:sz w:val="32"/>
          <w:szCs w:val="32"/>
        </w:rPr>
        <w:t>2021</w:t>
      </w:r>
      <w:r>
        <w:rPr>
          <w:rFonts w:hint="eastAsia" w:ascii="宋体" w:hAnsi="宋体"/>
          <w:bCs/>
          <w:kern w:val="0"/>
          <w:sz w:val="32"/>
          <w:szCs w:val="32"/>
        </w:rPr>
        <w:t>年度部门决算汇总公开单位构成包括</w:t>
      </w:r>
      <w:r>
        <w:rPr>
          <w:rFonts w:ascii="宋体"/>
          <w:bCs/>
          <w:kern w:val="0"/>
          <w:sz w:val="32"/>
          <w:szCs w:val="32"/>
        </w:rPr>
        <w:t>,</w:t>
      </w:r>
      <w:r>
        <w:rPr>
          <w:rFonts w:ascii="宋体" w:hAnsi="宋体"/>
          <w:bCs/>
          <w:kern w:val="0"/>
          <w:sz w:val="32"/>
          <w:szCs w:val="32"/>
        </w:rPr>
        <w:t xml:space="preserve"> </w:t>
      </w:r>
      <w:r>
        <w:rPr>
          <w:rFonts w:hint="eastAsia" w:ascii="宋体" w:hAnsi="宋体"/>
          <w:bCs/>
          <w:kern w:val="0"/>
          <w:sz w:val="32"/>
          <w:szCs w:val="32"/>
        </w:rPr>
        <w:t>岳阳县农产品质量安全检测中心。</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ind w:firstLine="2520" w:firstLineChars="350"/>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2021</w:t>
      </w:r>
      <w:r>
        <w:rPr>
          <w:rFonts w:hint="eastAsia"/>
          <w:sz w:val="70"/>
          <w:szCs w:val="70"/>
        </w:rPr>
        <w:t>年度部门决算情况</w:t>
      </w:r>
    </w:p>
    <w:p>
      <w:pPr>
        <w:pStyle w:val="10"/>
        <w:jc w:val="center"/>
        <w:outlineLvl w:val="0"/>
        <w:rPr>
          <w:sz w:val="70"/>
          <w:szCs w:val="70"/>
        </w:rPr>
      </w:pPr>
      <w:r>
        <w:rPr>
          <w:rFonts w:hint="eastAsia"/>
          <w:sz w:val="70"/>
          <w:szCs w:val="70"/>
        </w:rPr>
        <w:t>说明</w:t>
      </w:r>
    </w:p>
    <w:p>
      <w:pPr>
        <w:pStyle w:val="10"/>
        <w:rPr>
          <w:rFonts w:hAnsi="黑体"/>
          <w:b/>
          <w:sz w:val="32"/>
          <w:szCs w:val="32"/>
        </w:rPr>
      </w:pPr>
      <w:r>
        <w:rPr>
          <w:sz w:val="70"/>
          <w:szCs w:val="70"/>
        </w:rPr>
        <w:br w:type="page"/>
      </w: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160.37</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与上年相比，收入总计增加</w:t>
      </w:r>
      <w:r>
        <w:rPr>
          <w:rFonts w:ascii="宋体" w:hAnsi="宋体" w:eastAsia="宋体"/>
          <w:sz w:val="32"/>
          <w:szCs w:val="32"/>
        </w:rPr>
        <w:t>72.69</w:t>
      </w:r>
      <w:r>
        <w:rPr>
          <w:rFonts w:hint="eastAsia" w:ascii="宋体" w:hAnsi="宋体" w:eastAsia="宋体"/>
          <w:sz w:val="32"/>
          <w:szCs w:val="32"/>
        </w:rPr>
        <w:t>万元，增加</w:t>
      </w:r>
      <w:r>
        <w:rPr>
          <w:rFonts w:ascii="宋体" w:hAnsi="宋体" w:eastAsia="宋体"/>
          <w:sz w:val="32"/>
          <w:szCs w:val="32"/>
        </w:rPr>
        <w:t>45.3%</w:t>
      </w:r>
      <w:r>
        <w:rPr>
          <w:rFonts w:hint="eastAsia" w:ascii="宋体" w:hAnsi="宋体" w:eastAsia="宋体"/>
          <w:sz w:val="32"/>
          <w:szCs w:val="32"/>
        </w:rPr>
        <w:t>，主要原因是本年度编制人数增加</w:t>
      </w:r>
      <w:r>
        <w:rPr>
          <w:rFonts w:ascii="宋体" w:hAnsi="宋体" w:eastAsia="宋体"/>
          <w:sz w:val="32"/>
          <w:szCs w:val="32"/>
        </w:rPr>
        <w:t>1</w:t>
      </w:r>
      <w:r>
        <w:rPr>
          <w:rFonts w:hint="eastAsia" w:ascii="宋体" w:hAnsi="宋体" w:eastAsia="宋体"/>
          <w:sz w:val="32"/>
          <w:szCs w:val="32"/>
        </w:rPr>
        <w:t>人。</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年度支出总计</w:t>
      </w:r>
      <w:r>
        <w:rPr>
          <w:rFonts w:ascii="宋体" w:hAnsi="宋体" w:eastAsia="宋体"/>
          <w:sz w:val="32"/>
          <w:szCs w:val="32"/>
        </w:rPr>
        <w:t>160.37</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与上年相比，支出总计增加</w:t>
      </w:r>
      <w:r>
        <w:rPr>
          <w:rFonts w:ascii="宋体" w:hAnsi="宋体" w:eastAsia="宋体"/>
          <w:sz w:val="32"/>
          <w:szCs w:val="32"/>
        </w:rPr>
        <w:t>72.69</w:t>
      </w:r>
      <w:r>
        <w:rPr>
          <w:rFonts w:hint="eastAsia" w:ascii="宋体" w:hAnsi="宋体" w:eastAsia="宋体"/>
          <w:sz w:val="32"/>
          <w:szCs w:val="32"/>
        </w:rPr>
        <w:t>万元，增加</w:t>
      </w:r>
      <w:r>
        <w:rPr>
          <w:rFonts w:ascii="宋体" w:hAnsi="宋体" w:eastAsia="宋体"/>
          <w:sz w:val="32"/>
          <w:szCs w:val="32"/>
        </w:rPr>
        <w:t>45.3%</w:t>
      </w:r>
      <w:r>
        <w:rPr>
          <w:rFonts w:hint="eastAsia" w:ascii="宋体" w:hAnsi="宋体" w:eastAsia="宋体"/>
          <w:sz w:val="32"/>
          <w:szCs w:val="32"/>
        </w:rPr>
        <w:t>，主要原因是本年度编制人数增加</w:t>
      </w:r>
      <w:r>
        <w:rPr>
          <w:rFonts w:ascii="宋体" w:hAnsi="宋体" w:eastAsia="宋体"/>
          <w:sz w:val="32"/>
          <w:szCs w:val="32"/>
        </w:rPr>
        <w:t>1</w:t>
      </w:r>
      <w:r>
        <w:rPr>
          <w:rFonts w:hint="eastAsia" w:ascii="宋体" w:hAnsi="宋体" w:eastAsia="宋体"/>
          <w:sz w:val="32"/>
          <w:szCs w:val="32"/>
        </w:rPr>
        <w:t>人。</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160.37</w:t>
      </w:r>
      <w:r>
        <w:rPr>
          <w:rFonts w:hint="eastAsia" w:ascii="宋体" w:hAnsi="宋体" w:eastAsia="宋体"/>
          <w:sz w:val="32"/>
          <w:szCs w:val="32"/>
        </w:rPr>
        <w:t>万元（不含年初结转和结余资金），其中：财政拨款收入</w:t>
      </w:r>
      <w:r>
        <w:rPr>
          <w:rFonts w:ascii="宋体" w:hAnsi="宋体" w:eastAsia="宋体"/>
          <w:sz w:val="32"/>
          <w:szCs w:val="32"/>
        </w:rPr>
        <w:t>64.72</w:t>
      </w:r>
      <w:r>
        <w:rPr>
          <w:rFonts w:hint="eastAsia" w:ascii="宋体" w:hAnsi="宋体" w:eastAsia="宋体"/>
          <w:sz w:val="32"/>
          <w:szCs w:val="32"/>
        </w:rPr>
        <w:t>万元，占</w:t>
      </w:r>
      <w:r>
        <w:rPr>
          <w:rFonts w:ascii="宋体" w:hAnsi="宋体" w:eastAsia="宋体"/>
          <w:sz w:val="32"/>
          <w:szCs w:val="32"/>
        </w:rPr>
        <w:t>40.3 %</w:t>
      </w:r>
      <w:r>
        <w:rPr>
          <w:rFonts w:hint="eastAsia" w:ascii="宋体" w:hAnsi="宋体" w:eastAsia="宋体"/>
          <w:sz w:val="32"/>
          <w:szCs w:val="32"/>
        </w:rPr>
        <w:t>。其他收入</w:t>
      </w:r>
      <w:r>
        <w:rPr>
          <w:rFonts w:ascii="宋体" w:hAnsi="宋体" w:eastAsia="宋体"/>
          <w:sz w:val="32"/>
          <w:szCs w:val="32"/>
        </w:rPr>
        <w:t>95.65</w:t>
      </w:r>
      <w:r>
        <w:rPr>
          <w:rFonts w:hint="eastAsia" w:ascii="宋体" w:hAnsi="宋体" w:eastAsia="宋体"/>
          <w:sz w:val="32"/>
          <w:szCs w:val="32"/>
        </w:rPr>
        <w:t>万元，占</w:t>
      </w:r>
      <w:r>
        <w:rPr>
          <w:rFonts w:ascii="宋体" w:hAnsi="宋体" w:eastAsia="宋体"/>
          <w:sz w:val="32"/>
          <w:szCs w:val="32"/>
        </w:rPr>
        <w:t>59.7 %</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160.37</w:t>
      </w:r>
      <w:r>
        <w:rPr>
          <w:rFonts w:hint="eastAsia" w:ascii="宋体" w:hAnsi="宋体" w:eastAsia="宋体"/>
          <w:sz w:val="32"/>
          <w:szCs w:val="32"/>
        </w:rPr>
        <w:t>万元（不含年初结转和结余资金），其中：基本支出</w:t>
      </w:r>
      <w:r>
        <w:rPr>
          <w:rFonts w:ascii="宋体" w:hAnsi="宋体" w:eastAsia="宋体"/>
          <w:sz w:val="32"/>
          <w:szCs w:val="32"/>
        </w:rPr>
        <w:t>150.37</w:t>
      </w:r>
      <w:r>
        <w:rPr>
          <w:rFonts w:hint="eastAsia" w:ascii="宋体" w:hAnsi="宋体" w:eastAsia="宋体"/>
          <w:sz w:val="32"/>
          <w:szCs w:val="32"/>
        </w:rPr>
        <w:t>万元，占</w:t>
      </w:r>
      <w:r>
        <w:rPr>
          <w:rFonts w:ascii="宋体" w:hAnsi="宋体" w:eastAsia="宋体"/>
          <w:sz w:val="32"/>
          <w:szCs w:val="32"/>
        </w:rPr>
        <w:t xml:space="preserve"> 93.7 %</w:t>
      </w:r>
      <w:r>
        <w:rPr>
          <w:rFonts w:hint="eastAsia" w:ascii="宋体" w:hAnsi="宋体" w:eastAsia="宋体"/>
          <w:sz w:val="32"/>
          <w:szCs w:val="32"/>
        </w:rPr>
        <w:t>。项目支出</w:t>
      </w:r>
      <w:r>
        <w:rPr>
          <w:rFonts w:ascii="宋体" w:hAnsi="宋体" w:eastAsia="宋体"/>
          <w:sz w:val="32"/>
          <w:szCs w:val="32"/>
        </w:rPr>
        <w:t>10</w:t>
      </w:r>
      <w:r>
        <w:rPr>
          <w:rFonts w:hint="eastAsia" w:ascii="宋体" w:hAnsi="宋体" w:eastAsia="宋体"/>
          <w:sz w:val="32"/>
          <w:szCs w:val="32"/>
        </w:rPr>
        <w:t>万元，占</w:t>
      </w:r>
      <w:r>
        <w:rPr>
          <w:rFonts w:ascii="宋体" w:hAnsi="宋体" w:eastAsia="宋体"/>
          <w:sz w:val="32"/>
          <w:szCs w:val="32"/>
        </w:rPr>
        <w:t>6.3%</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年度财政拨款收入合计</w:t>
      </w:r>
      <w:r>
        <w:rPr>
          <w:rFonts w:ascii="宋体" w:hAnsi="宋体" w:eastAsia="宋体"/>
          <w:sz w:val="32"/>
          <w:szCs w:val="32"/>
        </w:rPr>
        <w:t>64.72</w:t>
      </w:r>
      <w:r>
        <w:rPr>
          <w:rFonts w:hint="eastAsia" w:ascii="宋体" w:hAnsi="宋体" w:eastAsia="宋体"/>
          <w:sz w:val="32"/>
          <w:szCs w:val="32"/>
        </w:rPr>
        <w:t>万元（不含年初财政拨款结转和结余资金），与上年相比，增加</w:t>
      </w:r>
      <w:r>
        <w:rPr>
          <w:rFonts w:ascii="宋体" w:hAnsi="宋体" w:eastAsia="宋体"/>
          <w:sz w:val="32"/>
          <w:szCs w:val="32"/>
        </w:rPr>
        <w:t>12.32</w:t>
      </w:r>
      <w:r>
        <w:rPr>
          <w:rFonts w:hint="eastAsia" w:ascii="宋体" w:hAnsi="宋体" w:eastAsia="宋体"/>
          <w:sz w:val="32"/>
          <w:szCs w:val="32"/>
        </w:rPr>
        <w:t>万元，增加</w:t>
      </w:r>
      <w:r>
        <w:rPr>
          <w:rFonts w:ascii="宋体" w:hAnsi="宋体" w:eastAsia="宋体"/>
          <w:sz w:val="32"/>
          <w:szCs w:val="32"/>
        </w:rPr>
        <w:t>19%</w:t>
      </w:r>
      <w:r>
        <w:rPr>
          <w:rFonts w:hint="eastAsia" w:ascii="宋体" w:hAnsi="宋体" w:eastAsia="宋体"/>
          <w:sz w:val="32"/>
          <w:szCs w:val="32"/>
        </w:rPr>
        <w:t>，主要原因是本年度编制增加</w:t>
      </w:r>
      <w:r>
        <w:rPr>
          <w:rFonts w:ascii="宋体" w:hAnsi="宋体" w:eastAsia="宋体"/>
          <w:sz w:val="32"/>
          <w:szCs w:val="32"/>
        </w:rPr>
        <w:t>1</w:t>
      </w:r>
      <w:r>
        <w:rPr>
          <w:rFonts w:hint="eastAsia" w:ascii="宋体" w:hAnsi="宋体" w:eastAsia="宋体"/>
          <w:sz w:val="32"/>
          <w:szCs w:val="32"/>
        </w:rPr>
        <w:t>人所至。</w:t>
      </w:r>
      <w:r>
        <w:rPr>
          <w:rFonts w:ascii="宋体" w:hAnsi="宋体" w:eastAsia="宋体"/>
          <w:sz w:val="32"/>
          <w:szCs w:val="32"/>
        </w:rPr>
        <w:t xml:space="preserve"> </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年度财政拨款支出合计</w:t>
      </w:r>
      <w:r>
        <w:rPr>
          <w:rFonts w:ascii="宋体" w:hAnsi="宋体" w:eastAsia="宋体"/>
          <w:sz w:val="32"/>
          <w:szCs w:val="32"/>
        </w:rPr>
        <w:t>64.72</w:t>
      </w:r>
      <w:r>
        <w:rPr>
          <w:rFonts w:hint="eastAsia" w:ascii="宋体" w:hAnsi="宋体" w:eastAsia="宋体"/>
          <w:sz w:val="32"/>
          <w:szCs w:val="32"/>
        </w:rPr>
        <w:t>万元（不含年末财政拨款结转和结余资金），与上年相比，增加</w:t>
      </w:r>
      <w:r>
        <w:rPr>
          <w:rFonts w:ascii="宋体" w:hAnsi="宋体" w:eastAsia="宋体"/>
          <w:sz w:val="32"/>
          <w:szCs w:val="32"/>
        </w:rPr>
        <w:t>12.32</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增加</w:t>
      </w:r>
      <w:r>
        <w:rPr>
          <w:rFonts w:ascii="宋体" w:hAnsi="宋体" w:eastAsia="宋体"/>
          <w:sz w:val="32"/>
          <w:szCs w:val="32"/>
        </w:rPr>
        <w:t>19%</w:t>
      </w:r>
      <w:r>
        <w:rPr>
          <w:rFonts w:hint="eastAsia" w:ascii="宋体" w:hAnsi="宋体" w:eastAsia="宋体"/>
          <w:sz w:val="32"/>
          <w:szCs w:val="32"/>
        </w:rPr>
        <w:t>，主要原因是本年度编制增加</w:t>
      </w:r>
      <w:r>
        <w:rPr>
          <w:rFonts w:ascii="宋体" w:hAnsi="宋体" w:eastAsia="宋体"/>
          <w:sz w:val="32"/>
          <w:szCs w:val="32"/>
        </w:rPr>
        <w:t>1</w:t>
      </w:r>
      <w:r>
        <w:rPr>
          <w:rFonts w:hint="eastAsia" w:ascii="宋体" w:hAnsi="宋体" w:eastAsia="宋体"/>
          <w:sz w:val="32"/>
          <w:szCs w:val="32"/>
        </w:rPr>
        <w:t>人所至。</w:t>
      </w:r>
    </w:p>
    <w:p>
      <w:pPr>
        <w:pStyle w:val="10"/>
        <w:rPr>
          <w:rFonts w:hAnsi="黑体"/>
          <w:b/>
          <w:sz w:val="32"/>
          <w:szCs w:val="32"/>
        </w:rPr>
      </w:pPr>
      <w:r>
        <w:rPr>
          <w:rFonts w:hint="eastAsia" w:hAnsi="黑体"/>
          <w:b/>
          <w:sz w:val="32"/>
          <w:szCs w:val="32"/>
        </w:rPr>
        <w:t>五、一般公共预算财政拨款支出决算情况说明</w:t>
      </w:r>
    </w:p>
    <w:p>
      <w:pPr>
        <w:pStyle w:val="1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64.72</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。与上年度相比，财政拨款支出增加</w:t>
      </w:r>
      <w:r>
        <w:rPr>
          <w:rFonts w:ascii="宋体" w:hAnsi="宋体" w:eastAsia="宋体"/>
          <w:sz w:val="32"/>
          <w:szCs w:val="32"/>
        </w:rPr>
        <w:t>12.32</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增加</w:t>
      </w:r>
      <w:r>
        <w:rPr>
          <w:rFonts w:ascii="宋体" w:hAnsi="宋体" w:eastAsia="宋体"/>
          <w:sz w:val="32"/>
          <w:szCs w:val="32"/>
        </w:rPr>
        <w:t>19%</w:t>
      </w:r>
      <w:r>
        <w:rPr>
          <w:rFonts w:hint="eastAsia" w:ascii="宋体" w:hAnsi="宋体" w:eastAsia="宋体"/>
          <w:sz w:val="32"/>
          <w:szCs w:val="32"/>
        </w:rPr>
        <w:t>，主要原因是本年度编制增加</w:t>
      </w:r>
      <w:r>
        <w:rPr>
          <w:rFonts w:ascii="宋体" w:hAnsi="宋体" w:eastAsia="宋体"/>
          <w:sz w:val="32"/>
          <w:szCs w:val="32"/>
        </w:rPr>
        <w:t>1</w:t>
      </w:r>
      <w:r>
        <w:rPr>
          <w:rFonts w:hint="eastAsia" w:ascii="宋体" w:hAnsi="宋体" w:eastAsia="宋体"/>
          <w:sz w:val="32"/>
          <w:szCs w:val="32"/>
        </w:rPr>
        <w:t>人所至。</w:t>
      </w:r>
    </w:p>
    <w:p>
      <w:pPr>
        <w:pStyle w:val="1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64.72</w:t>
      </w:r>
      <w:r>
        <w:rPr>
          <w:rFonts w:hint="eastAsia" w:ascii="宋体" w:hAnsi="宋体" w:eastAsia="宋体"/>
          <w:sz w:val="32"/>
          <w:szCs w:val="32"/>
        </w:rPr>
        <w:t>万元，主要用于以下方面：农林水（类）支出</w:t>
      </w:r>
      <w:r>
        <w:rPr>
          <w:rFonts w:ascii="宋体" w:hAnsi="宋体" w:eastAsia="宋体"/>
          <w:sz w:val="32"/>
          <w:szCs w:val="32"/>
        </w:rPr>
        <w:t>64.72</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年度财政拨款支出年初预算为</w:t>
      </w:r>
      <w:r>
        <w:rPr>
          <w:rFonts w:ascii="宋体" w:hAnsi="宋体" w:eastAsia="宋体"/>
          <w:sz w:val="32"/>
          <w:szCs w:val="32"/>
        </w:rPr>
        <w:t>64.72</w:t>
      </w:r>
      <w:r>
        <w:rPr>
          <w:rFonts w:hint="eastAsia" w:ascii="宋体" w:hAnsi="宋体" w:eastAsia="宋体"/>
          <w:sz w:val="32"/>
          <w:szCs w:val="32"/>
        </w:rPr>
        <w:t>万元，支出决算为</w:t>
      </w:r>
      <w:r>
        <w:rPr>
          <w:rFonts w:ascii="宋体" w:hAnsi="宋体" w:eastAsia="宋体"/>
          <w:sz w:val="32"/>
          <w:szCs w:val="32"/>
        </w:rPr>
        <w:t>64.72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。其中：</w:t>
      </w:r>
    </w:p>
    <w:p>
      <w:pPr>
        <w:pStyle w:val="10"/>
        <w:ind w:firstLine="800" w:firstLineChars="250"/>
        <w:rPr>
          <w:rFonts w:hint="default" w:ascii="宋体" w:hAnsi="宋体" w:eastAsia="宋体"/>
          <w:sz w:val="32"/>
          <w:szCs w:val="32"/>
          <w:lang w:val="en-US" w:eastAsia="zh-CN"/>
        </w:rPr>
      </w:pPr>
      <w:r>
        <w:rPr>
          <w:rFonts w:hint="eastAsia" w:ascii="宋体" w:hAnsi="宋体" w:eastAsia="宋体"/>
          <w:sz w:val="32"/>
          <w:szCs w:val="32"/>
        </w:rPr>
        <w:t>农林水支出（类）农业（款）行政运行（项）。年初预算为</w:t>
      </w:r>
      <w:r>
        <w:rPr>
          <w:rFonts w:ascii="宋体" w:hAnsi="宋体" w:eastAsia="宋体"/>
          <w:sz w:val="32"/>
          <w:szCs w:val="32"/>
        </w:rPr>
        <w:t>64.72</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支出决算为</w:t>
      </w:r>
      <w:r>
        <w:rPr>
          <w:rFonts w:ascii="宋体" w:hAnsi="宋体" w:eastAsia="宋体"/>
          <w:sz w:val="32"/>
          <w:szCs w:val="32"/>
        </w:rPr>
        <w:t>64.72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r>
        <w:rPr>
          <w:rFonts w:hint="eastAsia" w:ascii="宋体" w:hAnsi="宋体" w:eastAsia="宋体"/>
          <w:sz w:val="32"/>
          <w:szCs w:val="32"/>
          <w:lang w:val="en-US" w:eastAsia="zh-CN"/>
        </w:rPr>
        <w:t>与预算数持平。</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54.72</w:t>
      </w:r>
      <w:r>
        <w:rPr>
          <w:rFonts w:hint="eastAsia" w:ascii="宋体" w:hAnsi="宋体" w:eastAsia="宋体"/>
          <w:sz w:val="32"/>
          <w:szCs w:val="32"/>
        </w:rPr>
        <w:t>万元，其中</w:t>
      </w:r>
      <w:r>
        <w:rPr>
          <w:rFonts w:ascii="宋体" w:hAnsi="宋体" w:eastAsia="宋体"/>
          <w:sz w:val="32"/>
          <w:szCs w:val="32"/>
        </w:rPr>
        <w:t>:</w:t>
      </w:r>
      <w:r>
        <w:rPr>
          <w:rFonts w:hint="eastAsia" w:ascii="宋体" w:hAnsi="宋体" w:eastAsia="宋体"/>
          <w:sz w:val="32"/>
          <w:szCs w:val="32"/>
        </w:rPr>
        <w:t>人员经费</w:t>
      </w:r>
      <w:r>
        <w:rPr>
          <w:rFonts w:ascii="宋体" w:hAnsi="宋体" w:eastAsia="宋体"/>
          <w:sz w:val="32"/>
          <w:szCs w:val="32"/>
        </w:rPr>
        <w:t xml:space="preserve"> 51.48</w:t>
      </w:r>
      <w:r>
        <w:rPr>
          <w:rFonts w:hint="eastAsia" w:ascii="宋体" w:hAnsi="宋体" w:eastAsia="宋体"/>
          <w:sz w:val="32"/>
          <w:szCs w:val="32"/>
        </w:rPr>
        <w:t>万元，占基本支出的</w:t>
      </w:r>
      <w:r>
        <w:rPr>
          <w:rFonts w:ascii="宋体" w:hAnsi="宋体" w:eastAsia="宋体"/>
          <w:sz w:val="32"/>
          <w:szCs w:val="32"/>
        </w:rPr>
        <w:t xml:space="preserve"> 94%</w:t>
      </w:r>
      <w:r>
        <w:rPr>
          <w:rFonts w:hint="eastAsia" w:ascii="宋体" w:hAnsi="宋体" w:eastAsia="宋体"/>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宋体" w:eastAsia="宋体"/>
          <w:sz w:val="32"/>
          <w:szCs w:val="32"/>
        </w:rPr>
        <w:t>3.24</w:t>
      </w:r>
      <w:r>
        <w:rPr>
          <w:rFonts w:hint="eastAsia" w:ascii="宋体" w:hAnsi="宋体" w:eastAsia="宋体"/>
          <w:sz w:val="32"/>
          <w:szCs w:val="32"/>
        </w:rPr>
        <w:t>万元，占基本支出的</w:t>
      </w:r>
      <w:r>
        <w:rPr>
          <w:rFonts w:ascii="宋体" w:hAnsi="宋体" w:eastAsia="宋体"/>
          <w:sz w:val="32"/>
          <w:szCs w:val="32"/>
        </w:rPr>
        <w:t>6%</w:t>
      </w:r>
      <w:r>
        <w:rPr>
          <w:rFonts w:hint="eastAsia" w:ascii="宋体" w:hAnsi="宋体" w:eastAsia="宋体"/>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0.3</w:t>
      </w:r>
      <w:r>
        <w:rPr>
          <w:rFonts w:hint="eastAsia" w:ascii="宋体" w:hAnsi="宋体" w:eastAsia="宋体"/>
          <w:sz w:val="32"/>
          <w:szCs w:val="32"/>
        </w:rPr>
        <w:t>万元，支出决算为</w:t>
      </w:r>
      <w:r>
        <w:rPr>
          <w:rFonts w:ascii="宋体" w:hAnsi="宋体" w:eastAsia="宋体"/>
          <w:sz w:val="32"/>
          <w:szCs w:val="32"/>
        </w:rPr>
        <w:t>0.06</w:t>
      </w:r>
      <w:r>
        <w:rPr>
          <w:rFonts w:hint="eastAsia" w:ascii="宋体" w:hAnsi="宋体" w:eastAsia="宋体"/>
          <w:sz w:val="32"/>
          <w:szCs w:val="32"/>
        </w:rPr>
        <w:t>万元，完成预算的</w:t>
      </w:r>
      <w:r>
        <w:rPr>
          <w:rFonts w:ascii="宋体" w:hAnsi="宋体" w:eastAsia="宋体"/>
          <w:sz w:val="32"/>
          <w:szCs w:val="32"/>
        </w:rPr>
        <w:t>20%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hint="default" w:ascii="宋体" w:hAnsi="宋体" w:eastAsia="宋体"/>
          <w:sz w:val="32"/>
          <w:szCs w:val="32"/>
        </w:rPr>
        <w:t>0</w:t>
      </w:r>
      <w:bookmarkStart w:id="0" w:name="_GoBack"/>
      <w:bookmarkEnd w:id="0"/>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，决算数等于预算数的主要原因是未安排出国出境，与上年相比</w:t>
      </w:r>
      <w:r>
        <w:rPr>
          <w:rFonts w:hint="eastAsia" w:ascii="宋体" w:hAnsi="宋体" w:eastAsia="宋体"/>
          <w:sz w:val="32"/>
          <w:szCs w:val="32"/>
          <w:lang w:val="en-US" w:eastAsia="zh-CN"/>
        </w:rPr>
        <w:t>持平，</w:t>
      </w:r>
      <w:r>
        <w:rPr>
          <w:rFonts w:hint="eastAsia" w:ascii="宋体" w:hAnsi="宋体" w:eastAsia="宋体"/>
          <w:sz w:val="32"/>
          <w:szCs w:val="32"/>
        </w:rPr>
        <w:t>主要原因是未安排出国出境。</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0.3</w:t>
      </w:r>
      <w:r>
        <w:rPr>
          <w:rFonts w:hint="eastAsia" w:ascii="宋体" w:hAnsi="宋体" w:eastAsia="宋体"/>
          <w:sz w:val="32"/>
          <w:szCs w:val="32"/>
        </w:rPr>
        <w:t>万元，支出决算为</w:t>
      </w:r>
      <w:r>
        <w:rPr>
          <w:rFonts w:ascii="宋体" w:hAnsi="宋体" w:eastAsia="宋体"/>
          <w:sz w:val="32"/>
          <w:szCs w:val="32"/>
        </w:rPr>
        <w:t>0.06</w:t>
      </w:r>
      <w:r>
        <w:rPr>
          <w:rFonts w:hint="eastAsia" w:ascii="宋体" w:hAnsi="宋体" w:eastAsia="宋体"/>
          <w:sz w:val="32"/>
          <w:szCs w:val="32"/>
        </w:rPr>
        <w:t>万元，完成预算的</w:t>
      </w:r>
      <w:r>
        <w:rPr>
          <w:rFonts w:ascii="宋体" w:hAnsi="宋体" w:eastAsia="宋体"/>
          <w:sz w:val="32"/>
          <w:szCs w:val="32"/>
        </w:rPr>
        <w:t>20%</w:t>
      </w:r>
      <w:r>
        <w:rPr>
          <w:rFonts w:hint="eastAsia" w:ascii="宋体" w:hAnsi="宋体" w:eastAsia="宋体"/>
          <w:sz w:val="32"/>
          <w:szCs w:val="32"/>
        </w:rPr>
        <w:t>，决算数小于预算数的主要原因是本年度压缩开支，与上年相比减少</w:t>
      </w:r>
      <w:r>
        <w:rPr>
          <w:rFonts w:ascii="宋体" w:hAnsi="宋体" w:eastAsia="宋体"/>
          <w:sz w:val="32"/>
          <w:szCs w:val="32"/>
        </w:rPr>
        <w:t>0.52</w:t>
      </w:r>
      <w:r>
        <w:rPr>
          <w:rFonts w:hint="eastAsia" w:ascii="宋体" w:hAnsi="宋体" w:eastAsia="宋体"/>
          <w:sz w:val="32"/>
          <w:szCs w:val="32"/>
        </w:rPr>
        <w:t>万元，减少</w:t>
      </w:r>
      <w:r>
        <w:rPr>
          <w:rFonts w:ascii="宋体" w:hAnsi="宋体" w:eastAsia="宋体"/>
          <w:sz w:val="32"/>
          <w:szCs w:val="32"/>
        </w:rPr>
        <w:t>89%,</w:t>
      </w:r>
      <w:r>
        <w:rPr>
          <w:rFonts w:hint="eastAsia" w:ascii="宋体" w:hAnsi="宋体" w:eastAsia="宋体"/>
          <w:sz w:val="32"/>
          <w:szCs w:val="32"/>
        </w:rPr>
        <w:t>减少的主要原因是本年度压缩开支所至。</w:t>
      </w:r>
    </w:p>
    <w:p>
      <w:pPr>
        <w:pStyle w:val="10"/>
        <w:ind w:firstLine="640" w:firstLineChars="200"/>
        <w:rPr>
          <w:rFonts w:ascii="宋体" w:hAnsi="宋体" w:eastAsia="宋体"/>
          <w:sz w:val="32"/>
          <w:szCs w:val="32"/>
        </w:rPr>
      </w:pPr>
      <w:r>
        <w:rPr>
          <w:rFonts w:hint="eastAsia" w:ascii="宋体" w:hAnsi="宋体" w:eastAsia="宋体"/>
          <w:sz w:val="32"/>
          <w:szCs w:val="32"/>
        </w:rPr>
        <w:t>公务用车购置费及公务用车运行维护费支出预算为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 xml:space="preserve"> 0%</w:t>
      </w:r>
      <w:r>
        <w:rPr>
          <w:rFonts w:hint="eastAsia" w:ascii="宋体" w:hAnsi="宋体" w:eastAsia="宋体"/>
          <w:sz w:val="32"/>
          <w:szCs w:val="32"/>
        </w:rPr>
        <w:t>，决算数等于预算数的主要原因是本单位无车辆安排</w:t>
      </w:r>
      <w:r>
        <w:rPr>
          <w:rFonts w:hint="eastAsia" w:ascii="宋体" w:hAnsi="宋体" w:eastAsia="宋体"/>
          <w:sz w:val="32"/>
          <w:szCs w:val="32"/>
          <w:lang w:eastAsia="zh-CN"/>
        </w:rPr>
        <w:t>，</w:t>
      </w:r>
      <w:r>
        <w:rPr>
          <w:rFonts w:hint="eastAsia" w:ascii="宋体" w:hAnsi="宋体" w:eastAsia="宋体"/>
          <w:sz w:val="32"/>
          <w:szCs w:val="32"/>
        </w:rPr>
        <w:t>与上年相比持平</w:t>
      </w:r>
      <w:r>
        <w:rPr>
          <w:rFonts w:hint="eastAsia" w:ascii="宋体" w:hAnsi="宋体" w:eastAsia="宋体"/>
          <w:sz w:val="32"/>
          <w:szCs w:val="32"/>
          <w:lang w:eastAsia="zh-CN"/>
        </w:rPr>
        <w:t>，</w:t>
      </w:r>
      <w:r>
        <w:rPr>
          <w:rFonts w:hint="eastAsia" w:ascii="宋体" w:hAnsi="宋体" w:eastAsia="宋体"/>
          <w:sz w:val="32"/>
          <w:szCs w:val="32"/>
        </w:rPr>
        <w:t>主要原因是本单位无车辆安排。</w:t>
      </w:r>
    </w:p>
    <w:p>
      <w:pPr>
        <w:pStyle w:val="1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0.06</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0.06</w:t>
      </w:r>
      <w:r>
        <w:rPr>
          <w:rFonts w:hint="eastAsia" w:ascii="宋体" w:hAnsi="宋体" w:eastAsia="宋体"/>
          <w:sz w:val="32"/>
          <w:szCs w:val="32"/>
        </w:rPr>
        <w:t>万元，全年共接待来访团组</w:t>
      </w:r>
      <w:r>
        <w:rPr>
          <w:rFonts w:ascii="宋体" w:hAnsi="宋体" w:eastAsia="宋体"/>
          <w:sz w:val="32"/>
          <w:szCs w:val="32"/>
        </w:rPr>
        <w:t>2</w:t>
      </w:r>
      <w:r>
        <w:rPr>
          <w:rFonts w:hint="eastAsia" w:ascii="宋体" w:hAnsi="宋体" w:eastAsia="宋体"/>
          <w:sz w:val="32"/>
          <w:szCs w:val="32"/>
        </w:rPr>
        <w:t>个、来宾</w:t>
      </w:r>
      <w:r>
        <w:rPr>
          <w:rFonts w:ascii="宋体" w:hAnsi="宋体" w:eastAsia="宋体"/>
          <w:sz w:val="32"/>
          <w:szCs w:val="32"/>
        </w:rPr>
        <w:t>12</w:t>
      </w:r>
      <w:r>
        <w:rPr>
          <w:rFonts w:hint="eastAsia" w:ascii="宋体" w:hAnsi="宋体" w:eastAsia="宋体"/>
          <w:sz w:val="32"/>
          <w:szCs w:val="32"/>
        </w:rPr>
        <w:t>人次，主要是与有关单位交流工作情况及接受相关部门检查指导工作发生的接待支出。</w:t>
      </w:r>
    </w:p>
    <w:p>
      <w:pPr>
        <w:ind w:firstLine="800" w:firstLineChars="250"/>
        <w:rPr>
          <w:rFonts w:ascii="宋体" w:cs="黑体"/>
          <w:i/>
          <w:color w:val="FF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宋体" w:hAnsi="宋体" w:eastAsia="宋体"/>
          <w:iCs/>
          <w:color w:val="FF0000"/>
          <w:sz w:val="32"/>
          <w:szCs w:val="32"/>
        </w:rPr>
      </w:pPr>
      <w:r>
        <w:rPr>
          <w:rFonts w:ascii="宋体" w:hAnsi="宋体" w:eastAsia="宋体"/>
          <w:sz w:val="32"/>
          <w:szCs w:val="32"/>
        </w:rPr>
        <w:t xml:space="preserve">     </w:t>
      </w:r>
      <w:r>
        <w:rPr>
          <w:rFonts w:hint="eastAsia" w:ascii="宋体" w:hAnsi="宋体" w:eastAsia="宋体"/>
          <w:sz w:val="32"/>
          <w:szCs w:val="32"/>
        </w:rPr>
        <w:t>本单位无政府性基金收支。</w:t>
      </w:r>
    </w:p>
    <w:p>
      <w:pPr>
        <w:pStyle w:val="10"/>
        <w:numPr>
          <w:ilvl w:val="0"/>
          <w:numId w:val="2"/>
        </w:numPr>
        <w:outlineLvl w:val="0"/>
        <w:rPr>
          <w:rFonts w:hAnsi="黑体"/>
          <w:b/>
          <w:sz w:val="32"/>
          <w:szCs w:val="32"/>
        </w:rPr>
      </w:pPr>
      <w:r>
        <w:rPr>
          <w:rFonts w:hint="eastAsia" w:hAnsi="黑体"/>
          <w:b/>
          <w:sz w:val="32"/>
          <w:szCs w:val="32"/>
        </w:rPr>
        <w:t>国有资本经营预算财政拨款支出决算情况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年度本单位无国有资本经营预算财政拨款支出。</w:t>
      </w:r>
    </w:p>
    <w:p>
      <w:pPr>
        <w:pStyle w:val="10"/>
        <w:outlineLvl w:val="0"/>
        <w:rPr>
          <w:rFonts w:hAnsi="黑体"/>
          <w:b/>
          <w:sz w:val="32"/>
          <w:szCs w:val="32"/>
        </w:rPr>
      </w:pPr>
      <w:r>
        <w:rPr>
          <w:rFonts w:hint="eastAsia" w:hAnsi="黑体"/>
          <w:b/>
          <w:sz w:val="32"/>
          <w:szCs w:val="32"/>
        </w:rPr>
        <w:t>十、机关运行经费支出说明</w:t>
      </w:r>
    </w:p>
    <w:p>
      <w:pPr>
        <w:pStyle w:val="10"/>
        <w:ind w:firstLine="800" w:firstLineChars="250"/>
        <w:rPr>
          <w:rFonts w:ascii="宋体" w:hAnsi="宋体" w:eastAsia="宋体"/>
          <w:sz w:val="32"/>
          <w:szCs w:val="32"/>
        </w:rPr>
      </w:pPr>
      <w:r>
        <w:rPr>
          <w:rFonts w:hint="eastAsia" w:ascii="宋体" w:hAnsi="宋体" w:eastAsia="宋体"/>
          <w:sz w:val="32"/>
          <w:szCs w:val="32"/>
        </w:rPr>
        <w:t>岳阳县农产品质量安全检测中心性质为全额拨款事业单位，机关运行经费</w:t>
      </w:r>
      <w:r>
        <w:rPr>
          <w:rFonts w:hint="eastAsia" w:ascii="宋体" w:hAnsi="宋体" w:eastAsia="宋体"/>
          <w:sz w:val="32"/>
          <w:szCs w:val="32"/>
          <w:lang w:val="en-US" w:eastAsia="zh-CN"/>
        </w:rPr>
        <w:t>支出</w:t>
      </w:r>
      <w:r>
        <w:rPr>
          <w:rFonts w:hint="eastAsia" w:ascii="宋体" w:hAnsi="宋体" w:eastAsia="宋体"/>
          <w:sz w:val="32"/>
          <w:szCs w:val="32"/>
        </w:rPr>
        <w:t>为</w:t>
      </w:r>
      <w:r>
        <w:rPr>
          <w:rFonts w:ascii="宋体" w:hAnsi="宋体" w:eastAsia="宋体"/>
          <w:sz w:val="32"/>
          <w:szCs w:val="32"/>
        </w:rPr>
        <w:t>3.24</w:t>
      </w:r>
      <w:r>
        <w:rPr>
          <w:rFonts w:hint="eastAsia" w:ascii="宋体" w:hAnsi="宋体" w:eastAsia="宋体"/>
          <w:sz w:val="32"/>
          <w:szCs w:val="32"/>
        </w:rPr>
        <w:t>万元。与上年决算相比减少</w:t>
      </w:r>
      <w:r>
        <w:rPr>
          <w:rFonts w:ascii="宋体" w:hAnsi="宋体" w:eastAsia="宋体"/>
          <w:sz w:val="32"/>
          <w:szCs w:val="32"/>
        </w:rPr>
        <w:t>1.04</w:t>
      </w:r>
      <w:r>
        <w:rPr>
          <w:rFonts w:hint="eastAsia" w:ascii="宋体" w:hAnsi="宋体" w:eastAsia="宋体"/>
          <w:sz w:val="32"/>
          <w:szCs w:val="32"/>
        </w:rPr>
        <w:t>万元，减少</w:t>
      </w:r>
      <w:r>
        <w:rPr>
          <w:rFonts w:ascii="宋体" w:hAnsi="宋体" w:eastAsia="宋体"/>
          <w:sz w:val="32"/>
          <w:szCs w:val="32"/>
        </w:rPr>
        <w:t>32%,</w:t>
      </w:r>
      <w:r>
        <w:rPr>
          <w:rFonts w:hint="eastAsia" w:ascii="宋体" w:hAnsi="宋体" w:eastAsia="宋体"/>
          <w:sz w:val="32"/>
          <w:szCs w:val="32"/>
        </w:rPr>
        <w:t>减少的主要原因是本年度压缩开支所至。</w:t>
      </w:r>
    </w:p>
    <w:p>
      <w:pPr>
        <w:pStyle w:val="10"/>
        <w:outlineLvl w:val="0"/>
        <w:rPr>
          <w:rFonts w:hAnsi="黑体"/>
          <w:b/>
          <w:sz w:val="32"/>
          <w:szCs w:val="32"/>
        </w:rPr>
      </w:pPr>
      <w:r>
        <w:rPr>
          <w:rFonts w:hint="eastAsia" w:hAnsi="黑体"/>
          <w:b/>
          <w:sz w:val="32"/>
          <w:szCs w:val="32"/>
        </w:rPr>
        <w:t>十一、一般性支出情况说明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ascii="宋体" w:hAnsi="宋体" w:eastAsia="宋体"/>
          <w:sz w:val="32"/>
          <w:szCs w:val="32"/>
        </w:rPr>
        <w:t>0</w:t>
      </w:r>
      <w:r>
        <w:rPr>
          <w:rFonts w:hint="eastAsia" w:ascii="宋体" w:hAnsi="宋体" w:eastAsia="宋体"/>
          <w:sz w:val="32"/>
          <w:szCs w:val="32"/>
        </w:rPr>
        <w:t>万元，用于开展双认证学习培训，人数</w:t>
      </w:r>
      <w:r>
        <w:rPr>
          <w:rFonts w:ascii="宋体" w:hAnsi="宋体" w:eastAsia="宋体"/>
          <w:sz w:val="32"/>
          <w:szCs w:val="32"/>
        </w:rPr>
        <w:t>0</w:t>
      </w:r>
      <w:r>
        <w:rPr>
          <w:rFonts w:hint="eastAsia" w:ascii="宋体" w:hAnsi="宋体" w:eastAsia="宋体"/>
          <w:sz w:val="32"/>
          <w:szCs w:val="32"/>
        </w:rPr>
        <w:t>人，未举办节庆、晚会、论坛、赛事活动，开支</w:t>
      </w:r>
      <w:r>
        <w:rPr>
          <w:rFonts w:ascii="宋体" w:hAnsi="宋体" w:eastAsia="宋体"/>
          <w:sz w:val="32"/>
          <w:szCs w:val="32"/>
        </w:rPr>
        <w:t>0</w:t>
      </w:r>
      <w:r>
        <w:rPr>
          <w:rFonts w:hint="eastAsia" w:ascii="宋体" w:hAnsi="宋体" w:eastAsia="宋体"/>
          <w:sz w:val="32"/>
          <w:szCs w:val="32"/>
        </w:rPr>
        <w:t>万元。</w:t>
      </w:r>
    </w:p>
    <w:p>
      <w:pPr>
        <w:pStyle w:val="10"/>
        <w:outlineLvl w:val="0"/>
        <w:rPr>
          <w:rFonts w:hAnsi="黑体"/>
          <w:b/>
          <w:sz w:val="32"/>
          <w:szCs w:val="32"/>
        </w:rPr>
      </w:pPr>
      <w:r>
        <w:rPr>
          <w:rFonts w:hint="eastAsia" w:hAnsi="黑体"/>
          <w:b/>
          <w:sz w:val="32"/>
          <w:szCs w:val="32"/>
        </w:rPr>
        <w:t>十二、政府采购支出说明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十三、国有资产占用情况说明</w:t>
      </w:r>
    </w:p>
    <w:p>
      <w:pPr>
        <w:pStyle w:val="10"/>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0"/>
        <w:outlineLvl w:val="0"/>
        <w:rPr>
          <w:rFonts w:hAnsi="黑体"/>
          <w:b/>
          <w:sz w:val="32"/>
          <w:szCs w:val="32"/>
        </w:rPr>
      </w:pPr>
      <w:r>
        <w:rPr>
          <w:rFonts w:hint="eastAsia" w:hAnsi="黑体"/>
          <w:b/>
          <w:sz w:val="32"/>
          <w:szCs w:val="32"/>
        </w:rPr>
        <w:t>十四、</w:t>
      </w:r>
      <w:r>
        <w:rPr>
          <w:rFonts w:hAnsi="黑体"/>
          <w:b/>
          <w:sz w:val="32"/>
          <w:szCs w:val="32"/>
        </w:rPr>
        <w:t>2021</w:t>
      </w:r>
      <w:r>
        <w:rPr>
          <w:rFonts w:hint="eastAsia" w:hAnsi="黑体"/>
          <w:b/>
          <w:sz w:val="32"/>
          <w:szCs w:val="32"/>
        </w:rPr>
        <w:t>年度预算绩效情况说明</w:t>
      </w:r>
    </w:p>
    <w:p>
      <w:pPr>
        <w:autoSpaceDE w:val="0"/>
        <w:autoSpaceDN w:val="0"/>
        <w:adjustRightInd w:val="0"/>
        <w:ind w:firstLine="641" w:firstLineChars="200"/>
        <w:jc w:val="left"/>
        <w:outlineLvl w:val="1"/>
        <w:rPr>
          <w:rFonts w:asci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1</w:t>
      </w:r>
      <w:r>
        <w:rPr>
          <w:rFonts w:hint="eastAsia" w:ascii="宋体" w:hAnsi="宋体" w:cs="黑体"/>
          <w:b/>
          <w:color w:val="000000"/>
          <w:kern w:val="0"/>
          <w:sz w:val="32"/>
          <w:szCs w:val="32"/>
        </w:rPr>
        <w:t>）绩效管理评价工作开展情况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年度一般公共预算项目支出全面开展绩效自评，其中，一级项目</w:t>
      </w:r>
      <w:r>
        <w:rPr>
          <w:rFonts w:ascii="宋体" w:hAnsi="宋体" w:cs="黑体"/>
          <w:color w:val="000000"/>
          <w:kern w:val="0"/>
          <w:sz w:val="32"/>
          <w:szCs w:val="32"/>
        </w:rPr>
        <w:t>1</w:t>
      </w:r>
      <w:r>
        <w:rPr>
          <w:rFonts w:hint="eastAsia" w:ascii="宋体" w:hAnsi="宋体" w:cs="黑体"/>
          <w:color w:val="000000"/>
          <w:kern w:val="0"/>
          <w:sz w:val="32"/>
          <w:szCs w:val="32"/>
        </w:rPr>
        <w:t>个，二级项目</w:t>
      </w:r>
      <w:r>
        <w:rPr>
          <w:rFonts w:ascii="宋体" w:cs="黑体"/>
          <w:color w:val="000000"/>
          <w:kern w:val="0"/>
          <w:sz w:val="32"/>
          <w:szCs w:val="32"/>
        </w:rPr>
        <w:t>0</w:t>
      </w:r>
      <w:r>
        <w:rPr>
          <w:rFonts w:hint="eastAsia" w:ascii="宋体" w:hAnsi="宋体" w:cs="黑体"/>
          <w:color w:val="000000"/>
          <w:kern w:val="0"/>
          <w:sz w:val="32"/>
          <w:szCs w:val="32"/>
        </w:rPr>
        <w:t>个，共涉及资金</w:t>
      </w:r>
      <w:r>
        <w:rPr>
          <w:rFonts w:ascii="宋体" w:hAnsi="宋体" w:cs="黑体"/>
          <w:color w:val="000000"/>
          <w:kern w:val="0"/>
          <w:sz w:val="32"/>
          <w:szCs w:val="32"/>
        </w:rPr>
        <w:t>10</w:t>
      </w:r>
      <w:r>
        <w:rPr>
          <w:rFonts w:hint="eastAsia" w:ascii="宋体" w:hAnsi="宋体" w:cs="黑体"/>
          <w:color w:val="000000"/>
          <w:kern w:val="0"/>
          <w:sz w:val="32"/>
          <w:szCs w:val="32"/>
        </w:rPr>
        <w:t>万元，占一般公共预算项目支出总额的</w:t>
      </w:r>
      <w:r>
        <w:rPr>
          <w:rFonts w:ascii="宋体" w:hAnsi="宋体" w:cs="黑体"/>
          <w:color w:val="000000"/>
          <w:kern w:val="0"/>
          <w:sz w:val="32"/>
          <w:szCs w:val="32"/>
        </w:rPr>
        <w:t>100%</w:t>
      </w:r>
      <w:r>
        <w:rPr>
          <w:rFonts w:hint="eastAsia" w:ascii="宋体" w:hAnsi="宋体" w:cs="黑体"/>
          <w:color w:val="000000"/>
          <w:kern w:val="0"/>
          <w:sz w:val="32"/>
          <w:szCs w:val="32"/>
        </w:rPr>
        <w:t>。</w:t>
      </w:r>
    </w:p>
    <w:p>
      <w:pPr>
        <w:pStyle w:val="10"/>
        <w:ind w:firstLine="640" w:firstLineChars="200"/>
        <w:rPr>
          <w:rFonts w:hAnsi="??"/>
          <w:sz w:val="32"/>
          <w:szCs w:val="32"/>
        </w:rPr>
      </w:pPr>
      <w:r>
        <w:rPr>
          <w:rFonts w:hAnsi="??"/>
          <w:sz w:val="32"/>
          <w:szCs w:val="32"/>
        </w:rPr>
        <w:t>(2)</w:t>
      </w:r>
      <w:r>
        <w:rPr>
          <w:rFonts w:ascii="宋体" w:hAnsi="宋体"/>
          <w:b/>
          <w:sz w:val="32"/>
          <w:szCs w:val="32"/>
        </w:rPr>
        <w:t xml:space="preserve"> </w:t>
      </w:r>
      <w:r>
        <w:rPr>
          <w:rFonts w:hint="eastAsia" w:ascii="宋体" w:hAnsi="宋体"/>
          <w:b/>
          <w:sz w:val="32"/>
          <w:szCs w:val="32"/>
        </w:rPr>
        <w:t>部门决算中项目绩效自评结果。</w:t>
      </w:r>
    </w:p>
    <w:p>
      <w:pPr>
        <w:pStyle w:val="10"/>
        <w:ind w:firstLine="640" w:firstLineChars="200"/>
        <w:rPr>
          <w:rFonts w:ascii="宋体" w:hAnsi="宋体" w:eastAsia="宋体"/>
          <w:sz w:val="32"/>
          <w:szCs w:val="32"/>
        </w:rPr>
      </w:pPr>
      <w:r>
        <w:rPr>
          <w:rFonts w:hint="eastAsia" w:hAnsi="??"/>
          <w:sz w:val="32"/>
          <w:szCs w:val="32"/>
        </w:rPr>
        <w:t>部</w:t>
      </w:r>
      <w:r>
        <w:rPr>
          <w:rFonts w:hint="eastAsia" w:ascii="宋体" w:hAnsi="宋体" w:eastAsia="宋体" w:cs="宋体"/>
          <w:sz w:val="32"/>
          <w:szCs w:val="32"/>
        </w:rPr>
        <w:t>门</w:t>
      </w:r>
      <w:r>
        <w:rPr>
          <w:rFonts w:hint="eastAsia" w:hAnsi="??"/>
          <w:sz w:val="32"/>
          <w:szCs w:val="32"/>
        </w:rPr>
        <w:t>整体支出</w:t>
      </w:r>
      <w:r>
        <w:rPr>
          <w:rFonts w:hint="eastAsia" w:ascii="宋体" w:hAnsi="宋体" w:eastAsia="宋体" w:cs="宋体"/>
          <w:sz w:val="32"/>
          <w:szCs w:val="32"/>
        </w:rPr>
        <w:t>绩</w:t>
      </w:r>
      <w:r>
        <w:rPr>
          <w:rFonts w:hint="eastAsia" w:hAnsi="??"/>
          <w:sz w:val="32"/>
          <w:szCs w:val="32"/>
        </w:rPr>
        <w:t>效自</w:t>
      </w:r>
      <w:r>
        <w:rPr>
          <w:rFonts w:hint="eastAsia" w:ascii="宋体" w:hAnsi="宋体" w:eastAsia="宋体" w:cs="宋体"/>
          <w:sz w:val="32"/>
          <w:szCs w:val="32"/>
        </w:rPr>
        <w:t>评</w:t>
      </w:r>
      <w:r>
        <w:rPr>
          <w:rFonts w:hint="eastAsia" w:hAnsi="??"/>
          <w:sz w:val="32"/>
          <w:szCs w:val="32"/>
        </w:rPr>
        <w:t>得分</w:t>
      </w:r>
      <w:r>
        <w:rPr>
          <w:rFonts w:hAnsi="??"/>
          <w:sz w:val="32"/>
          <w:szCs w:val="32"/>
        </w:rPr>
        <w:t>98</w:t>
      </w:r>
      <w:r>
        <w:rPr>
          <w:rFonts w:hint="eastAsia" w:hAnsi="??"/>
          <w:sz w:val="32"/>
          <w:szCs w:val="32"/>
        </w:rPr>
        <w:t>分，</w:t>
      </w:r>
      <w:r>
        <w:rPr>
          <w:rFonts w:hint="eastAsia" w:ascii="宋体" w:hAnsi="宋体" w:eastAsia="宋体" w:cs="宋体"/>
          <w:sz w:val="32"/>
          <w:szCs w:val="32"/>
        </w:rPr>
        <w:t>评</w:t>
      </w:r>
      <w:r>
        <w:rPr>
          <w:rFonts w:hint="eastAsia" w:hAnsi="??"/>
          <w:sz w:val="32"/>
          <w:szCs w:val="32"/>
        </w:rPr>
        <w:t>价等</w:t>
      </w:r>
      <w:r>
        <w:rPr>
          <w:rFonts w:hint="eastAsia" w:ascii="宋体" w:hAnsi="宋体" w:eastAsia="宋体" w:cs="宋体"/>
          <w:sz w:val="32"/>
          <w:szCs w:val="32"/>
        </w:rPr>
        <w:t>级为</w:t>
      </w:r>
      <w:r>
        <w:rPr>
          <w:rFonts w:hint="eastAsia" w:hAnsi="??"/>
          <w:sz w:val="32"/>
          <w:szCs w:val="32"/>
        </w:rPr>
        <w:t>优秀。</w:t>
      </w:r>
    </w:p>
    <w:p>
      <w:pPr>
        <w:pStyle w:val="10"/>
        <w:ind w:firstLine="640" w:firstLineChars="200"/>
        <w:rPr>
          <w:rFonts w:ascii="宋体" w:hAnsi="宋体" w:eastAsia="宋体"/>
          <w:sz w:val="32"/>
          <w:szCs w:val="32"/>
        </w:rPr>
      </w:pPr>
      <w:r>
        <w:rPr>
          <w:rFonts w:hint="eastAsia" w:ascii="宋体" w:hAnsi="宋体" w:eastAsia="宋体"/>
          <w:sz w:val="32"/>
          <w:szCs w:val="32"/>
        </w:rPr>
        <w:t>已按县财政局统一要求随同部门决算作为附件公开。</w:t>
      </w:r>
    </w:p>
    <w:p>
      <w:pPr>
        <w:pStyle w:val="10"/>
        <w:ind w:firstLine="640" w:firstLineChars="200"/>
        <w:rPr>
          <w:rFonts w:ascii="宋体" w:hAnsi="宋体" w:eastAsia="宋体"/>
          <w:sz w:val="32"/>
          <w:szCs w:val="32"/>
        </w:rPr>
      </w:pPr>
    </w:p>
    <w:p>
      <w:pPr>
        <w:pStyle w:val="10"/>
        <w:rPr>
          <w:rFonts w:ascii="宋体" w:hAnsi="宋体" w:eastAsia="宋体"/>
          <w:sz w:val="32"/>
          <w:szCs w:val="32"/>
        </w:rPr>
      </w:pPr>
    </w:p>
    <w:p>
      <w:pPr>
        <w:pStyle w:val="10"/>
        <w:rPr>
          <w:rFonts w:hAnsi="黑体"/>
          <w:b/>
          <w:sz w:val="32"/>
          <w:szCs w:val="32"/>
        </w:rPr>
      </w:pPr>
    </w:p>
    <w:p>
      <w:pPr>
        <w:pStyle w:val="10"/>
        <w:rPr>
          <w:rFonts w:ascii="宋体" w:hAnsi="宋体" w:eastAsia="宋体"/>
          <w:sz w:val="32"/>
          <w:szCs w:val="3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outlineLvl w:val="0"/>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32"/>
          <w:szCs w:val="32"/>
        </w:rPr>
        <w:t>(</w:t>
      </w:r>
      <w:r>
        <w:rPr>
          <w:rFonts w:hint="eastAsia" w:ascii="宋体" w:hAnsi="宋体" w:cs="黑体"/>
          <w:color w:val="000000"/>
          <w:kern w:val="0"/>
          <w:sz w:val="32"/>
          <w:szCs w:val="32"/>
        </w:rPr>
        <w:t>见习期</w:t>
      </w:r>
      <w:r>
        <w:rPr>
          <w:rFonts w:ascii="宋体" w:hAnsi="宋体" w:cs="黑体"/>
          <w:color w:val="000000"/>
          <w:kern w:val="0"/>
          <w:sz w:val="32"/>
          <w:szCs w:val="32"/>
        </w:rPr>
        <w:t>)</w:t>
      </w:r>
      <w:r>
        <w:rPr>
          <w:rFonts w:hint="eastAsia" w:ascii="宋体" w:hAnsi="宋体" w:cs="黑体"/>
          <w:color w:val="000000"/>
          <w:kern w:val="0"/>
          <w:sz w:val="32"/>
          <w:szCs w:val="32"/>
        </w:rPr>
        <w:t>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职业年金缴费：反映机关事业单位实际缴纳的职业年金支出。由单位代扣的工作人员职业年金缴费，不在此科目反映。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公务员医疗补助缴费：反映按规定可享受公务员医疗补助单位为职工缴纳的公务员医疗补助费。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印刷费：反映单位的印刷费支出。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手续费：反映单位支付的各类手续费支出。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水费：反映单位支付的水费、污水处理费等支出。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电费：反映单位的电费支出。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物业管理费：反映单位开支的办公用房以及未实行职工住宅物业服务改革的在职职工和离退休人员宿舍等的物业</w:t>
      </w:r>
      <w:r>
        <w:rPr>
          <w:rFonts w:ascii="宋体" w:hAnsi="宋体" w:cs="黑体"/>
          <w:color w:val="000000"/>
          <w:kern w:val="0"/>
          <w:sz w:val="32"/>
          <w:szCs w:val="32"/>
        </w:rPr>
        <w:t xml:space="preserve"> </w:t>
      </w:r>
      <w:r>
        <w:rPr>
          <w:rFonts w:hint="eastAsia" w:ascii="宋体" w:hAnsi="宋体" w:cs="黑体"/>
          <w:color w:val="000000"/>
          <w:kern w:val="0"/>
          <w:sz w:val="32"/>
          <w:szCs w:val="32"/>
        </w:rPr>
        <w:t>管理费，包括综合治理、绿化、卫生等方面的支出。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差旅费：反映单位工作人员出差发生的城市间交通费、住宿费、伙食补贴费和市内交通费。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维修</w:t>
      </w:r>
      <w:r>
        <w:rPr>
          <w:rFonts w:ascii="宋体" w:hAnsi="宋体" w:cs="黑体"/>
          <w:color w:val="000000"/>
          <w:kern w:val="0"/>
          <w:sz w:val="32"/>
          <w:szCs w:val="32"/>
        </w:rPr>
        <w:t>(</w:t>
      </w:r>
      <w:r>
        <w:rPr>
          <w:rFonts w:hint="eastAsia" w:ascii="宋体" w:hAnsi="宋体" w:cs="黑体"/>
          <w:color w:val="000000"/>
          <w:kern w:val="0"/>
          <w:sz w:val="32"/>
          <w:szCs w:val="32"/>
        </w:rPr>
        <w:t>护</w:t>
      </w:r>
      <w:r>
        <w:rPr>
          <w:rFonts w:ascii="宋体" w:hAnsi="宋体" w:cs="黑体"/>
          <w:color w:val="000000"/>
          <w:kern w:val="0"/>
          <w:sz w:val="32"/>
          <w:szCs w:val="32"/>
        </w:rPr>
        <w:t>)</w:t>
      </w:r>
      <w:r>
        <w:rPr>
          <w:rFonts w:hint="eastAsia" w:ascii="宋体" w:hAnsi="宋体" w:cs="黑体"/>
          <w:color w:val="000000"/>
          <w:kern w:val="0"/>
          <w:sz w:val="32"/>
          <w:szCs w:val="32"/>
        </w:rPr>
        <w:t>费：反映单位日常开支的固定资产（不包括车船等交通工具）修理和维护费用，网络信息系统运行与维护费用，以及按规定提取的修购基金。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会议费：反映会议中按规定开支的住宿费、伙食费、会议室租金、交通费、文件印刷费、医药费等。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培训费：反映除因公出国（境）培训费以外的各类培训支出。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公务接待费：反映单位按规定开支的各类公务接待（含外宾接待）费用。</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劳务费：反映支付给单位和个人的劳务费用，如临时聘用人员、钟点工工资，稿费、翻译费，评审费等。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福利费：反映单位按规定提取的福利费。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抚恤金：反映按规定开支的烈士遗属、牺牲病故人员遗属的一次性和定期抚恤金，伤残人员的抚恤金，离退休人员等其他人员的各项抚恤金。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ind w:firstLine="640" w:firstLineChars="200"/>
        <w:jc w:val="left"/>
        <w:rPr>
          <w:rFonts w:ascii="宋体" w:hAnsi="宋体" w:eastAsia="黑体" w:cs="黑体"/>
          <w:color w:val="000000"/>
          <w:kern w:val="0"/>
          <w:sz w:val="28"/>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p>
    <w:p>
      <w:pPr>
        <w:widowControl/>
        <w:jc w:val="left"/>
        <w:rPr>
          <w:rFonts w:ascii="宋体" w:hAnsi="宋体" w:eastAsia="黑体" w:cs="黑体"/>
          <w:color w:val="000000"/>
          <w:kern w:val="0"/>
          <w:sz w:val="28"/>
          <w:szCs w:val="32"/>
        </w:rPr>
      </w:pPr>
    </w:p>
    <w:p>
      <w:pPr>
        <w:pStyle w:val="10"/>
        <w:jc w:val="center"/>
        <w:rPr>
          <w:sz w:val="72"/>
          <w:szCs w:val="72"/>
        </w:rPr>
      </w:pPr>
    </w:p>
    <w:p>
      <w:pPr>
        <w:pStyle w:val="10"/>
        <w:jc w:val="center"/>
        <w:rPr>
          <w:sz w:val="72"/>
          <w:szCs w:val="72"/>
        </w:rPr>
      </w:pPr>
    </w:p>
    <w:p>
      <w:pPr>
        <w:pStyle w:val="10"/>
        <w:jc w:val="center"/>
        <w:rPr>
          <w:sz w:val="72"/>
          <w:szCs w:val="72"/>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rFonts w:ascii="黑体" w:eastAsia="黑体" w:cs="黑体"/>
          <w:color w:val="000000"/>
          <w:kern w:val="0"/>
          <w:sz w:val="70"/>
          <w:szCs w:val="70"/>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2" w:firstLineChars="600"/>
        <w:jc w:val="left"/>
        <w:rPr>
          <w:rFonts w:ascii="宋体" w:cs="黑体"/>
          <w:b/>
          <w:color w:val="000000"/>
          <w:kern w:val="0"/>
          <w:sz w:val="32"/>
          <w:szCs w:val="32"/>
        </w:rPr>
      </w:pPr>
    </w:p>
    <w:p>
      <w:pPr>
        <w:ind w:firstLine="1906" w:firstLineChars="595"/>
        <w:jc w:val="left"/>
        <w:rPr>
          <w:rFonts w:ascii="宋体" w:cs="黑体"/>
          <w:b/>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年度部门决算公开表</w:t>
      </w:r>
    </w:p>
    <w:p>
      <w:pPr>
        <w:ind w:firstLine="1425" w:firstLineChars="445"/>
        <w:jc w:val="left"/>
        <w:rPr>
          <w:rFonts w:ascii="宋体" w:cs="黑体"/>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
    <w:altName w:val="苹方-简"/>
    <w:panose1 w:val="00000000000000000000"/>
    <w:charset w:val="00"/>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cs="Times New Roman"/>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xN2IyODkxMWNjYjg0NzU5ZDc5YjFlNGM5MWI5ZGIifQ=="/>
  </w:docVars>
  <w:rsids>
    <w:rsidRoot w:val="004506F9"/>
    <w:rsid w:val="00004A7E"/>
    <w:rsid w:val="00016A0F"/>
    <w:rsid w:val="0002229B"/>
    <w:rsid w:val="000273BD"/>
    <w:rsid w:val="000331B9"/>
    <w:rsid w:val="000415B7"/>
    <w:rsid w:val="00041E3F"/>
    <w:rsid w:val="00047B49"/>
    <w:rsid w:val="00050D9E"/>
    <w:rsid w:val="00055DAA"/>
    <w:rsid w:val="00061F7B"/>
    <w:rsid w:val="0006429D"/>
    <w:rsid w:val="000658A3"/>
    <w:rsid w:val="00074155"/>
    <w:rsid w:val="000873EF"/>
    <w:rsid w:val="000A3F69"/>
    <w:rsid w:val="000D4957"/>
    <w:rsid w:val="000F76B2"/>
    <w:rsid w:val="00103957"/>
    <w:rsid w:val="001212C3"/>
    <w:rsid w:val="00124A1F"/>
    <w:rsid w:val="001361AF"/>
    <w:rsid w:val="001437AD"/>
    <w:rsid w:val="00152C6D"/>
    <w:rsid w:val="00155856"/>
    <w:rsid w:val="00162D39"/>
    <w:rsid w:val="001678BD"/>
    <w:rsid w:val="0017002E"/>
    <w:rsid w:val="00182373"/>
    <w:rsid w:val="0019464C"/>
    <w:rsid w:val="001A67DB"/>
    <w:rsid w:val="001A715B"/>
    <w:rsid w:val="001C3C29"/>
    <w:rsid w:val="001D12E6"/>
    <w:rsid w:val="001D35B1"/>
    <w:rsid w:val="001D51E5"/>
    <w:rsid w:val="001D5383"/>
    <w:rsid w:val="001E080D"/>
    <w:rsid w:val="001E2A4D"/>
    <w:rsid w:val="001E53D0"/>
    <w:rsid w:val="001F0C3B"/>
    <w:rsid w:val="00202C14"/>
    <w:rsid w:val="00202C82"/>
    <w:rsid w:val="00214427"/>
    <w:rsid w:val="00214F2C"/>
    <w:rsid w:val="00226CB7"/>
    <w:rsid w:val="00264552"/>
    <w:rsid w:val="00264EF9"/>
    <w:rsid w:val="00265724"/>
    <w:rsid w:val="002657D9"/>
    <w:rsid w:val="0027426B"/>
    <w:rsid w:val="0027583B"/>
    <w:rsid w:val="00280813"/>
    <w:rsid w:val="00280C18"/>
    <w:rsid w:val="002A60AC"/>
    <w:rsid w:val="002A7C46"/>
    <w:rsid w:val="002E0A30"/>
    <w:rsid w:val="002E6D6C"/>
    <w:rsid w:val="002F394D"/>
    <w:rsid w:val="0030494D"/>
    <w:rsid w:val="003130C4"/>
    <w:rsid w:val="00315261"/>
    <w:rsid w:val="00316C4B"/>
    <w:rsid w:val="0032192B"/>
    <w:rsid w:val="0032594C"/>
    <w:rsid w:val="003479BD"/>
    <w:rsid w:val="00357731"/>
    <w:rsid w:val="00360D17"/>
    <w:rsid w:val="0036118A"/>
    <w:rsid w:val="003631FD"/>
    <w:rsid w:val="0037197D"/>
    <w:rsid w:val="0037284B"/>
    <w:rsid w:val="00373180"/>
    <w:rsid w:val="003768D5"/>
    <w:rsid w:val="00391D3A"/>
    <w:rsid w:val="00392DFE"/>
    <w:rsid w:val="00395823"/>
    <w:rsid w:val="00397A4B"/>
    <w:rsid w:val="003C4197"/>
    <w:rsid w:val="003C47E6"/>
    <w:rsid w:val="003C4FC2"/>
    <w:rsid w:val="003E0296"/>
    <w:rsid w:val="003E2331"/>
    <w:rsid w:val="003F09A1"/>
    <w:rsid w:val="004030ED"/>
    <w:rsid w:val="004127B6"/>
    <w:rsid w:val="00416E61"/>
    <w:rsid w:val="0042790C"/>
    <w:rsid w:val="00442134"/>
    <w:rsid w:val="004506F9"/>
    <w:rsid w:val="004554A6"/>
    <w:rsid w:val="004717A2"/>
    <w:rsid w:val="00473DF3"/>
    <w:rsid w:val="00487911"/>
    <w:rsid w:val="00491741"/>
    <w:rsid w:val="004B0CEE"/>
    <w:rsid w:val="004B5CAE"/>
    <w:rsid w:val="004E0009"/>
    <w:rsid w:val="004F3864"/>
    <w:rsid w:val="00500E5F"/>
    <w:rsid w:val="00502F4C"/>
    <w:rsid w:val="00505EB9"/>
    <w:rsid w:val="005122EF"/>
    <w:rsid w:val="00512832"/>
    <w:rsid w:val="0051441A"/>
    <w:rsid w:val="00515884"/>
    <w:rsid w:val="00517C33"/>
    <w:rsid w:val="00517D5F"/>
    <w:rsid w:val="00521AF2"/>
    <w:rsid w:val="00523644"/>
    <w:rsid w:val="005270AE"/>
    <w:rsid w:val="0054069E"/>
    <w:rsid w:val="00544866"/>
    <w:rsid w:val="00547E32"/>
    <w:rsid w:val="0055344E"/>
    <w:rsid w:val="00573D7D"/>
    <w:rsid w:val="005767CC"/>
    <w:rsid w:val="0058024E"/>
    <w:rsid w:val="00590D9F"/>
    <w:rsid w:val="00593970"/>
    <w:rsid w:val="005958FE"/>
    <w:rsid w:val="00595D26"/>
    <w:rsid w:val="0059668D"/>
    <w:rsid w:val="00597856"/>
    <w:rsid w:val="005A74E6"/>
    <w:rsid w:val="005A782C"/>
    <w:rsid w:val="005B0101"/>
    <w:rsid w:val="005B067D"/>
    <w:rsid w:val="005B404E"/>
    <w:rsid w:val="005D4D55"/>
    <w:rsid w:val="005E2CFB"/>
    <w:rsid w:val="005F0EFD"/>
    <w:rsid w:val="005F2103"/>
    <w:rsid w:val="005F3D1C"/>
    <w:rsid w:val="005F7036"/>
    <w:rsid w:val="006106AB"/>
    <w:rsid w:val="00610C8F"/>
    <w:rsid w:val="00611240"/>
    <w:rsid w:val="0062248F"/>
    <w:rsid w:val="0062378F"/>
    <w:rsid w:val="006303A4"/>
    <w:rsid w:val="00637C2B"/>
    <w:rsid w:val="00641842"/>
    <w:rsid w:val="00651EEC"/>
    <w:rsid w:val="00676EE2"/>
    <w:rsid w:val="00686673"/>
    <w:rsid w:val="006908A2"/>
    <w:rsid w:val="00691E8C"/>
    <w:rsid w:val="006A1285"/>
    <w:rsid w:val="006A22C4"/>
    <w:rsid w:val="006A348B"/>
    <w:rsid w:val="006A351B"/>
    <w:rsid w:val="006B0422"/>
    <w:rsid w:val="006B7E30"/>
    <w:rsid w:val="006C1B53"/>
    <w:rsid w:val="006D7730"/>
    <w:rsid w:val="006E5284"/>
    <w:rsid w:val="006E5402"/>
    <w:rsid w:val="006F0858"/>
    <w:rsid w:val="006F3EB5"/>
    <w:rsid w:val="00700509"/>
    <w:rsid w:val="007018D0"/>
    <w:rsid w:val="00702E34"/>
    <w:rsid w:val="00704395"/>
    <w:rsid w:val="00710FE7"/>
    <w:rsid w:val="00717621"/>
    <w:rsid w:val="00720FF1"/>
    <w:rsid w:val="00721C91"/>
    <w:rsid w:val="00727A53"/>
    <w:rsid w:val="00730EE7"/>
    <w:rsid w:val="00736B4E"/>
    <w:rsid w:val="00742C2B"/>
    <w:rsid w:val="00760A81"/>
    <w:rsid w:val="00764FC6"/>
    <w:rsid w:val="00787B42"/>
    <w:rsid w:val="00795BED"/>
    <w:rsid w:val="007C0787"/>
    <w:rsid w:val="007C4539"/>
    <w:rsid w:val="007C6F61"/>
    <w:rsid w:val="007D7F40"/>
    <w:rsid w:val="007F3657"/>
    <w:rsid w:val="00802A0B"/>
    <w:rsid w:val="00812ED5"/>
    <w:rsid w:val="00814318"/>
    <w:rsid w:val="008173D6"/>
    <w:rsid w:val="008277D9"/>
    <w:rsid w:val="00834C95"/>
    <w:rsid w:val="0084478C"/>
    <w:rsid w:val="008619AD"/>
    <w:rsid w:val="0086638C"/>
    <w:rsid w:val="00870DD3"/>
    <w:rsid w:val="00893120"/>
    <w:rsid w:val="008953D8"/>
    <w:rsid w:val="008A02CE"/>
    <w:rsid w:val="008A3E8D"/>
    <w:rsid w:val="008F0856"/>
    <w:rsid w:val="00903947"/>
    <w:rsid w:val="00915A97"/>
    <w:rsid w:val="009237C4"/>
    <w:rsid w:val="00944C48"/>
    <w:rsid w:val="00947FFA"/>
    <w:rsid w:val="00950252"/>
    <w:rsid w:val="00961765"/>
    <w:rsid w:val="00967F5D"/>
    <w:rsid w:val="009805D2"/>
    <w:rsid w:val="00985383"/>
    <w:rsid w:val="009A0F95"/>
    <w:rsid w:val="009B3ADF"/>
    <w:rsid w:val="009B4F1A"/>
    <w:rsid w:val="009C3B52"/>
    <w:rsid w:val="009C3DBB"/>
    <w:rsid w:val="009D0285"/>
    <w:rsid w:val="009D61B1"/>
    <w:rsid w:val="009E6817"/>
    <w:rsid w:val="009E6E9A"/>
    <w:rsid w:val="00A01D2B"/>
    <w:rsid w:val="00A34913"/>
    <w:rsid w:val="00A42218"/>
    <w:rsid w:val="00A44F0D"/>
    <w:rsid w:val="00A51D90"/>
    <w:rsid w:val="00A55409"/>
    <w:rsid w:val="00A6095E"/>
    <w:rsid w:val="00A70249"/>
    <w:rsid w:val="00A70B02"/>
    <w:rsid w:val="00A71825"/>
    <w:rsid w:val="00A71D9F"/>
    <w:rsid w:val="00A85393"/>
    <w:rsid w:val="00A92E9F"/>
    <w:rsid w:val="00A9440A"/>
    <w:rsid w:val="00AB6F19"/>
    <w:rsid w:val="00B0072E"/>
    <w:rsid w:val="00B00DCE"/>
    <w:rsid w:val="00B31931"/>
    <w:rsid w:val="00B33BEA"/>
    <w:rsid w:val="00B35C22"/>
    <w:rsid w:val="00B45E24"/>
    <w:rsid w:val="00B54BA4"/>
    <w:rsid w:val="00B57C9F"/>
    <w:rsid w:val="00B63572"/>
    <w:rsid w:val="00B6445D"/>
    <w:rsid w:val="00B7539A"/>
    <w:rsid w:val="00B845B3"/>
    <w:rsid w:val="00B85D8B"/>
    <w:rsid w:val="00BA336E"/>
    <w:rsid w:val="00BA7E5D"/>
    <w:rsid w:val="00BB0514"/>
    <w:rsid w:val="00BB0822"/>
    <w:rsid w:val="00BB4A40"/>
    <w:rsid w:val="00BB5A6F"/>
    <w:rsid w:val="00BC0D11"/>
    <w:rsid w:val="00BD6C3E"/>
    <w:rsid w:val="00BE3674"/>
    <w:rsid w:val="00C10681"/>
    <w:rsid w:val="00C20C61"/>
    <w:rsid w:val="00C3049A"/>
    <w:rsid w:val="00C31B1E"/>
    <w:rsid w:val="00C648B4"/>
    <w:rsid w:val="00C77645"/>
    <w:rsid w:val="00CA2061"/>
    <w:rsid w:val="00CC3443"/>
    <w:rsid w:val="00CC5246"/>
    <w:rsid w:val="00CD33C4"/>
    <w:rsid w:val="00CD3C7D"/>
    <w:rsid w:val="00CE04C3"/>
    <w:rsid w:val="00CE76A0"/>
    <w:rsid w:val="00D03009"/>
    <w:rsid w:val="00D04085"/>
    <w:rsid w:val="00D0655F"/>
    <w:rsid w:val="00D148C6"/>
    <w:rsid w:val="00D15B06"/>
    <w:rsid w:val="00D17A8A"/>
    <w:rsid w:val="00D17E64"/>
    <w:rsid w:val="00D2180A"/>
    <w:rsid w:val="00D40E39"/>
    <w:rsid w:val="00D415BA"/>
    <w:rsid w:val="00D424EF"/>
    <w:rsid w:val="00D63780"/>
    <w:rsid w:val="00D644EE"/>
    <w:rsid w:val="00D75489"/>
    <w:rsid w:val="00D8139F"/>
    <w:rsid w:val="00DA3819"/>
    <w:rsid w:val="00DB09FB"/>
    <w:rsid w:val="00DD06FF"/>
    <w:rsid w:val="00DD5FE9"/>
    <w:rsid w:val="00DE3BA0"/>
    <w:rsid w:val="00DF28C8"/>
    <w:rsid w:val="00E00C7A"/>
    <w:rsid w:val="00E065ED"/>
    <w:rsid w:val="00E209CF"/>
    <w:rsid w:val="00E308E6"/>
    <w:rsid w:val="00E37D6C"/>
    <w:rsid w:val="00E5070A"/>
    <w:rsid w:val="00E55B68"/>
    <w:rsid w:val="00E67BE6"/>
    <w:rsid w:val="00E67D81"/>
    <w:rsid w:val="00E82061"/>
    <w:rsid w:val="00E8683C"/>
    <w:rsid w:val="00EA1714"/>
    <w:rsid w:val="00EA2B72"/>
    <w:rsid w:val="00EB5559"/>
    <w:rsid w:val="00EE2946"/>
    <w:rsid w:val="00EE2BF2"/>
    <w:rsid w:val="00F3374B"/>
    <w:rsid w:val="00F33A95"/>
    <w:rsid w:val="00F5598C"/>
    <w:rsid w:val="00F56925"/>
    <w:rsid w:val="00F7196C"/>
    <w:rsid w:val="00F74360"/>
    <w:rsid w:val="00F83D42"/>
    <w:rsid w:val="00F97100"/>
    <w:rsid w:val="00FA021A"/>
    <w:rsid w:val="00FA0A43"/>
    <w:rsid w:val="00FA3428"/>
    <w:rsid w:val="00FB462F"/>
    <w:rsid w:val="00FB7D82"/>
    <w:rsid w:val="00FC0BAF"/>
    <w:rsid w:val="00FE15A6"/>
    <w:rsid w:val="00FE16FA"/>
    <w:rsid w:val="00FE328A"/>
    <w:rsid w:val="00FE6269"/>
    <w:rsid w:val="00FE6AB4"/>
    <w:rsid w:val="00FF5CD6"/>
    <w:rsid w:val="0F927BB6"/>
    <w:rsid w:val="115F7498"/>
    <w:rsid w:val="1A4B61EF"/>
    <w:rsid w:val="38FD77E2"/>
    <w:rsid w:val="3FFE0E5D"/>
    <w:rsid w:val="52ED230C"/>
    <w:rsid w:val="647D565B"/>
    <w:rsid w:val="64A82235"/>
    <w:rsid w:val="703445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cs="Times New Roman"/>
      <w:sz w:val="18"/>
      <w:szCs w:val="18"/>
    </w:rPr>
  </w:style>
  <w:style w:type="character" w:customStyle="1" w:styleId="8">
    <w:name w:val="Footer Char"/>
    <w:basedOn w:val="6"/>
    <w:link w:val="3"/>
    <w:qFormat/>
    <w:locked/>
    <w:uiPriority w:val="99"/>
    <w:rPr>
      <w:rFonts w:cs="Times New Roman"/>
      <w:sz w:val="18"/>
      <w:szCs w:val="18"/>
    </w:rPr>
  </w:style>
  <w:style w:type="character" w:customStyle="1" w:styleId="9">
    <w:name w:val="Header Char"/>
    <w:basedOn w:val="6"/>
    <w:link w:val="4"/>
    <w:qFormat/>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1">
    <w:name w:val="List Paragraph"/>
    <w:basedOn w:val="1"/>
    <w:qFormat/>
    <w:uiPriority w:val="99"/>
    <w:pPr>
      <w:ind w:firstLine="420" w:firstLineChars="200"/>
    </w:pPr>
  </w:style>
  <w:style w:type="paragraph" w:customStyle="1" w:styleId="12">
    <w:name w:val="列出段落1"/>
    <w:basedOn w:val="1"/>
    <w:qFormat/>
    <w:uiPriority w:val="99"/>
    <w:pPr>
      <w:ind w:firstLine="420" w:firstLineChars="200"/>
    </w:pPr>
  </w:style>
  <w:style w:type="character" w:customStyle="1" w:styleId="13">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5955</Words>
  <Characters>6235</Characters>
  <Lines>0</Lines>
  <Paragraphs>0</Paragraphs>
  <TotalTime>253</TotalTime>
  <ScaleCrop>false</ScaleCrop>
  <LinksUpToDate>false</LinksUpToDate>
  <CharactersWithSpaces>6270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2022-10-24T08:55:00Z</dcterms:created>
  <dc:creator>李航 null</dc:creator>
  <cp:lastModifiedBy>Blau</cp:lastModifiedBy>
  <cp:lastPrinted>2022-07-27T20:55:00Z</cp:lastPrinted>
  <dcterms:modified xsi:type="dcterms:W3CDTF">2023-09-23T12:48:44Z</dcterms:modified>
  <dc:title>2021年度</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79C7EF67F3374D4692BE1892E0EDBBD3</vt:lpwstr>
  </property>
</Properties>
</file>