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r>
        <w:rPr>
          <w:rFonts w:hint="eastAsia" w:ascii="黑体" w:hAnsi="黑体" w:eastAsia="黑体" w:cs="黑体"/>
          <w:bCs/>
          <w:sz w:val="32"/>
          <w:szCs w:val="32"/>
        </w:rPr>
        <w:t>-1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岳阳县商务粮食局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440001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2023</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5</w:t>
      </w:r>
      <w:r>
        <w:rPr>
          <w:rFonts w:hint="eastAsia" w:eastAsia="仿宋_GB2312"/>
          <w:sz w:val="32"/>
        </w:rPr>
        <w:t>月</w:t>
      </w:r>
      <w:r>
        <w:rPr>
          <w:rFonts w:eastAsia="仿宋_GB2312"/>
          <w:sz w:val="32"/>
        </w:rPr>
        <w:t xml:space="preserve"> </w:t>
      </w:r>
      <w:r>
        <w:rPr>
          <w:rFonts w:hint="eastAsia" w:eastAsia="仿宋_GB2312"/>
          <w:sz w:val="32"/>
          <w:lang w:val="en-US" w:eastAsia="zh-CN"/>
        </w:rPr>
        <w:t>16</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8"/>
        <w:tblW w:w="99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328"/>
        <w:gridCol w:w="89"/>
        <w:gridCol w:w="796"/>
        <w:gridCol w:w="1491"/>
        <w:gridCol w:w="226"/>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何荣荣</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07307659019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87</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600" w:lineRule="exact"/>
              <w:ind w:firstLine="560" w:firstLineChars="200"/>
              <w:rPr>
                <w:rFonts w:hint="eastAsia" w:ascii="仿宋" w:hAnsi="仿宋" w:eastAsia="仿宋" w:cs="仿宋"/>
                <w:b w:val="0"/>
                <w:bCs w:val="0"/>
                <w:kern w:val="0"/>
                <w:sz w:val="28"/>
                <w:szCs w:val="28"/>
                <w:lang w:eastAsia="zh-CN"/>
              </w:rPr>
            </w:pPr>
            <w:r>
              <w:rPr>
                <w:rFonts w:hint="eastAsia" w:ascii="仿宋" w:hAnsi="仿宋" w:eastAsia="仿宋" w:cs="仿宋"/>
                <w:color w:val="000000"/>
                <w:sz w:val="28"/>
                <w:szCs w:val="28"/>
              </w:rPr>
              <w:t>贯彻落实国家有关国内外贸易、国际经济合作的发展战略、方针、政策，拟订本县相应的中长期发展规划以及规定、办法和措施；培育发展城乡市场，推进流通产业结构调整和连锁经营、物流配送、电子商务等现代流通方式；拟订全县流通领域市场体系及流通秩序和打破市场垄断、地区封锁的政策，建立健全统一、开放、竞争、有序的市场体系；监测分析市场运行和商品供求状况，负责煤炭、成品油等重要生产资料的市场调控以及国家、省、市有关粮食流通和粮食储备方针、政策和法规，研究提出并组织实施全县粮食宏观调控和总量平衡以及制定全县粮食流通体制改革方案并负责实施。</w:t>
            </w:r>
            <w:r>
              <w:rPr>
                <w:rFonts w:hint="eastAsia" w:ascii="仿宋" w:hAnsi="仿宋" w:eastAsia="仿宋" w:cs="仿宋"/>
                <w:b w:val="0"/>
                <w:bCs w:val="0"/>
                <w:kern w:val="0"/>
                <w:sz w:val="28"/>
                <w:szCs w:val="28"/>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县粮食流通宏观调控工作,指导协调最低收购价等政策性粮食购销粮</w:t>
            </w:r>
            <w:r>
              <w:rPr>
                <w:rFonts w:hint="eastAsia" w:ascii="仿宋" w:hAnsi="仿宋" w:eastAsia="仿宋" w:cs="仿宋"/>
                <w:b w:val="0"/>
                <w:bCs w:val="0"/>
                <w:kern w:val="0"/>
                <w:sz w:val="28"/>
                <w:szCs w:val="28"/>
                <w:lang w:eastAsia="zh-CN"/>
              </w:rPr>
              <w:t>食</w:t>
            </w:r>
            <w:r>
              <w:rPr>
                <w:rFonts w:hint="eastAsia" w:ascii="仿宋" w:hAnsi="仿宋" w:eastAsia="仿宋" w:cs="仿宋"/>
                <w:b w:val="0"/>
                <w:bCs w:val="0"/>
                <w:kern w:val="0"/>
                <w:sz w:val="28"/>
                <w:szCs w:val="28"/>
              </w:rPr>
              <w:t>产销合作、保障军队粮食供应;编制粮食流通、仓储</w:t>
            </w:r>
            <w:r>
              <w:rPr>
                <w:rFonts w:hint="eastAsia" w:ascii="仿宋" w:hAnsi="仿宋" w:eastAsia="仿宋" w:cs="仿宋"/>
                <w:b w:val="0"/>
                <w:bCs w:val="0"/>
                <w:kern w:val="0"/>
                <w:sz w:val="28"/>
                <w:szCs w:val="28"/>
                <w:lang w:eastAsia="zh-CN"/>
              </w:rPr>
              <w:t>、加</w:t>
            </w:r>
            <w:r>
              <w:rPr>
                <w:rFonts w:hint="eastAsia" w:ascii="仿宋" w:hAnsi="仿宋" w:eastAsia="仿宋" w:cs="仿宋"/>
                <w:b w:val="0"/>
                <w:bCs w:val="0"/>
                <w:kern w:val="0"/>
                <w:sz w:val="28"/>
                <w:szCs w:val="28"/>
              </w:rPr>
              <w:t>工设</w:t>
            </w:r>
            <w:r>
              <w:rPr>
                <w:rFonts w:hint="eastAsia" w:ascii="仿宋" w:hAnsi="仿宋" w:eastAsia="仿宋" w:cs="仿宋"/>
                <w:b w:val="0"/>
                <w:bCs w:val="0"/>
                <w:kern w:val="0"/>
                <w:sz w:val="28"/>
                <w:szCs w:val="28"/>
                <w:lang w:eastAsia="zh-CN"/>
              </w:rPr>
              <w:t>施</w:t>
            </w:r>
            <w:r>
              <w:rPr>
                <w:rFonts w:hint="eastAsia" w:ascii="仿宋" w:hAnsi="仿宋" w:eastAsia="仿宋" w:cs="仿宋"/>
                <w:b w:val="0"/>
                <w:bCs w:val="0"/>
                <w:kern w:val="0"/>
                <w:sz w:val="28"/>
                <w:szCs w:val="28"/>
              </w:rPr>
              <w:t>建设规划</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管理有关粮食流通设施投资项目</w:t>
            </w:r>
            <w:r>
              <w:rPr>
                <w:rFonts w:hint="eastAsia" w:ascii="仿宋" w:hAnsi="仿宋" w:eastAsia="仿宋" w:cs="仿宋"/>
                <w:b w:val="0"/>
                <w:bCs w:val="0"/>
                <w:kern w:val="0"/>
                <w:sz w:val="28"/>
                <w:szCs w:val="28"/>
                <w:lang w:eastAsia="zh-CN"/>
              </w:rPr>
              <w:t>。</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任务1：</w:t>
            </w:r>
            <w:r>
              <w:rPr>
                <w:rFonts w:hint="eastAsia" w:ascii="仿宋" w:hAnsi="仿宋" w:eastAsia="仿宋" w:cs="仿宋"/>
                <w:color w:val="auto"/>
                <w:sz w:val="24"/>
                <w:szCs w:val="24"/>
                <w:lang w:eastAsia="zh-CN"/>
              </w:rPr>
              <w:t>全年预算申请到位和下达数量在</w:t>
            </w:r>
            <w:r>
              <w:rPr>
                <w:rFonts w:hint="eastAsia" w:ascii="仿宋" w:hAnsi="仿宋" w:eastAsia="仿宋" w:cs="仿宋"/>
                <w:color w:val="auto"/>
                <w:sz w:val="24"/>
                <w:szCs w:val="24"/>
                <w:lang w:val="en-US" w:eastAsia="zh-CN"/>
              </w:rPr>
              <w:t>95%以上，三公经费变动率≤0。</w:t>
            </w:r>
          </w:p>
          <w:p>
            <w:pPr>
              <w:autoSpaceDN w:val="0"/>
              <w:spacing w:line="400" w:lineRule="exact"/>
              <w:jc w:val="left"/>
              <w:textAlignment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任务2：</w:t>
            </w:r>
            <w:r>
              <w:rPr>
                <w:rFonts w:hint="eastAsia" w:ascii="仿宋" w:hAnsi="仿宋" w:eastAsia="仿宋" w:cs="仿宋"/>
                <w:color w:val="auto"/>
                <w:sz w:val="24"/>
                <w:szCs w:val="24"/>
                <w:lang w:eastAsia="zh-CN"/>
              </w:rPr>
              <w:t>社会效益、经济效益、生态效益和社会公众满意度达到预期目标。</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任务3：</w:t>
            </w:r>
            <w:r>
              <w:rPr>
                <w:rFonts w:hint="eastAsia" w:ascii="仿宋" w:hAnsi="仿宋" w:eastAsia="仿宋" w:cs="仿宋"/>
                <w:color w:val="auto"/>
                <w:sz w:val="24"/>
                <w:szCs w:val="24"/>
                <w:lang w:eastAsia="zh-CN"/>
              </w:rPr>
              <w:t>完成社会消费口零售总额</w:t>
            </w:r>
            <w:r>
              <w:rPr>
                <w:rFonts w:hint="eastAsia" w:ascii="仿宋" w:hAnsi="仿宋" w:eastAsia="仿宋" w:cs="仿宋"/>
                <w:color w:val="auto"/>
                <w:sz w:val="24"/>
                <w:szCs w:val="24"/>
                <w:lang w:val="en-US" w:eastAsia="zh-CN"/>
              </w:rPr>
              <w:t>156.84</w:t>
            </w:r>
            <w:r>
              <w:rPr>
                <w:rFonts w:hint="eastAsia" w:ascii="仿宋" w:hAnsi="仿宋" w:eastAsia="仿宋" w:cs="仿宋"/>
                <w:color w:val="auto"/>
                <w:sz w:val="24"/>
                <w:szCs w:val="24"/>
              </w:rPr>
              <w:t>亿元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全市六县市排名第二。</w:t>
            </w:r>
          </w:p>
          <w:p>
            <w:pPr>
              <w:pStyle w:val="9"/>
              <w:widowControl/>
              <w:tabs>
                <w:tab w:val="left" w:pos="420"/>
              </w:tabs>
              <w:autoSpaceDE/>
              <w:autoSpaceDN/>
              <w:spacing w:line="600" w:lineRule="exact"/>
              <w:jc w:val="both"/>
              <w:outlineLvl w:val="1"/>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任务</w:t>
            </w:r>
            <w:r>
              <w:rPr>
                <w:rFonts w:hint="eastAsia" w:ascii="仿宋" w:hAnsi="仿宋" w:eastAsia="仿宋" w:cs="仿宋"/>
                <w:color w:val="auto"/>
                <w:sz w:val="24"/>
                <w:szCs w:val="24"/>
                <w:lang w:val="en-US" w:eastAsia="zh-CN"/>
              </w:rPr>
              <w:t>4：完成省级储备粮轮换早籼稻4202吨，县级储备粮轮换早籼稻5500吨。</w:t>
            </w:r>
          </w:p>
          <w:p>
            <w:pPr>
              <w:pStyle w:val="9"/>
              <w:widowControl/>
              <w:tabs>
                <w:tab w:val="left" w:pos="420"/>
              </w:tabs>
              <w:autoSpaceDE/>
              <w:autoSpaceDN/>
              <w:spacing w:line="600" w:lineRule="exact"/>
              <w:jc w:val="both"/>
              <w:outlineLvl w:val="1"/>
              <w:rPr>
                <w:rFonts w:hint="eastAsia" w:ascii="仿宋" w:hAnsi="仿宋" w:eastAsia="仿宋" w:cs="仿宋"/>
                <w:color w:val="FF0000"/>
                <w:sz w:val="24"/>
                <w:szCs w:val="24"/>
              </w:rPr>
            </w:pPr>
            <w:r>
              <w:rPr>
                <w:rFonts w:hint="eastAsia" w:ascii="仿宋" w:hAnsi="仿宋" w:eastAsia="仿宋" w:cs="仿宋"/>
                <w:b w:val="0"/>
                <w:bCs/>
                <w:sz w:val="24"/>
                <w:szCs w:val="24"/>
                <w:lang w:eastAsia="zh-CN"/>
              </w:rPr>
              <w:t>任务</w:t>
            </w: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实际使用外资情况</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全</w:t>
            </w:r>
            <w:r>
              <w:rPr>
                <w:rFonts w:hint="eastAsia" w:ascii="仿宋" w:hAnsi="仿宋" w:eastAsia="仿宋" w:cs="仿宋"/>
                <w:b w:val="0"/>
                <w:bCs/>
                <w:sz w:val="24"/>
                <w:szCs w:val="24"/>
                <w:lang w:eastAsia="zh-CN"/>
              </w:rPr>
              <w:t>年</w:t>
            </w:r>
            <w:r>
              <w:rPr>
                <w:rFonts w:hint="eastAsia" w:ascii="仿宋" w:hAnsi="仿宋" w:eastAsia="仿宋" w:cs="仿宋"/>
                <w:b w:val="0"/>
                <w:bCs/>
                <w:sz w:val="24"/>
                <w:szCs w:val="24"/>
              </w:rPr>
              <w:t>实际使用外资3460万美元，完成目标任务692%，实际使用外资在六县市排名第一。外贸进出口总额</w:t>
            </w:r>
            <w:r>
              <w:rPr>
                <w:rFonts w:hint="eastAsia" w:ascii="仿宋" w:hAnsi="仿宋" w:eastAsia="仿宋" w:cs="仿宋"/>
                <w:b w:val="0"/>
                <w:bCs/>
                <w:sz w:val="24"/>
                <w:szCs w:val="24"/>
                <w:lang w:eastAsia="zh-CN"/>
              </w:rPr>
              <w:t>：全年</w:t>
            </w:r>
            <w:r>
              <w:rPr>
                <w:rFonts w:hint="eastAsia" w:ascii="仿宋" w:hAnsi="仿宋" w:eastAsia="仿宋" w:cs="仿宋"/>
                <w:b w:val="0"/>
                <w:bCs/>
                <w:sz w:val="24"/>
                <w:szCs w:val="24"/>
              </w:rPr>
              <w:t>外贸进出口</w:t>
            </w:r>
            <w:r>
              <w:rPr>
                <w:rFonts w:hint="eastAsia" w:ascii="仿宋" w:hAnsi="仿宋" w:eastAsia="仿宋" w:cs="仿宋"/>
                <w:b w:val="0"/>
                <w:bCs/>
                <w:sz w:val="24"/>
                <w:szCs w:val="24"/>
                <w:lang w:val="en-US" w:eastAsia="zh-CN"/>
              </w:rPr>
              <w:t>10.96</w:t>
            </w:r>
            <w:r>
              <w:rPr>
                <w:rFonts w:hint="eastAsia" w:ascii="仿宋" w:hAnsi="仿宋" w:eastAsia="仿宋" w:cs="仿宋"/>
                <w:b w:val="0"/>
                <w:bCs/>
                <w:sz w:val="24"/>
                <w:szCs w:val="24"/>
              </w:rPr>
              <w:t>亿元，完成市定年度目标任务</w:t>
            </w:r>
            <w:r>
              <w:rPr>
                <w:rFonts w:hint="eastAsia" w:ascii="仿宋" w:hAnsi="仿宋" w:eastAsia="仿宋" w:cs="仿宋"/>
                <w:b w:val="0"/>
                <w:bCs/>
                <w:sz w:val="24"/>
                <w:szCs w:val="24"/>
                <w:lang w:eastAsia="zh-CN"/>
              </w:rPr>
              <w:t>在</w:t>
            </w:r>
            <w:r>
              <w:rPr>
                <w:rFonts w:hint="eastAsia" w:ascii="仿宋" w:hAnsi="仿宋" w:eastAsia="仿宋" w:cs="仿宋"/>
                <w:b w:val="0"/>
                <w:bCs/>
                <w:sz w:val="24"/>
                <w:szCs w:val="24"/>
              </w:rPr>
              <w:t>六县市排名</w:t>
            </w:r>
            <w:r>
              <w:rPr>
                <w:rFonts w:hint="eastAsia" w:ascii="仿宋" w:hAnsi="仿宋" w:eastAsia="仿宋" w:cs="仿宋"/>
                <w:b w:val="0"/>
                <w:bCs/>
                <w:sz w:val="24"/>
                <w:szCs w:val="24"/>
                <w:lang w:eastAsia="zh-CN"/>
              </w:rPr>
              <w:t>第</w:t>
            </w:r>
            <w:r>
              <w:rPr>
                <w:rFonts w:hint="eastAsia" w:ascii="仿宋" w:hAnsi="仿宋" w:eastAsia="仿宋" w:cs="仿宋"/>
                <w:b w:val="0"/>
                <w:bCs/>
                <w:sz w:val="24"/>
                <w:szCs w:val="24"/>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单位全年平稳运行，资金使用安全，收支平衡。</w:t>
            </w:r>
          </w:p>
          <w:p>
            <w:pPr>
              <w:numPr>
                <w:ilvl w:val="0"/>
                <w:numId w:val="1"/>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 w:hAnsi="仿宋" w:eastAsia="仿宋" w:cs="仿宋"/>
                <w:b w:val="0"/>
                <w:bCs/>
                <w:color w:val="auto"/>
                <w:sz w:val="24"/>
                <w:szCs w:val="24"/>
              </w:rPr>
              <w:t>全</w:t>
            </w:r>
            <w:r>
              <w:rPr>
                <w:rFonts w:hint="eastAsia" w:ascii="仿宋" w:hAnsi="仿宋" w:eastAsia="仿宋" w:cs="仿宋"/>
                <w:b w:val="0"/>
                <w:bCs/>
                <w:color w:val="auto"/>
                <w:sz w:val="24"/>
                <w:szCs w:val="24"/>
                <w:lang w:eastAsia="zh-CN"/>
              </w:rPr>
              <w:t>年</w:t>
            </w:r>
            <w:r>
              <w:rPr>
                <w:rFonts w:hint="eastAsia" w:ascii="仿宋" w:hAnsi="仿宋" w:eastAsia="仿宋" w:cs="仿宋"/>
                <w:b w:val="0"/>
                <w:bCs/>
                <w:color w:val="auto"/>
                <w:sz w:val="24"/>
                <w:szCs w:val="24"/>
              </w:rPr>
              <w:t>实际使用外资3460万美元，完成目标任务692%，实际使用外资在六县市排名第一。</w:t>
            </w:r>
            <w:r>
              <w:rPr>
                <w:rFonts w:hint="eastAsia" w:ascii="仿宋" w:hAnsi="仿宋" w:eastAsia="仿宋" w:cs="仿宋"/>
                <w:b w:val="0"/>
                <w:bCs/>
                <w:color w:val="auto"/>
                <w:sz w:val="24"/>
                <w:szCs w:val="24"/>
                <w:lang w:eastAsia="zh-CN"/>
              </w:rPr>
              <w:t>全年</w:t>
            </w:r>
            <w:r>
              <w:rPr>
                <w:rFonts w:hint="eastAsia" w:ascii="仿宋" w:hAnsi="仿宋" w:eastAsia="仿宋" w:cs="仿宋"/>
                <w:b w:val="0"/>
                <w:bCs/>
                <w:color w:val="auto"/>
                <w:sz w:val="24"/>
                <w:szCs w:val="24"/>
              </w:rPr>
              <w:t>外贸进出口总额</w:t>
            </w:r>
            <w:r>
              <w:rPr>
                <w:rFonts w:hint="eastAsia" w:ascii="仿宋" w:hAnsi="仿宋" w:eastAsia="仿宋" w:cs="仿宋"/>
                <w:b w:val="0"/>
                <w:bCs/>
                <w:color w:val="auto"/>
                <w:sz w:val="24"/>
                <w:szCs w:val="24"/>
                <w:lang w:val="en-US" w:eastAsia="zh-CN"/>
              </w:rPr>
              <w:t>10.96</w:t>
            </w:r>
            <w:r>
              <w:rPr>
                <w:rFonts w:hint="eastAsia" w:ascii="仿宋" w:hAnsi="仿宋" w:eastAsia="仿宋" w:cs="仿宋"/>
                <w:b w:val="0"/>
                <w:bCs/>
                <w:color w:val="auto"/>
                <w:sz w:val="24"/>
                <w:szCs w:val="24"/>
              </w:rPr>
              <w:t>亿元，完成市定年度目标任务</w:t>
            </w:r>
            <w:r>
              <w:rPr>
                <w:rFonts w:hint="eastAsia" w:ascii="仿宋" w:hAnsi="仿宋" w:eastAsia="仿宋" w:cs="仿宋"/>
                <w:b w:val="0"/>
                <w:bCs/>
                <w:color w:val="auto"/>
                <w:sz w:val="24"/>
                <w:szCs w:val="24"/>
                <w:lang w:eastAsia="zh-CN"/>
              </w:rPr>
              <w:t>在</w:t>
            </w:r>
            <w:r>
              <w:rPr>
                <w:rFonts w:hint="eastAsia" w:ascii="仿宋" w:hAnsi="仿宋" w:eastAsia="仿宋" w:cs="仿宋"/>
                <w:b w:val="0"/>
                <w:bCs/>
                <w:color w:val="auto"/>
                <w:sz w:val="24"/>
                <w:szCs w:val="24"/>
              </w:rPr>
              <w:t>六县市排名</w:t>
            </w:r>
            <w:r>
              <w:rPr>
                <w:rFonts w:hint="eastAsia" w:ascii="仿宋" w:hAnsi="仿宋" w:eastAsia="仿宋" w:cs="仿宋"/>
                <w:b w:val="0"/>
                <w:bCs/>
                <w:color w:val="auto"/>
                <w:sz w:val="24"/>
                <w:szCs w:val="24"/>
                <w:lang w:eastAsia="zh-CN"/>
              </w:rPr>
              <w:t>第</w:t>
            </w:r>
            <w:r>
              <w:rPr>
                <w:rFonts w:hint="eastAsia" w:ascii="仿宋" w:hAnsi="仿宋" w:eastAsia="仿宋" w:cs="仿宋"/>
                <w:b w:val="0"/>
                <w:bCs/>
                <w:color w:val="auto"/>
                <w:sz w:val="24"/>
                <w:szCs w:val="24"/>
              </w:rPr>
              <w:t>一。</w:t>
            </w:r>
          </w:p>
          <w:p>
            <w:pPr>
              <w:numPr>
                <w:ilvl w:val="0"/>
                <w:numId w:val="1"/>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按照2022年国家粮食轮换政策，完成省级储备粮轮换4202吨和县级储备粮轮换5500吨，确保国家粮食库存安全。</w:t>
            </w:r>
          </w:p>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3119.25</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161.53</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2467.81</w:t>
            </w:r>
          </w:p>
        </w:tc>
        <w:tc>
          <w:tcPr>
            <w:tcW w:w="17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10.11</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2387.99</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160.30</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1894.50</w:t>
            </w:r>
          </w:p>
        </w:tc>
        <w:tc>
          <w:tcPr>
            <w:tcW w:w="17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10.11</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731.26</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1.23</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573.31</w:t>
            </w:r>
          </w:p>
        </w:tc>
        <w:tc>
          <w:tcPr>
            <w:tcW w:w="17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538"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57"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53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2981.28</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1994.41</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1676.44</w:t>
            </w: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317.97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986.87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2287.09</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1361.90</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1082.05</w:t>
            </w: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279.85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925.19</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694.19</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632.51</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594.39</w:t>
            </w: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38.12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61.68</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538"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88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72"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56"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523.49</w:t>
            </w:r>
          </w:p>
        </w:tc>
        <w:tc>
          <w:tcPr>
            <w:tcW w:w="24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523.49</w:t>
            </w:r>
          </w:p>
        </w:tc>
        <w:tc>
          <w:tcPr>
            <w:tcW w:w="36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435.06</w:t>
            </w:r>
          </w:p>
        </w:tc>
        <w:tc>
          <w:tcPr>
            <w:tcW w:w="24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435.06</w:t>
            </w:r>
          </w:p>
        </w:tc>
        <w:tc>
          <w:tcPr>
            <w:tcW w:w="36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88.43</w:t>
            </w:r>
          </w:p>
        </w:tc>
        <w:tc>
          <w:tcPr>
            <w:tcW w:w="242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88.43</w:t>
            </w:r>
          </w:p>
        </w:tc>
        <w:tc>
          <w:tcPr>
            <w:tcW w:w="3656"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6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52"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6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auto"/>
                <w:sz w:val="24"/>
                <w:lang w:eastAsia="zh-CN"/>
              </w:rPr>
              <w:t>完成社会消费品零售总额</w:t>
            </w:r>
            <w:r>
              <w:rPr>
                <w:rFonts w:hint="eastAsia" w:ascii="仿宋_GB2312" w:hAnsi="仿宋_GB2312" w:eastAsia="仿宋_GB2312" w:cs="仿宋_GB2312"/>
                <w:color w:val="auto"/>
                <w:sz w:val="24"/>
                <w:lang w:val="en-US" w:eastAsia="zh-CN"/>
              </w:rPr>
              <w:t>165.9亿元，比去年同期增速10%。</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目标4：完成省级储备粮轮换早籼稻4202吨，县级储备粮轮换早籼稻5500吨。</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c>
          <w:tcPr>
            <w:tcW w:w="4752"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auto"/>
                <w:sz w:val="24"/>
                <w:lang w:eastAsia="zh-CN"/>
              </w:rPr>
              <w:t>完成社会消费品零售总额</w:t>
            </w:r>
            <w:r>
              <w:rPr>
                <w:rFonts w:hint="eastAsia" w:ascii="仿宋_GB2312" w:hAnsi="仿宋_GB2312" w:eastAsia="仿宋_GB2312" w:cs="仿宋_GB2312"/>
                <w:color w:val="auto"/>
                <w:sz w:val="24"/>
                <w:lang w:val="en-US" w:eastAsia="zh-CN"/>
              </w:rPr>
              <w:t>156.84亿元，</w:t>
            </w:r>
            <w:r>
              <w:rPr>
                <w:rFonts w:hint="eastAsia" w:ascii="仿宋_GB2312" w:hAnsi="仿宋_GB2312" w:eastAsia="仿宋_GB2312" w:cs="仿宋_GB2312"/>
                <w:color w:val="auto"/>
                <w:sz w:val="24"/>
                <w:szCs w:val="24"/>
              </w:rPr>
              <w:t>全市六县市排名第二</w:t>
            </w:r>
            <w:r>
              <w:rPr>
                <w:rFonts w:hint="eastAsia" w:ascii="仿宋_GB2312" w:hAnsi="仿宋_GB2312" w:eastAsia="仿宋_GB2312" w:cs="仿宋_GB2312"/>
                <w:color w:val="auto"/>
                <w:sz w:val="24"/>
                <w:lang w:val="en-US" w:eastAsia="zh-CN"/>
              </w:rPr>
              <w:t>。</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目标4：完成省级储备粮轮换早籼稻4202吨，县级储备粮轮换早籼稻5500吨。</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3：省级储备粮轮换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完成轮换早籼稻</w:t>
            </w:r>
            <w:r>
              <w:rPr>
                <w:rFonts w:hint="eastAsia" w:ascii="仿宋" w:hAnsi="仿宋" w:eastAsia="仿宋" w:cs="仿宋"/>
                <w:b w:val="0"/>
                <w:bCs w:val="0"/>
                <w:color w:val="auto"/>
                <w:sz w:val="24"/>
                <w:szCs w:val="24"/>
                <w:lang w:val="en-US" w:eastAsia="zh-CN"/>
              </w:rPr>
              <w:t>4202吨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4：县级储备粮轮换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完成轮换早籼稻</w:t>
            </w:r>
            <w:r>
              <w:rPr>
                <w:rFonts w:hint="eastAsia" w:ascii="仿宋" w:hAnsi="仿宋" w:eastAsia="仿宋" w:cs="仿宋"/>
                <w:b w:val="0"/>
                <w:bCs w:val="0"/>
                <w:color w:val="auto"/>
                <w:sz w:val="24"/>
                <w:szCs w:val="24"/>
                <w:lang w:val="en-US" w:eastAsia="zh-CN"/>
              </w:rPr>
              <w:t>5500吨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5：社会消费品零售总额</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完成</w:t>
            </w:r>
            <w:r>
              <w:rPr>
                <w:rFonts w:hint="eastAsia" w:ascii="仿宋" w:hAnsi="仿宋" w:eastAsia="仿宋" w:cs="仿宋"/>
                <w:b w:val="0"/>
                <w:bCs w:val="0"/>
                <w:color w:val="auto"/>
                <w:sz w:val="24"/>
                <w:szCs w:val="24"/>
                <w:lang w:val="en-US" w:eastAsia="zh-CN"/>
              </w:rPr>
              <w:t>156.84亿元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val="en-US" w:eastAsia="zh-CN"/>
              </w:rPr>
              <w:t>省级储备粮轮换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12月底已完成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val="en-US" w:eastAsia="zh-CN"/>
              </w:rPr>
              <w:t>县级储备粮轮换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12月底已完成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2981.28</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指标1：执行国家最低价粮食收购政策，敞开收购，保护农民利益，使农民增产增收</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指标1：“洞庭湖”大米品牌创造的经济效益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指标1：储粮工艺优化，节能减排增效降耗</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喻新亚</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局长</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鲁小黄</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朱山</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r>
              <w:rPr>
                <w:rFonts w:hint="eastAsia" w:ascii="仿宋_GB2312" w:hAnsi="仿宋_GB2312" w:eastAsia="仿宋_GB2312" w:cs="仿宋_GB2312"/>
                <w:color w:val="000000"/>
                <w:sz w:val="24"/>
                <w:lang w:val="en-US" w:eastAsia="zh-CN"/>
              </w:rPr>
              <w:t xml:space="preserve"> </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许贵辉</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李静</w:t>
            </w:r>
          </w:p>
        </w:tc>
        <w:tc>
          <w:tcPr>
            <w:tcW w:w="35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机关党委纪检委员</w:t>
            </w:r>
          </w:p>
        </w:tc>
        <w:tc>
          <w:tcPr>
            <w:tcW w:w="149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 xml:space="preserve">  日</w:t>
            </w:r>
          </w:p>
        </w:tc>
      </w:tr>
    </w:tbl>
    <w:p>
      <w:pPr>
        <w:rPr>
          <w:rFonts w:hint="eastAsia"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何荣荣</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13874051231</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岳阳县商务粮食局</w:t>
            </w:r>
            <w:r>
              <w:rPr>
                <w:rFonts w:hint="eastAsia" w:ascii="黑体" w:hAnsi="黑体" w:eastAsia="黑体" w:cs="黑体"/>
                <w:bCs/>
                <w:sz w:val="32"/>
                <w:szCs w:val="32"/>
                <w:lang w:val="en-US" w:eastAsia="zh-CN"/>
              </w:rPr>
              <w:t>2022年评价报告综述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widowControl/>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themeColor="text1"/>
                <w:kern w:val="0"/>
                <w:sz w:val="28"/>
                <w:szCs w:val="28"/>
                <w:highlight w:val="none"/>
                <w14:textFill>
                  <w14:solidFill>
                    <w14:schemeClr w14:val="tx1"/>
                  </w14:solidFill>
                </w14:textFill>
              </w:rPr>
              <w:t>（一）</w:t>
            </w:r>
            <w:r>
              <w:rPr>
                <w:rFonts w:hint="eastAsia" w:ascii="仿宋" w:hAnsi="仿宋" w:eastAsia="仿宋" w:cs="仿宋"/>
                <w:bCs/>
                <w:color w:val="000000" w:themeColor="text1"/>
                <w:sz w:val="28"/>
                <w:szCs w:val="28"/>
                <w14:textFill>
                  <w14:solidFill>
                    <w14:schemeClr w14:val="tx1"/>
                  </w14:solidFill>
                </w14:textFill>
              </w:rPr>
              <w:t>部门（单位）基本情况</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:岳阳县商务粮食局主要负责</w:t>
            </w:r>
            <w:r>
              <w:rPr>
                <w:rFonts w:hint="eastAsia" w:ascii="仿宋" w:hAnsi="仿宋" w:eastAsia="仿宋" w:cs="仿宋"/>
                <w:color w:val="000000" w:themeColor="text1"/>
                <w:sz w:val="28"/>
                <w:szCs w:val="28"/>
                <w14:textFill>
                  <w14:solidFill>
                    <w14:schemeClr w14:val="tx1"/>
                  </w14:solidFill>
                </w14:textFill>
              </w:rPr>
              <w:t>贯彻执行国家国内外贸易、国际经济合作和区域经济合作的发展战略、政策；起草我县国内外贸易、招商引资、承结产业转移、对外援助、对外投资和对外经济合作的规范性文件草案、政策措施和实施办法，研究经济全球化、区域经济合作、现代流通方式的发展趋势和流通体制改革并提出建议；研究提出全县粮食宏观调控、总量平衡以及粮食流通的中长期规划和收储、动用县级储备粮的建议；拟订粮食流通体制改革方案并组织实施，推动国有粮食企业改革；研究提出现代粮食流通产业发展战略的建议并负责实施。</w:t>
            </w:r>
            <w:r>
              <w:rPr>
                <w:rFonts w:hint="eastAsia" w:ascii="仿宋" w:hAnsi="仿宋" w:eastAsia="仿宋" w:cs="仿宋"/>
                <w:b w:val="0"/>
                <w:bCs w:val="0"/>
                <w:kern w:val="0"/>
                <w:sz w:val="28"/>
                <w:szCs w:val="28"/>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县粮食流通宏观调控工作,指导协调最低收购价等政策性粮食购销粮</w:t>
            </w:r>
            <w:r>
              <w:rPr>
                <w:rFonts w:hint="eastAsia" w:ascii="仿宋" w:hAnsi="仿宋" w:eastAsia="仿宋" w:cs="仿宋"/>
                <w:b w:val="0"/>
                <w:bCs w:val="0"/>
                <w:kern w:val="0"/>
                <w:sz w:val="28"/>
                <w:szCs w:val="28"/>
                <w:lang w:eastAsia="zh-CN"/>
              </w:rPr>
              <w:t>食</w:t>
            </w:r>
            <w:r>
              <w:rPr>
                <w:rFonts w:hint="eastAsia" w:ascii="仿宋" w:hAnsi="仿宋" w:eastAsia="仿宋" w:cs="仿宋"/>
                <w:b w:val="0"/>
                <w:bCs w:val="0"/>
                <w:kern w:val="0"/>
                <w:sz w:val="28"/>
                <w:szCs w:val="28"/>
              </w:rPr>
              <w:t>产销合作、保障军队粮食供应;编制粮食流通、仓储</w:t>
            </w:r>
            <w:r>
              <w:rPr>
                <w:rFonts w:hint="eastAsia" w:ascii="仿宋" w:hAnsi="仿宋" w:eastAsia="仿宋" w:cs="仿宋"/>
                <w:b w:val="0"/>
                <w:bCs w:val="0"/>
                <w:kern w:val="0"/>
                <w:sz w:val="28"/>
                <w:szCs w:val="28"/>
                <w:lang w:eastAsia="zh-CN"/>
              </w:rPr>
              <w:t>、加</w:t>
            </w:r>
            <w:r>
              <w:rPr>
                <w:rFonts w:hint="eastAsia" w:ascii="仿宋" w:hAnsi="仿宋" w:eastAsia="仿宋" w:cs="仿宋"/>
                <w:b w:val="0"/>
                <w:bCs w:val="0"/>
                <w:kern w:val="0"/>
                <w:sz w:val="28"/>
                <w:szCs w:val="28"/>
              </w:rPr>
              <w:t>工设</w:t>
            </w:r>
            <w:r>
              <w:rPr>
                <w:rFonts w:hint="eastAsia" w:ascii="仿宋" w:hAnsi="仿宋" w:eastAsia="仿宋" w:cs="仿宋"/>
                <w:b w:val="0"/>
                <w:bCs w:val="0"/>
                <w:kern w:val="0"/>
                <w:sz w:val="28"/>
                <w:szCs w:val="28"/>
                <w:lang w:eastAsia="zh-CN"/>
              </w:rPr>
              <w:t>施</w:t>
            </w:r>
            <w:r>
              <w:rPr>
                <w:rFonts w:hint="eastAsia" w:ascii="仿宋" w:hAnsi="仿宋" w:eastAsia="仿宋" w:cs="仿宋"/>
                <w:b w:val="0"/>
                <w:bCs w:val="0"/>
                <w:kern w:val="0"/>
                <w:sz w:val="28"/>
                <w:szCs w:val="28"/>
              </w:rPr>
              <w:t>建设规划</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管理有关粮食流通设施投资项目</w:t>
            </w:r>
            <w:r>
              <w:rPr>
                <w:rFonts w:hint="eastAsia" w:ascii="仿宋" w:hAnsi="仿宋" w:eastAsia="仿宋" w:cs="仿宋"/>
                <w:b w:val="0"/>
                <w:bCs w:val="0"/>
                <w:kern w:val="0"/>
                <w:sz w:val="28"/>
                <w:szCs w:val="28"/>
                <w:lang w:eastAsia="zh-CN"/>
              </w:rPr>
              <w:t>。</w:t>
            </w:r>
            <w:r>
              <w:rPr>
                <w:rFonts w:hint="eastAsia" w:ascii="仿宋" w:hAnsi="仿宋" w:eastAsia="仿宋" w:cs="仿宋"/>
                <w:color w:val="000000" w:themeColor="text1"/>
                <w:sz w:val="28"/>
                <w:szCs w:val="28"/>
                <w14:textFill>
                  <w14:solidFill>
                    <w14:schemeClr w14:val="tx1"/>
                  </w14:solidFill>
                </w14:textFill>
              </w:rPr>
              <w:t>商务粮食局</w:t>
            </w:r>
            <w:r>
              <w:rPr>
                <w:rFonts w:hint="eastAsia" w:ascii="仿宋" w:hAnsi="仿宋" w:eastAsia="仿宋" w:cs="仿宋"/>
                <w:color w:val="000000" w:themeColor="text1"/>
                <w:sz w:val="28"/>
                <w:szCs w:val="28"/>
                <w:lang w:eastAsia="zh-CN"/>
                <w14:textFill>
                  <w14:solidFill>
                    <w14:schemeClr w14:val="tx1"/>
                  </w14:solidFill>
                </w14:textFill>
              </w:rPr>
              <w:t>现有</w:t>
            </w:r>
            <w:r>
              <w:rPr>
                <w:rFonts w:hint="eastAsia" w:ascii="仿宋" w:hAnsi="仿宋" w:eastAsia="仿宋" w:cs="仿宋"/>
                <w:color w:val="000000" w:themeColor="text1"/>
                <w:sz w:val="28"/>
                <w:szCs w:val="28"/>
                <w14:textFill>
                  <w14:solidFill>
                    <w14:schemeClr w14:val="tx1"/>
                  </w14:solidFill>
                </w14:textFill>
              </w:rPr>
              <w:t>13个股室</w:t>
            </w:r>
            <w:r>
              <w:rPr>
                <w:rFonts w:hint="eastAsia" w:ascii="仿宋" w:hAnsi="仿宋" w:eastAsia="仿宋" w:cs="仿宋"/>
                <w:color w:val="000000" w:themeColor="text1"/>
                <w:sz w:val="28"/>
                <w:szCs w:val="28"/>
                <w:lang w:eastAsia="zh-CN"/>
                <w14:textFill>
                  <w14:solidFill>
                    <w14:schemeClr w14:val="tx1"/>
                  </w14:solidFill>
                </w14:textFill>
              </w:rPr>
              <w:t>和</w:t>
            </w:r>
            <w:r>
              <w:rPr>
                <w:rFonts w:hint="eastAsia" w:ascii="仿宋" w:hAnsi="仿宋" w:eastAsia="仿宋" w:cs="仿宋"/>
                <w:color w:val="000000" w:themeColor="text1"/>
                <w:sz w:val="28"/>
                <w:szCs w:val="28"/>
                <w:lang w:val="en-US" w:eastAsia="zh-CN"/>
                <w14:textFill>
                  <w14:solidFill>
                    <w14:schemeClr w14:val="tx1"/>
                  </w14:solidFill>
                </w14:textFill>
              </w:rPr>
              <w:t>4个</w:t>
            </w:r>
            <w:r>
              <w:rPr>
                <w:rFonts w:hint="eastAsia" w:ascii="仿宋" w:hAnsi="仿宋" w:eastAsia="仿宋" w:cs="仿宋"/>
                <w:color w:val="000000" w:themeColor="text1"/>
                <w:sz w:val="28"/>
                <w:szCs w:val="28"/>
                <w:shd w:val="clear" w:color="auto" w:fill="FFFFFF"/>
                <w14:textFill>
                  <w14:solidFill>
                    <w14:schemeClr w14:val="tx1"/>
                  </w14:solidFill>
                </w14:textFill>
              </w:rPr>
              <w:t>二级机构</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（仅一个二级机构岳阳县市场建设管理中心财务独立核算），商务粮食系统现有</w:t>
            </w: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56</w:t>
            </w:r>
            <w:r>
              <w:rPr>
                <w:rFonts w:hint="eastAsia" w:ascii="仿宋" w:hAnsi="仿宋" w:eastAsia="仿宋" w:cs="仿宋"/>
                <w:color w:val="000000" w:themeColor="text1"/>
                <w:sz w:val="28"/>
                <w:szCs w:val="28"/>
                <w14:textFill>
                  <w14:solidFill>
                    <w14:schemeClr w14:val="tx1"/>
                  </w14:solidFill>
                </w14:textFill>
              </w:rPr>
              <w:t>人</w:t>
            </w:r>
            <w:r>
              <w:rPr>
                <w:rFonts w:hint="eastAsia" w:ascii="仿宋" w:hAnsi="仿宋" w:eastAsia="仿宋" w:cs="仿宋"/>
                <w:color w:val="auto"/>
                <w:sz w:val="28"/>
                <w:szCs w:val="28"/>
              </w:rPr>
              <w:t>，其中：在职</w:t>
            </w:r>
            <w:r>
              <w:rPr>
                <w:rFonts w:hint="eastAsia" w:ascii="仿宋" w:hAnsi="仿宋" w:eastAsia="仿宋" w:cs="仿宋"/>
                <w:color w:val="auto"/>
                <w:sz w:val="28"/>
                <w:szCs w:val="28"/>
                <w:lang w:val="en-US" w:eastAsia="zh-CN"/>
              </w:rPr>
              <w:t>98</w:t>
            </w:r>
            <w:r>
              <w:rPr>
                <w:rFonts w:hint="eastAsia" w:ascii="仿宋" w:hAnsi="仿宋" w:eastAsia="仿宋" w:cs="仿宋"/>
                <w:color w:val="auto"/>
                <w:sz w:val="28"/>
                <w:szCs w:val="28"/>
              </w:rPr>
              <w:t>人，退休</w:t>
            </w:r>
            <w:r>
              <w:rPr>
                <w:rFonts w:hint="eastAsia" w:ascii="仿宋" w:hAnsi="仿宋" w:eastAsia="仿宋" w:cs="仿宋"/>
                <w:color w:val="auto"/>
                <w:sz w:val="28"/>
                <w:szCs w:val="28"/>
                <w:lang w:val="en-US" w:eastAsia="zh-CN"/>
              </w:rPr>
              <w:t>158</w:t>
            </w:r>
            <w:r>
              <w:rPr>
                <w:rFonts w:hint="eastAsia" w:ascii="仿宋" w:hAnsi="仿宋" w:eastAsia="仿宋" w:cs="仿宋"/>
                <w:color w:val="auto"/>
                <w:sz w:val="28"/>
                <w:szCs w:val="28"/>
              </w:rPr>
              <w:t>人。</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2022年工作目标任务：</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auto"/>
                <w:sz w:val="28"/>
                <w:szCs w:val="28"/>
              </w:rPr>
            </w:pPr>
            <w:r>
              <w:rPr>
                <w:rFonts w:hint="eastAsia" w:ascii="仿宋" w:hAnsi="仿宋" w:eastAsia="仿宋" w:cs="仿宋"/>
                <w:color w:val="000000" w:themeColor="text1"/>
                <w:sz w:val="28"/>
                <w:szCs w:val="28"/>
                <w14:textFill>
                  <w14:solidFill>
                    <w14:schemeClr w14:val="tx1"/>
                  </w14:solidFill>
                </w14:textFill>
              </w:rPr>
              <w:t>目标</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全年预算申请到位和下达数量在</w:t>
            </w:r>
            <w:r>
              <w:rPr>
                <w:rFonts w:hint="eastAsia" w:ascii="仿宋" w:hAnsi="仿宋" w:eastAsia="仿宋" w:cs="仿宋"/>
                <w:color w:val="auto"/>
                <w:sz w:val="28"/>
                <w:szCs w:val="28"/>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目标2：</w:t>
            </w:r>
            <w:r>
              <w:rPr>
                <w:rFonts w:hint="eastAsia" w:ascii="仿宋" w:hAnsi="仿宋" w:eastAsia="仿宋" w:cs="仿宋"/>
                <w:color w:val="auto"/>
                <w:sz w:val="28"/>
                <w:szCs w:val="28"/>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目标3：</w:t>
            </w:r>
            <w:r>
              <w:rPr>
                <w:rFonts w:hint="eastAsia" w:ascii="仿宋" w:hAnsi="仿宋" w:eastAsia="仿宋" w:cs="仿宋"/>
                <w:color w:val="auto"/>
                <w:sz w:val="28"/>
                <w:szCs w:val="28"/>
                <w:lang w:eastAsia="zh-CN"/>
              </w:rPr>
              <w:t>完成社会消费品零售总额</w:t>
            </w:r>
            <w:r>
              <w:rPr>
                <w:rFonts w:hint="eastAsia" w:ascii="仿宋" w:hAnsi="仿宋" w:eastAsia="仿宋" w:cs="仿宋"/>
                <w:color w:val="auto"/>
                <w:sz w:val="28"/>
                <w:szCs w:val="28"/>
                <w:lang w:val="en-US" w:eastAsia="zh-CN"/>
              </w:rPr>
              <w:t>156.84亿元，</w:t>
            </w:r>
            <w:r>
              <w:rPr>
                <w:rFonts w:hint="eastAsia" w:ascii="仿宋" w:hAnsi="仿宋" w:eastAsia="仿宋" w:cs="仿宋"/>
                <w:color w:val="auto"/>
                <w:sz w:val="28"/>
                <w:szCs w:val="28"/>
              </w:rPr>
              <w:t>全市六县市排名第二</w:t>
            </w:r>
            <w:r>
              <w:rPr>
                <w:rFonts w:hint="eastAsia" w:ascii="仿宋" w:hAnsi="仿宋" w:eastAsia="仿宋" w:cs="仿宋"/>
                <w:color w:val="auto"/>
                <w:sz w:val="28"/>
                <w:szCs w:val="28"/>
                <w:lang w:val="en-US" w:eastAsia="zh-CN"/>
              </w:rPr>
              <w:t>。</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目标4：完成省级储备粮轮换早籼稻4202吨，县级储备粮轮换早籼稻5500吨。</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2022年岳阳县商务粮食局总支出2981.28万元，其中：基本支出1994.41万元，包括</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28"/>
                <w:szCs w:val="28"/>
                <w:lang w:val="en-US" w:eastAsia="zh-CN"/>
                <w14:textFill>
                  <w14:solidFill>
                    <w14:schemeClr w14:val="tx1"/>
                  </w14:solidFill>
                </w14:textFill>
              </w:rPr>
              <w:t>；项目支出986.87万元，主要是荣家湾粮库县级粮食储备经费、粮食改制经费、电子商务等项目支出。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（一）基本支出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2022年岳阳县商务粮食局基本支出1994.41万元,主要用于人员支出1676.44万元，公用支出317.97万元。“三公经费”支出1.38万元。年初我局制定了经费预算时，明确了“三公经费”控制标准。</w:t>
            </w:r>
          </w:p>
          <w:p>
            <w:pPr>
              <w:keepNext w:val="0"/>
              <w:keepLines w:val="0"/>
              <w:pageBreakBefore w:val="0"/>
              <w:numPr>
                <w:ilvl w:val="0"/>
                <w:numId w:val="0"/>
              </w:numPr>
              <w:kinsoku/>
              <w:wordWrap/>
              <w:overflowPunct/>
              <w:topLinePunct w:val="0"/>
              <w:autoSpaceDE/>
              <w:bidi w:val="0"/>
              <w:adjustRightInd/>
              <w:snapToGrid/>
              <w:spacing w:line="460" w:lineRule="exact"/>
              <w:ind w:leftChars="0"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（二）</w:t>
            </w:r>
            <w:r>
              <w:rPr>
                <w:rFonts w:hint="eastAsia" w:ascii="仿宋" w:hAnsi="仿宋" w:eastAsia="仿宋" w:cs="仿宋"/>
                <w:bCs/>
                <w:color w:val="000000" w:themeColor="text1"/>
                <w:sz w:val="28"/>
                <w:szCs w:val="28"/>
                <w14:textFill>
                  <w14:solidFill>
                    <w14:schemeClr w14:val="tx1"/>
                  </w14:solidFill>
                </w14:textFill>
              </w:rPr>
              <w:t>专项支出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560" w:firstLineChars="200"/>
              <w:jc w:val="both"/>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FF0000"/>
                <w:sz w:val="28"/>
                <w:szCs w:val="28"/>
                <w:lang w:val="en-US" w:eastAsia="zh-CN"/>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2022年我局项目支出986.87万元，主要是：荣家湾粮库县级粮食储备经费180万元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用于岳阳县荣家湾粮库有限公司省级储备粮</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4202吨和县级储备粮5500吨的收购、保管、轮换和利息费用的补贴；粮食</w:t>
            </w:r>
            <w:r>
              <w:rPr>
                <w:rFonts w:hint="eastAsia" w:ascii="仿宋" w:hAnsi="仿宋" w:eastAsia="仿宋" w:cs="仿宋"/>
                <w:bCs/>
                <w:color w:val="000000" w:themeColor="text1"/>
                <w:sz w:val="28"/>
                <w:szCs w:val="28"/>
                <w:lang w:val="en-US" w:eastAsia="zh-CN"/>
                <w14:textFill>
                  <w14:solidFill>
                    <w14:schemeClr w14:val="tx1"/>
                  </w14:solidFill>
                </w14:textFill>
              </w:rPr>
              <w:t>改制经费131万元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用于破产改制粮食企业职工身份置换费用和</w:t>
            </w:r>
            <w:bookmarkStart w:id="0" w:name="_GoBack"/>
            <w:bookmarkEnd w:id="0"/>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购买养老保险</w:t>
            </w:r>
            <w:r>
              <w:rPr>
                <w:rFonts w:hint="eastAsia" w:ascii="仿宋" w:hAnsi="仿宋" w:eastAsia="仿宋" w:cs="仿宋"/>
                <w:color w:val="auto"/>
                <w:sz w:val="28"/>
                <w:szCs w:val="28"/>
                <w:shd w:val="clear" w:color="auto" w:fill="FFFFFF"/>
                <w:lang w:eastAsia="zh-CN"/>
              </w:rPr>
              <w:t>（实际使用</w:t>
            </w:r>
            <w:r>
              <w:rPr>
                <w:rFonts w:hint="eastAsia" w:ascii="仿宋" w:hAnsi="仿宋" w:eastAsia="仿宋" w:cs="仿宋"/>
                <w:color w:val="auto"/>
                <w:sz w:val="28"/>
                <w:szCs w:val="28"/>
                <w:shd w:val="clear" w:color="auto" w:fill="FFFFFF"/>
                <w:lang w:val="en-US" w:eastAsia="zh-CN"/>
              </w:rPr>
              <w:t>196.16万元）</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bCs/>
                <w:color w:val="auto"/>
                <w:sz w:val="28"/>
                <w:szCs w:val="28"/>
                <w:lang w:val="en-US" w:eastAsia="zh-CN"/>
              </w:rPr>
              <w:t>电子商务进农村综合示范县项目支出240.49万元，</w:t>
            </w:r>
            <w:r>
              <w:rPr>
                <w:rFonts w:hint="eastAsia" w:ascii="仿宋" w:hAnsi="仿宋" w:eastAsia="仿宋" w:cs="仿宋"/>
                <w:i w:val="0"/>
                <w:caps w:val="0"/>
                <w:color w:val="auto"/>
                <w:spacing w:val="0"/>
                <w:sz w:val="28"/>
                <w:szCs w:val="28"/>
                <w:shd w:val="clear" w:fill="FFFFFF"/>
                <w:lang w:val="en-US" w:eastAsia="zh-CN"/>
              </w:rPr>
              <w:t>主要用于电商公共服务体系建设、县乡村三级物流体系建设、农产品供应链体系建设、农村电子商务培训、电商助力乡村振兴示范点建设，巩固脱贫成果，助力乡村振兴</w:t>
            </w:r>
            <w:r>
              <w:rPr>
                <w:rFonts w:hint="eastAsia" w:ascii="仿宋" w:hAnsi="仿宋" w:eastAsia="仿宋" w:cs="仿宋"/>
                <w:bCs/>
                <w:color w:val="auto"/>
                <w:sz w:val="28"/>
                <w:szCs w:val="28"/>
                <w:lang w:val="en-US" w:eastAsia="zh-CN"/>
              </w:rPr>
              <w:t>；老旧小区改造128.8万元；乡村振兴对口帮扶项目69万元；市级文明单位创建74.38万元；及“四上”项目等支出98.04万元。</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三、部门（单位）专项组织实施情况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（一）专项组织情况分析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我局根据上级有关部门对专项资金的管理和使用要求，根据业务需要和工作要求，采取机关各股室、二级机构分工合作的办法，对有关专项工作进行组织管理。</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r>
              <w:rPr>
                <w:rFonts w:hint="eastAsia" w:ascii="仿宋" w:hAnsi="仿宋" w:eastAsia="仿宋" w:cs="仿宋"/>
                <w:bCs/>
                <w:color w:val="000000" w:themeColor="text1"/>
                <w:sz w:val="28"/>
                <w:szCs w:val="28"/>
                <w:lang w:eastAsia="zh-CN"/>
                <w14:textFill>
                  <w14:solidFill>
                    <w14:schemeClr w14:val="tx1"/>
                  </w14:solidFill>
                </w14:textFill>
              </w:rPr>
              <w:t>县级粮食储备项目由局粮食调控和储备股负责组织，岳阳县荣家湾粮库有限公司具体实施；</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2、粮食</w:t>
            </w:r>
            <w:r>
              <w:rPr>
                <w:rFonts w:hint="eastAsia" w:ascii="仿宋" w:hAnsi="仿宋" w:eastAsia="仿宋" w:cs="仿宋"/>
                <w:bCs/>
                <w:color w:val="000000" w:themeColor="text1"/>
                <w:sz w:val="28"/>
                <w:szCs w:val="28"/>
                <w:lang w:eastAsia="zh-CN"/>
                <w14:textFill>
                  <w14:solidFill>
                    <w14:schemeClr w14:val="tx1"/>
                  </w14:solidFill>
                </w14:textFill>
              </w:rPr>
              <w:t>改制经费项目由局粮食企业资产服务中心负责，购销公司配合开展工作。</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3、电子商务项目由局电子商务股负责农村电商公共服务中心、各个乡镇农村淘</w:t>
            </w:r>
            <w:r>
              <w:rPr>
                <w:rFonts w:hint="eastAsia" w:ascii="仿宋" w:hAnsi="仿宋" w:eastAsia="仿宋" w:cs="仿宋"/>
                <w:bCs/>
                <w:color w:val="auto"/>
                <w:sz w:val="28"/>
                <w:szCs w:val="28"/>
                <w:lang w:val="en-US" w:eastAsia="zh-CN"/>
              </w:rPr>
              <w:t>宝电商平台、村级电商服务站具体开展工作</w:t>
            </w:r>
            <w:r>
              <w:rPr>
                <w:rFonts w:hint="eastAsia" w:ascii="仿宋" w:hAnsi="仿宋" w:eastAsia="仿宋" w:cs="仿宋"/>
                <w:bCs/>
                <w:color w:val="000000" w:themeColor="text1"/>
                <w:sz w:val="28"/>
                <w:szCs w:val="28"/>
                <w:lang w:val="en-US" w:eastAsia="zh-CN"/>
                <w14:textFill>
                  <w14:solidFill>
                    <w14:schemeClr w14:val="tx1"/>
                  </w14:solidFill>
                </w14:textFill>
              </w:rPr>
              <w:t>。</w:t>
            </w:r>
          </w:p>
          <w:p>
            <w:pPr>
              <w:keepNext w:val="0"/>
              <w:keepLines w:val="0"/>
              <w:pageBreakBefore w:val="0"/>
              <w:numPr>
                <w:ilvl w:val="0"/>
                <w:numId w:val="2"/>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专项管理情况分析</w:t>
            </w:r>
          </w:p>
          <w:p>
            <w:pPr>
              <w:keepNext w:val="0"/>
              <w:keepLines w:val="0"/>
              <w:pageBreakBefore w:val="0"/>
              <w:numPr>
                <w:ilvl w:val="0"/>
                <w:numId w:val="3"/>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专项资金安排落实、总投入等情况分析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加强对专项资金的管理，有效控制项目资金的投向和使用，最大限度地发挥项目资金使用效益，我局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工程款拨付上，我局由分管局长、项目承担单位负责人和现场管理人员严格按照所签定的施工合同，根据工程的施工进度严格审查、分批付款;在资金管理上，严格按照省、市有关文件规定和国家有关财纪法律、法规规定的内容开支各项费用，随时掌握资金动态和使用范围，严格按照预算合理控制开支额度，使项目专项资金得到充分、合理、有效地使用。</w:t>
            </w:r>
            <w:r>
              <w:rPr>
                <w:rFonts w:hint="eastAsia" w:ascii="仿宋" w:hAnsi="仿宋" w:eastAsia="仿宋" w:cs="仿宋"/>
                <w:bCs/>
                <w:color w:val="000000" w:themeColor="text1"/>
                <w:sz w:val="28"/>
                <w:szCs w:val="28"/>
                <w:lang w:val="en-US" w:eastAsia="zh-CN"/>
                <w14:textFill>
                  <w14:solidFill>
                    <w14:schemeClr w14:val="tx1"/>
                  </w14:solidFill>
                </w14:textFill>
              </w:rPr>
              <w:t>2022年项目预算经</w:t>
            </w:r>
            <w:r>
              <w:rPr>
                <w:rFonts w:hint="eastAsia" w:ascii="仿宋" w:hAnsi="仿宋" w:eastAsia="仿宋" w:cs="仿宋"/>
                <w:bCs/>
                <w:color w:val="auto"/>
                <w:sz w:val="28"/>
                <w:szCs w:val="28"/>
                <w:lang w:val="en-US" w:eastAsia="zh-CN"/>
              </w:rPr>
              <w:t>费423.65万元</w:t>
            </w:r>
            <w:r>
              <w:rPr>
                <w:rFonts w:hint="eastAsia" w:ascii="仿宋" w:hAnsi="仿宋" w:eastAsia="仿宋" w:cs="仿宋"/>
                <w:bCs/>
                <w:color w:val="000000" w:themeColor="text1"/>
                <w:sz w:val="28"/>
                <w:szCs w:val="28"/>
                <w:lang w:val="en-US" w:eastAsia="zh-CN"/>
                <w14:textFill>
                  <w14:solidFill>
                    <w14:schemeClr w14:val="tx1"/>
                  </w14:solidFill>
                </w14:textFill>
              </w:rPr>
              <w:t>，其中：荣家湾粮库县级粮食储备经费180万元，粮食改制经费131万元。</w:t>
            </w:r>
          </w:p>
          <w:p>
            <w:pPr>
              <w:keepNext w:val="0"/>
              <w:keepLines w:val="0"/>
              <w:pageBreakBefore w:val="0"/>
              <w:numPr>
                <w:ilvl w:val="0"/>
                <w:numId w:val="3"/>
              </w:numPr>
              <w:kinsoku/>
              <w:wordWrap/>
              <w:overflowPunct/>
              <w:topLinePunct w:val="0"/>
              <w:autoSpaceDE/>
              <w:bidi w:val="0"/>
              <w:adjustRightInd/>
              <w:snapToGrid/>
              <w:spacing w:line="460" w:lineRule="exact"/>
              <w:ind w:left="0" w:leftChars="0"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专项资金实际使用情况分析</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2022年专项资金实际使用情况：荣家湾粮库县级粮食储备经费预算拨付180万元，实际使用180万元；粮食改制经费预算拨付131万元，实际使用</w:t>
            </w:r>
            <w:r>
              <w:rPr>
                <w:rFonts w:hint="eastAsia" w:ascii="仿宋" w:hAnsi="仿宋" w:eastAsia="仿宋" w:cs="仿宋"/>
                <w:bCs/>
                <w:color w:val="auto"/>
                <w:sz w:val="28"/>
                <w:szCs w:val="28"/>
                <w:lang w:val="en-US" w:eastAsia="zh-CN"/>
              </w:rPr>
              <w:t>196.16万元</w:t>
            </w:r>
            <w:r>
              <w:rPr>
                <w:rFonts w:hint="eastAsia" w:ascii="仿宋" w:hAnsi="仿宋" w:eastAsia="仿宋" w:cs="仿宋"/>
                <w:bCs/>
                <w:color w:val="000000" w:themeColor="text1"/>
                <w:sz w:val="28"/>
                <w:szCs w:val="28"/>
                <w:lang w:val="en-US" w:eastAsia="zh-CN"/>
                <w14:textFill>
                  <w14:solidFill>
                    <w14:schemeClr w14:val="tx1"/>
                  </w14:solidFill>
                </w14:textFill>
              </w:rPr>
              <w:t>。由于财政预算经费有限，局机关财力不足，致使项目经费短缺。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3、专项资金管理情况分析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加强对专项资金的管理，做到依法、依规、合理地安排和使用专项资金，根据上级主管部门和相关部门对专项资金的规定，我局从建立健全专项资金管理制度、资金安排、资金监督和管理、资金使用的绩效评价等方面入手，全面加强对专项资金的管理，先后制订了《专项资金使用管理暂行办法》等资金管理制度，从资金申请、安排、拨付、审批、监管等多方面进行管理，以确保项目资金在健全、有序的管理制度下运行。</w:t>
            </w:r>
          </w:p>
          <w:p>
            <w:pPr>
              <w:keepNext w:val="0"/>
              <w:keepLines w:val="0"/>
              <w:pageBreakBefore w:val="0"/>
              <w:numPr>
                <w:ilvl w:val="0"/>
                <w:numId w:val="4"/>
              </w:numPr>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一、经济效益：</w:t>
            </w:r>
            <w:r>
              <w:rPr>
                <w:rFonts w:hint="eastAsia" w:ascii="仿宋" w:hAnsi="仿宋" w:eastAsia="仿宋" w:cs="仿宋"/>
                <w:color w:val="000000" w:themeColor="text1"/>
                <w:sz w:val="28"/>
                <w:szCs w:val="28"/>
                <w14:textFill>
                  <w14:solidFill>
                    <w14:schemeClr w14:val="tx1"/>
                  </w14:solidFill>
                </w14:textFill>
              </w:rPr>
              <w:t>“洞庭湖”大米品牌创造的经济效益</w:t>
            </w:r>
            <w:r>
              <w:rPr>
                <w:rFonts w:hint="eastAsia" w:ascii="仿宋" w:hAnsi="仿宋" w:eastAsia="仿宋" w:cs="仿宋"/>
                <w:color w:val="000000" w:themeColor="text1"/>
                <w:sz w:val="28"/>
                <w:szCs w:val="28"/>
                <w:lang w:eastAsia="zh-CN"/>
                <w14:textFill>
                  <w14:solidFill>
                    <w14:schemeClr w14:val="tx1"/>
                  </w14:solidFill>
                </w14:textFill>
              </w:rPr>
              <w:t>明显。</w:t>
            </w:r>
          </w:p>
          <w:p>
            <w:pPr>
              <w:keepNext w:val="0"/>
              <w:keepLines w:val="0"/>
              <w:pageBreakBefore w:val="0"/>
              <w:kinsoku/>
              <w:wordWrap/>
              <w:overflowPunct/>
              <w:topLinePunct w:val="0"/>
              <w:autoSpaceDE/>
              <w:bidi w:val="0"/>
              <w:adjustRightInd/>
              <w:snapToGrid/>
              <w:spacing w:line="460" w:lineRule="exact"/>
              <w:ind w:firstLine="560" w:firstLineChars="200"/>
              <w:jc w:val="both"/>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社会效益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执行国家最低价粮食收购政策，敞开收购，保护农民利益，使农民增产增收</w:t>
            </w:r>
            <w:r>
              <w:rPr>
                <w:rFonts w:hint="eastAsia" w:ascii="仿宋" w:hAnsi="仿宋" w:eastAsia="仿宋" w:cs="仿宋"/>
                <w:color w:val="000000" w:themeColor="text1"/>
                <w:sz w:val="28"/>
                <w:szCs w:val="28"/>
                <w:lang w:eastAsia="zh-CN"/>
                <w14:textFill>
                  <w14:solidFill>
                    <w14:schemeClr w14:val="tx1"/>
                  </w14:solidFill>
                </w14:textFill>
              </w:rPr>
              <w:t>。稳定粮食市场，保障粮食安全，保证县域内居民口粮供应，提高抗灾能力。</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jc w:val="both"/>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生态效益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储粮工艺优化，节能减排增效降耗</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五、</w:t>
            </w:r>
            <w:r>
              <w:rPr>
                <w:rFonts w:hint="eastAsia" w:ascii="黑体" w:hAnsi="黑体" w:eastAsia="黑体" w:cs="黑体"/>
                <w:bCs/>
                <w:color w:val="auto"/>
                <w:sz w:val="28"/>
                <w:szCs w:val="28"/>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（一）外贸企业规模小</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我县工业基础薄弱，发展开放型经济起步较迟，外贸企业少，外贸企业主体不强，没有大型骨干企业支撑，企业出口产品单一，高附加值产品少，品牌不强，产品科技含量不高，市场占有份额少，很难进入欧美高端市场。</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（二）人才短缺</w:t>
            </w:r>
            <w:r>
              <w:rPr>
                <w:rFonts w:hint="eastAsia" w:ascii="仿宋" w:hAnsi="仿宋" w:eastAsia="仿宋" w:cs="仿宋"/>
                <w:bCs/>
                <w:color w:val="auto"/>
                <w:sz w:val="28"/>
                <w:szCs w:val="28"/>
                <w:lang w:eastAsia="zh-CN"/>
              </w:rPr>
              <w:t>。</w:t>
            </w:r>
            <w:r>
              <w:rPr>
                <w:rFonts w:hint="eastAsia" w:ascii="仿宋" w:hAnsi="仿宋" w:eastAsia="仿宋" w:cs="仿宋"/>
                <w:color w:val="auto"/>
                <w:sz w:val="28"/>
                <w:szCs w:val="28"/>
              </w:rPr>
              <w:t>单位干部职工队伍结构性老龄化，人员平均年龄偏大，工作人员不能适应新形势、新要求的问题十分突出。</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粮食破产企业改制遗留问</w:t>
            </w:r>
            <w:r>
              <w:rPr>
                <w:rFonts w:hint="eastAsia" w:ascii="仿宋" w:hAnsi="仿宋" w:eastAsia="仿宋" w:cs="仿宋"/>
                <w:sz w:val="28"/>
                <w:szCs w:val="28"/>
              </w:rPr>
              <w:t>题多</w:t>
            </w:r>
            <w:r>
              <w:rPr>
                <w:rFonts w:hint="eastAsia" w:ascii="仿宋" w:hAnsi="仿宋" w:eastAsia="仿宋" w:cs="仿宋"/>
                <w:sz w:val="28"/>
                <w:szCs w:val="28"/>
                <w:lang w:eastAsia="zh-CN"/>
              </w:rPr>
              <w:t>。</w:t>
            </w:r>
            <w:r>
              <w:rPr>
                <w:rFonts w:hint="eastAsia" w:ascii="仿宋" w:hAnsi="仿宋" w:eastAsia="仿宋" w:cs="仿宋"/>
                <w:sz w:val="28"/>
                <w:szCs w:val="28"/>
              </w:rPr>
              <w:t>返聘职工身份置换、养老金缴纳所需资金</w:t>
            </w:r>
            <w:r>
              <w:rPr>
                <w:rFonts w:hint="eastAsia" w:ascii="仿宋" w:hAnsi="仿宋" w:eastAsia="仿宋" w:cs="仿宋"/>
                <w:sz w:val="28"/>
                <w:szCs w:val="28"/>
                <w:lang w:eastAsia="zh-CN"/>
              </w:rPr>
              <w:t>短缺，导致单位资金运转困难。</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auto"/>
                <w:sz w:val="28"/>
                <w:szCs w:val="28"/>
              </w:rPr>
            </w:pPr>
            <w:r>
              <w:rPr>
                <w:rFonts w:hint="eastAsia" w:ascii="黑体" w:hAnsi="黑体" w:eastAsia="黑体" w:cs="黑体"/>
                <w:bCs/>
                <w:color w:val="auto"/>
                <w:sz w:val="28"/>
                <w:szCs w:val="28"/>
              </w:rPr>
              <w:t>六、改进措施和有关建议</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lang w:val="en-US" w:eastAsia="zh-CN"/>
                <w14:textFill>
                  <w14:solidFill>
                    <w14:schemeClr w14:val="tx1"/>
                  </w14:solidFill>
                </w14:textFill>
              </w:rPr>
              <w:t>加强预算管理，进一步细化预算支出科目，严格按照年初预算控制支出，</w:t>
            </w:r>
            <w:r>
              <w:rPr>
                <w:rFonts w:hint="eastAsia" w:ascii="仿宋" w:hAnsi="仿宋" w:eastAsia="仿宋" w:cs="仿宋"/>
                <w:bCs/>
                <w:color w:val="000000" w:themeColor="text1"/>
                <w:sz w:val="28"/>
                <w:szCs w:val="28"/>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2、建议县财政将我局干部职工全部纳入财政预算，增加财政预算拨款。</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lang w:eastAsia="zh-CN"/>
              </w:rPr>
            </w:pP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加强对粮食工作的领导，按照粮食</w:t>
            </w:r>
            <w:r>
              <w:rPr>
                <w:rFonts w:hint="eastAsia" w:ascii="仿宋" w:hAnsi="仿宋" w:eastAsia="仿宋" w:cs="仿宋"/>
                <w:bCs/>
                <w:color w:val="000000" w:themeColor="text1"/>
                <w:sz w:val="28"/>
                <w:szCs w:val="28"/>
                <w:lang w:eastAsia="zh-CN"/>
                <w14:textFill>
                  <w14:solidFill>
                    <w14:schemeClr w14:val="tx1"/>
                  </w14:solidFill>
                </w14:textFill>
              </w:rPr>
              <w:t>安全</w:t>
            </w:r>
            <w:r>
              <w:rPr>
                <w:rFonts w:hint="eastAsia" w:ascii="仿宋" w:hAnsi="仿宋" w:eastAsia="仿宋" w:cs="仿宋"/>
                <w:bCs/>
                <w:color w:val="auto"/>
                <w:sz w:val="28"/>
                <w:szCs w:val="28"/>
                <w:lang w:eastAsia="zh-CN"/>
              </w:rPr>
              <w:t>党政同责</w:t>
            </w:r>
            <w:r>
              <w:rPr>
                <w:rFonts w:hint="eastAsia" w:ascii="仿宋" w:hAnsi="仿宋" w:eastAsia="仿宋" w:cs="仿宋"/>
                <w:bCs/>
                <w:color w:val="auto"/>
                <w:sz w:val="28"/>
                <w:szCs w:val="28"/>
              </w:rPr>
              <w:t>的要求,强化工作职责，落实工作方案，全面完成粮食收购、储存工作任务</w:t>
            </w:r>
            <w:r>
              <w:rPr>
                <w:rFonts w:hint="eastAsia" w:ascii="仿宋" w:hAnsi="仿宋" w:eastAsia="仿宋" w:cs="仿宋"/>
                <w:bCs/>
                <w:color w:val="auto"/>
                <w:sz w:val="28"/>
                <w:szCs w:val="28"/>
                <w:lang w:eastAsia="zh-CN"/>
              </w:rPr>
              <w:t>。建议县财政适当增加县级储备粮专项经费补贴，确保我县粮食安全。</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FF0000"/>
                <w:sz w:val="28"/>
                <w:szCs w:val="28"/>
                <w:lang w:val="en-US" w:eastAsia="zh-CN"/>
              </w:rPr>
            </w:pPr>
            <w:r>
              <w:rPr>
                <w:rFonts w:hint="eastAsia" w:ascii="仿宋" w:hAnsi="仿宋" w:eastAsia="仿宋" w:cs="仿宋"/>
                <w:bCs/>
                <w:color w:val="FF0000"/>
                <w:sz w:val="28"/>
                <w:szCs w:val="28"/>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28"/>
                <w:szCs w:val="28"/>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EC95"/>
    <w:multiLevelType w:val="singleLevel"/>
    <w:tmpl w:val="8A1AEC95"/>
    <w:lvl w:ilvl="0" w:tentative="0">
      <w:start w:val="4"/>
      <w:numFmt w:val="chineseCounting"/>
      <w:suff w:val="nothing"/>
      <w:lvlText w:val="%1、"/>
      <w:lvlJc w:val="left"/>
      <w:rPr>
        <w:rFonts w:hint="eastAsia"/>
      </w:rPr>
    </w:lvl>
  </w:abstractNum>
  <w:abstractNum w:abstractNumId="1">
    <w:nsid w:val="CD2E28B9"/>
    <w:multiLevelType w:val="singleLevel"/>
    <w:tmpl w:val="CD2E28B9"/>
    <w:lvl w:ilvl="0" w:tentative="0">
      <w:start w:val="1"/>
      <w:numFmt w:val="decimal"/>
      <w:suff w:val="nothing"/>
      <w:lvlText w:val="%1、"/>
      <w:lvlJc w:val="left"/>
    </w:lvl>
  </w:abstractNum>
  <w:abstractNum w:abstractNumId="2">
    <w:nsid w:val="1EE29451"/>
    <w:multiLevelType w:val="singleLevel"/>
    <w:tmpl w:val="1EE29451"/>
    <w:lvl w:ilvl="0" w:tentative="0">
      <w:start w:val="2"/>
      <w:numFmt w:val="chineseCounting"/>
      <w:suff w:val="nothing"/>
      <w:lvlText w:val="（%1）"/>
      <w:lvlJc w:val="left"/>
      <w:rPr>
        <w:rFonts w:hint="eastAsia"/>
      </w:rPr>
    </w:lvl>
  </w:abstractNum>
  <w:abstractNum w:abstractNumId="3">
    <w:nsid w:val="223F4E00"/>
    <w:multiLevelType w:val="singleLevel"/>
    <w:tmpl w:val="223F4E00"/>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MTk5ZGJhYTk5NjBmYTQ4NWJhYmQ2YWI3OGM4ZTMifQ=="/>
  </w:docVars>
  <w:rsids>
    <w:rsidRoot w:val="0A1A313F"/>
    <w:rsid w:val="010D3828"/>
    <w:rsid w:val="0261343E"/>
    <w:rsid w:val="06C87000"/>
    <w:rsid w:val="06DA34D7"/>
    <w:rsid w:val="074939C4"/>
    <w:rsid w:val="0A1A313F"/>
    <w:rsid w:val="0A533FDD"/>
    <w:rsid w:val="0C7E3877"/>
    <w:rsid w:val="0D131C76"/>
    <w:rsid w:val="0D874C5B"/>
    <w:rsid w:val="0FBD61D9"/>
    <w:rsid w:val="1268177A"/>
    <w:rsid w:val="1366795F"/>
    <w:rsid w:val="137C7722"/>
    <w:rsid w:val="14964DFF"/>
    <w:rsid w:val="14AD1543"/>
    <w:rsid w:val="18527DA7"/>
    <w:rsid w:val="18B05A4E"/>
    <w:rsid w:val="19422E64"/>
    <w:rsid w:val="1A3B08E9"/>
    <w:rsid w:val="1A4365C4"/>
    <w:rsid w:val="1B1D29ED"/>
    <w:rsid w:val="1B9719D0"/>
    <w:rsid w:val="1C2A0907"/>
    <w:rsid w:val="1E1427DF"/>
    <w:rsid w:val="1EA62ED2"/>
    <w:rsid w:val="23845D9E"/>
    <w:rsid w:val="2B247840"/>
    <w:rsid w:val="2BEA2ED3"/>
    <w:rsid w:val="2D20037D"/>
    <w:rsid w:val="2D3C3022"/>
    <w:rsid w:val="309B7538"/>
    <w:rsid w:val="32D875C8"/>
    <w:rsid w:val="337C3D88"/>
    <w:rsid w:val="349211B7"/>
    <w:rsid w:val="356111CA"/>
    <w:rsid w:val="370E1E08"/>
    <w:rsid w:val="37EB05DA"/>
    <w:rsid w:val="3A4D5720"/>
    <w:rsid w:val="3A7D1496"/>
    <w:rsid w:val="3BAE6861"/>
    <w:rsid w:val="3E107914"/>
    <w:rsid w:val="3EAA7659"/>
    <w:rsid w:val="3ED62761"/>
    <w:rsid w:val="40DE69C4"/>
    <w:rsid w:val="42F948DC"/>
    <w:rsid w:val="47662791"/>
    <w:rsid w:val="49466BCD"/>
    <w:rsid w:val="4AB01BDD"/>
    <w:rsid w:val="4AFE4D20"/>
    <w:rsid w:val="4B591B02"/>
    <w:rsid w:val="4F2C674A"/>
    <w:rsid w:val="4FA0745D"/>
    <w:rsid w:val="53A2671A"/>
    <w:rsid w:val="55133157"/>
    <w:rsid w:val="57AF4CAD"/>
    <w:rsid w:val="586F107A"/>
    <w:rsid w:val="58E42E60"/>
    <w:rsid w:val="5CAD5ED1"/>
    <w:rsid w:val="5D8F040A"/>
    <w:rsid w:val="5DAC222B"/>
    <w:rsid w:val="5E2430CD"/>
    <w:rsid w:val="5FC64C01"/>
    <w:rsid w:val="60DB3631"/>
    <w:rsid w:val="661871B9"/>
    <w:rsid w:val="664A115C"/>
    <w:rsid w:val="666741CE"/>
    <w:rsid w:val="66F217FA"/>
    <w:rsid w:val="67806210"/>
    <w:rsid w:val="67B70932"/>
    <w:rsid w:val="6AC474E9"/>
    <w:rsid w:val="6B2C161F"/>
    <w:rsid w:val="6BA35AF5"/>
    <w:rsid w:val="6ED938AF"/>
    <w:rsid w:val="70F10C3A"/>
    <w:rsid w:val="716970CB"/>
    <w:rsid w:val="717E5953"/>
    <w:rsid w:val="775D5A0F"/>
    <w:rsid w:val="78FE6488"/>
    <w:rsid w:val="7B931F32"/>
    <w:rsid w:val="7C987027"/>
    <w:rsid w:val="7EFD2393"/>
    <w:rsid w:val="7F45799F"/>
    <w:rsid w:val="7F99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next w:val="1"/>
    <w:qFormat/>
    <w:uiPriority w:val="1"/>
    <w:pPr>
      <w:spacing w:before="102"/>
      <w:ind w:left="113" w:firstLine="559"/>
    </w:pPr>
    <w:rPr>
      <w:sz w:val="28"/>
      <w:szCs w:val="28"/>
    </w:rPr>
  </w:style>
  <w:style w:type="paragraph" w:styleId="4">
    <w:name w:val="Body Text Indent"/>
    <w:basedOn w:val="1"/>
    <w:next w:val="5"/>
    <w:qFormat/>
    <w:uiPriority w:val="99"/>
    <w:pPr>
      <w:spacing w:after="120"/>
      <w:ind w:left="420" w:leftChars="200"/>
    </w:pPr>
    <w:rPr>
      <w:sz w:val="20"/>
    </w:rPr>
  </w:style>
  <w:style w:type="paragraph" w:styleId="5">
    <w:name w:val="Body Text First Indent 2"/>
    <w:basedOn w:val="4"/>
    <w:next w:val="3"/>
    <w:qFormat/>
    <w:uiPriority w:val="99"/>
    <w:pPr>
      <w:spacing w:before="100" w:beforeAutospacing="1"/>
      <w:ind w:firstLine="420" w:firstLineChars="200"/>
    </w:pPr>
    <w:rPr>
      <w:szCs w:val="20"/>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5129</Words>
  <Characters>5582</Characters>
  <Lines>0</Lines>
  <Paragraphs>0</Paragraphs>
  <TotalTime>50</TotalTime>
  <ScaleCrop>false</ScaleCrop>
  <LinksUpToDate>false</LinksUpToDate>
  <CharactersWithSpaces>6019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Administrator</cp:lastModifiedBy>
  <cp:lastPrinted>2023-05-17T02:53:00Z</cp:lastPrinted>
  <dcterms:modified xsi:type="dcterms:W3CDTF">2023-09-27T07:35:44Z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C13F100627DD4C8485C01E9B5FFB92E6</vt:lpwstr>
  </property>
</Properties>
</file>