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r>
        <w:rPr>
          <w:rFonts w:ascii="方正小标宋简体" w:hAnsi="华文中宋" w:eastAsia="方正小标宋简体"/>
          <w:bCs/>
          <w:sz w:val="44"/>
          <w:szCs w:val="44"/>
        </w:rPr>
        <w:t xml:space="preserve"> </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eastAsia="zh-CN"/>
        </w:rPr>
        <w:t>202</w:t>
      </w:r>
      <w:r>
        <w:rPr>
          <w:rFonts w:hint="eastAsia" w:eastAsia="方正小标宋简体"/>
          <w:bCs/>
          <w:sz w:val="46"/>
          <w:szCs w:val="46"/>
          <w:lang w:val="en-US" w:eastAsia="zh-CN"/>
        </w:rPr>
        <w:t>2</w:t>
      </w:r>
      <w:r>
        <w:rPr>
          <w:rFonts w:hint="eastAsia" w:eastAsia="方正小标宋简体"/>
          <w:bCs/>
          <w:sz w:val="46"/>
          <w:szCs w:val="46"/>
          <w:lang w:eastAsia="zh-CN"/>
        </w:rPr>
        <w:t>年</w:t>
      </w:r>
      <w:r>
        <w:rPr>
          <w:rFonts w:hint="eastAsia" w:eastAsia="方正小标宋简体"/>
          <w:bCs/>
          <w:sz w:val="46"/>
          <w:szCs w:val="46"/>
        </w:rPr>
        <w:t>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u w:val="single"/>
        </w:rPr>
        <w:t>岳阳县城市公</w:t>
      </w:r>
      <w:r>
        <w:rPr>
          <w:rFonts w:hint="eastAsia" w:eastAsia="仿宋_GB2312"/>
          <w:sz w:val="32"/>
          <w:u w:val="single"/>
          <w:lang w:val="en-US" w:eastAsia="zh-CN"/>
        </w:rPr>
        <w:t>共交通</w:t>
      </w:r>
      <w:r>
        <w:rPr>
          <w:rFonts w:hint="eastAsia" w:eastAsia="仿宋_GB2312"/>
          <w:sz w:val="32"/>
          <w:u w:val="single"/>
        </w:rPr>
        <w:t>执法大队</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rPr>
        <w:t>414005</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eastAsia="zh-CN"/>
        </w:rPr>
        <w:t>202</w:t>
      </w:r>
      <w:r>
        <w:rPr>
          <w:rFonts w:hint="eastAsia" w:eastAsia="仿宋_GB2312"/>
          <w:sz w:val="32"/>
          <w:lang w:val="en-US" w:eastAsia="zh-CN"/>
        </w:rPr>
        <w:t>3</w:t>
      </w:r>
      <w:r>
        <w:rPr>
          <w:rFonts w:hint="eastAsia" w:eastAsia="仿宋_GB2312"/>
          <w:sz w:val="32"/>
          <w:lang w:eastAsia="zh-CN"/>
        </w:rPr>
        <w:t>年</w:t>
      </w:r>
      <w:r>
        <w:rPr>
          <w:rFonts w:eastAsia="仿宋_GB2312"/>
          <w:sz w:val="32"/>
        </w:rPr>
        <w:t>0</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0</w:t>
      </w:r>
      <w:r>
        <w:rPr>
          <w:rFonts w:eastAsia="仿宋_GB2312"/>
          <w:sz w:val="32"/>
        </w:rPr>
        <w:t>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王君</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13077171686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1、宣传贯彻执行国家、省、市、县和上级交通主管部门有关城市公共交通的方针、政策和法律法规规章；参与拟订全县城市公共交通行政执法工作计划，并组织实施。</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2、依法行使有关法律法规赋予的城市公共交通管理的行政处罚权以及与行政强制处罚相关的行政检查、行政强制 等行政执法职能。</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3、负责全县城市公共交通市场的管理，维护良好的城市公共交通秩序；承担城市公共交通有关信访举报、服务投诉及违章抄告等事项的受理、处理等工作。</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4、承办县委、县政府和县交通运输局交办的其他工作。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工作内容</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1</w:t>
            </w:r>
            <w:r>
              <w:rPr>
                <w:rFonts w:hint="eastAsia" w:ascii="仿宋_GB2312" w:hAnsi="仿宋_GB2312" w:eastAsia="仿宋_GB2312" w:cs="仿宋_GB2312"/>
                <w:sz w:val="24"/>
              </w:rPr>
              <w:t>：加强城市公共交通政策法规宣传教育</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2</w:t>
            </w:r>
            <w:r>
              <w:rPr>
                <w:rFonts w:hint="eastAsia" w:ascii="仿宋_GB2312" w:hAnsi="仿宋_GB2312" w:eastAsia="仿宋_GB2312" w:cs="仿宋_GB2312"/>
                <w:sz w:val="24"/>
              </w:rPr>
              <w:t>：强化城市公共交通执法监督</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3</w:t>
            </w:r>
            <w:r>
              <w:rPr>
                <w:rFonts w:hint="eastAsia" w:ascii="仿宋_GB2312" w:hAnsi="仿宋_GB2312" w:eastAsia="仿宋_GB2312" w:cs="仿宋_GB2312"/>
                <w:sz w:val="24"/>
              </w:rPr>
              <w:t>：完成上级部门交办的其他工作</w:t>
            </w:r>
          </w:p>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一、坚持党的领导，服从服务大局</w:t>
            </w:r>
            <w:r>
              <w:rPr>
                <w:rFonts w:ascii="仿宋_GB2312" w:hAnsi="仿宋_GB2312" w:eastAsia="仿宋_GB2312" w:cs="仿宋_GB2312"/>
                <w:sz w:val="24"/>
              </w:rPr>
              <w:t>;</w:t>
            </w:r>
          </w:p>
          <w:p>
            <w:pPr>
              <w:autoSpaceDN w:val="0"/>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二、开展道路运输安全“隐患清零”，消除动态安全隐患</w:t>
            </w:r>
          </w:p>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三、全县推进巡游出租车网约化、网约车合规化及新能源车试点等工作，打击非法营运市场</w:t>
            </w:r>
          </w:p>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四、强化自身建设，展示良好形象，党建及其他各项工作完满完成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公共财</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595.88</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7.91</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481.05</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cs="宋体"/>
                <w:sz w:val="22"/>
                <w:szCs w:val="22"/>
                <w:lang w:val="en-US"/>
              </w:rPr>
            </w:pPr>
            <w:r>
              <w:rPr>
                <w:rFonts w:hint="eastAsia" w:ascii="宋体" w:hAnsi="宋体" w:cs="宋体"/>
                <w:i w:val="0"/>
                <w:iCs w:val="0"/>
                <w:color w:val="000000"/>
                <w:kern w:val="0"/>
                <w:sz w:val="22"/>
                <w:szCs w:val="22"/>
                <w:u w:val="none"/>
                <w:lang w:val="en-US" w:eastAsia="zh-CN" w:bidi="ar"/>
              </w:rPr>
              <w:t>106.92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595.88</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7.91</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481.05</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cs="宋体"/>
                <w:i w:val="0"/>
                <w:iCs w:val="0"/>
                <w:color w:val="000000"/>
                <w:kern w:val="0"/>
                <w:sz w:val="22"/>
                <w:szCs w:val="22"/>
                <w:u w:val="none"/>
                <w:lang w:val="en-US" w:eastAsia="zh-CN" w:bidi="ar"/>
              </w:rPr>
              <w:t>106.92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595.88</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cs="宋体"/>
                <w:b/>
                <w:bCs/>
                <w:sz w:val="22"/>
                <w:szCs w:val="22"/>
                <w:lang w:val="en-US"/>
              </w:rPr>
            </w:pPr>
            <w:r>
              <w:rPr>
                <w:rFonts w:hint="eastAsia" w:ascii="宋体" w:hAnsi="宋体" w:cs="宋体"/>
                <w:b/>
                <w:bCs/>
                <w:i w:val="0"/>
                <w:iCs w:val="0"/>
                <w:color w:val="000000"/>
                <w:kern w:val="0"/>
                <w:sz w:val="22"/>
                <w:szCs w:val="22"/>
                <w:u w:val="none"/>
                <w:lang w:val="en-US" w:eastAsia="zh-CN" w:bidi="ar"/>
              </w:rPr>
              <w:t>347.21</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159.53</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187.68</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cs="宋体"/>
                <w:b/>
                <w:bCs/>
                <w:sz w:val="22"/>
                <w:szCs w:val="22"/>
                <w:lang w:val="en-US"/>
              </w:rPr>
            </w:pPr>
            <w:r>
              <w:rPr>
                <w:rFonts w:hint="eastAsia" w:ascii="宋体" w:hAnsi="宋体" w:cs="宋体"/>
                <w:b/>
                <w:bCs/>
                <w:i w:val="0"/>
                <w:iCs w:val="0"/>
                <w:color w:val="000000"/>
                <w:kern w:val="0"/>
                <w:sz w:val="22"/>
                <w:szCs w:val="22"/>
                <w:u w:val="none"/>
                <w:lang w:val="en-US" w:eastAsia="zh-CN" w:bidi="ar"/>
              </w:rPr>
              <w:t>248.67</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-7.91</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595.88</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cs="宋体"/>
                <w:b/>
                <w:bCs/>
                <w:i w:val="0"/>
                <w:iCs w:val="0"/>
                <w:color w:val="000000"/>
                <w:kern w:val="0"/>
                <w:sz w:val="22"/>
                <w:szCs w:val="22"/>
                <w:u w:val="none"/>
                <w:lang w:val="en-US" w:eastAsia="zh-CN" w:bidi="ar"/>
              </w:rPr>
              <w:t>347.21</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159.53</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187.68</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cs="宋体"/>
                <w:b/>
                <w:bCs/>
                <w:i w:val="0"/>
                <w:iCs w:val="0"/>
                <w:color w:val="000000"/>
                <w:kern w:val="0"/>
                <w:sz w:val="22"/>
                <w:szCs w:val="22"/>
                <w:u w:val="none"/>
                <w:lang w:val="en-US" w:eastAsia="zh-CN" w:bidi="ar"/>
              </w:rPr>
              <w:t>248.67</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-7.91</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0.63</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0.63</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0.</w:t>
            </w:r>
            <w:r>
              <w:rPr>
                <w:rFonts w:hint="eastAsia" w:ascii="仿宋_GB2312" w:hAnsi="仿宋_GB2312" w:eastAsia="仿宋_GB2312" w:cs="仿宋_GB2312"/>
                <w:sz w:val="24"/>
                <w:lang w:val="en-US" w:eastAsia="zh-CN"/>
              </w:rPr>
              <w:t>63</w:t>
            </w: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0.</w:t>
            </w:r>
            <w:r>
              <w:rPr>
                <w:rFonts w:hint="eastAsia" w:ascii="仿宋_GB2312" w:hAnsi="仿宋_GB2312" w:eastAsia="仿宋_GB2312" w:cs="仿宋_GB2312"/>
                <w:sz w:val="24"/>
                <w:lang w:val="en-US" w:eastAsia="zh-CN"/>
              </w:rPr>
              <w:t>63</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固定资产</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15.33</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lang w:val="en-US"/>
              </w:rPr>
            </w:pPr>
            <w:r>
              <w:rPr>
                <w:rFonts w:hint="eastAsia" w:ascii="仿宋_GB2312" w:hAnsi="宋体" w:eastAsia="仿宋_GB2312" w:cs="仿宋_GB2312"/>
                <w:i w:val="0"/>
                <w:iCs w:val="0"/>
                <w:color w:val="000000"/>
                <w:kern w:val="0"/>
                <w:sz w:val="24"/>
                <w:szCs w:val="24"/>
                <w:u w:val="none"/>
                <w:lang w:val="en-US" w:eastAsia="zh-CN" w:bidi="ar"/>
              </w:rPr>
              <w:t>15.33</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15.33</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15.33</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3774" w:type="dxa"/>
            <w:gridSpan w:val="6"/>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1</w:t>
            </w:r>
            <w:r>
              <w:rPr>
                <w:rFonts w:hint="eastAsia" w:ascii="仿宋_GB2312" w:hAnsi="仿宋_GB2312" w:eastAsia="仿宋_GB2312" w:cs="仿宋_GB2312"/>
                <w:sz w:val="24"/>
              </w:rPr>
              <w:t>：加强城市公共交通政策法规宣传教育</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2</w:t>
            </w:r>
            <w:r>
              <w:rPr>
                <w:rFonts w:hint="eastAsia" w:ascii="仿宋_GB2312" w:hAnsi="仿宋_GB2312" w:eastAsia="仿宋_GB2312" w:cs="仿宋_GB2312"/>
                <w:sz w:val="24"/>
              </w:rPr>
              <w:t>：强化城市公共交通执法监督</w:t>
            </w:r>
          </w:p>
          <w:p>
            <w:pPr>
              <w:autoSpaceDN w:val="0"/>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3</w:t>
            </w:r>
            <w:r>
              <w:rPr>
                <w:rFonts w:hint="eastAsia" w:ascii="仿宋_GB2312" w:hAnsi="仿宋_GB2312" w:eastAsia="仿宋_GB2312" w:cs="仿宋_GB2312"/>
                <w:sz w:val="24"/>
              </w:rPr>
              <w:t>：完成上级部门交办的其他工作</w:t>
            </w:r>
          </w:p>
          <w:p>
            <w:pPr>
              <w:autoSpaceDN w:val="0"/>
              <w:spacing w:line="400" w:lineRule="exact"/>
              <w:jc w:val="left"/>
              <w:textAlignment w:val="center"/>
              <w:rPr>
                <w:rFonts w:ascii="仿宋_GB2312" w:hAnsi="仿宋_GB2312" w:eastAsia="仿宋_GB2312" w:cs="仿宋_GB2312"/>
                <w:sz w:val="24"/>
              </w:rPr>
            </w:pP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产出目标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城市客运通畅水平</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“三公经费”变动率≤</w:t>
            </w:r>
            <w:r>
              <w:rPr>
                <w:rFonts w:ascii="仿宋_GB2312" w:hAnsi="仿宋_GB2312" w:eastAsia="仿宋_GB2312" w:cs="仿宋_GB2312"/>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非法营运累计排查100起以上</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在202</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财政年度内督促完成客运安全隐患整改任务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全年财政整体支出</w:t>
            </w:r>
            <w:r>
              <w:rPr>
                <w:rFonts w:hint="eastAsia" w:ascii="仿宋_GB2312" w:hAnsi="宋体" w:eastAsia="仿宋_GB2312" w:cs="仿宋_GB2312"/>
                <w:i w:val="0"/>
                <w:iCs w:val="0"/>
                <w:color w:val="000000"/>
                <w:kern w:val="0"/>
                <w:sz w:val="24"/>
                <w:szCs w:val="24"/>
                <w:u w:val="none"/>
                <w:lang w:val="en-US" w:eastAsia="zh-CN" w:bidi="ar"/>
              </w:rPr>
              <w:t>595.88</w:t>
            </w:r>
            <w:r>
              <w:rPr>
                <w:rFonts w:hint="eastAsia" w:ascii="仿宋_GB2312" w:hAnsi="仿宋_GB2312" w:eastAsia="仿宋_GB2312" w:cs="仿宋_GB2312"/>
                <w:sz w:val="24"/>
              </w:rPr>
              <w:t>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宋体" w:eastAsia="仿宋_GB2312" w:cs="仿宋_GB2312"/>
                <w:i w:val="0"/>
                <w:iCs w:val="0"/>
                <w:color w:val="000000"/>
                <w:kern w:val="0"/>
                <w:sz w:val="24"/>
                <w:szCs w:val="24"/>
                <w:u w:val="none"/>
                <w:lang w:val="en-US" w:eastAsia="zh-CN" w:bidi="ar"/>
              </w:rPr>
              <w:t>595.88</w:t>
            </w:r>
            <w:r>
              <w:rPr>
                <w:rFonts w:hint="eastAsia" w:ascii="仿宋_GB2312" w:hAnsi="仿宋_GB2312" w:eastAsia="仿宋_GB2312" w:cs="仿宋_GB2312"/>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：增强了市民出行的安全感和幸福感</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：为全县经济社会发展创造了良好的环境</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：无</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r>
              <w:rPr>
                <w:rFonts w:hint="eastAsia" w:ascii="仿宋_GB2312" w:hAnsi="仿宋_GB2312" w:eastAsia="仿宋_GB2312" w:cs="仿宋_GB2312"/>
                <w:sz w:val="24"/>
              </w:rPr>
              <w:t>以上</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w:t>
            </w:r>
            <w:r>
              <w:rPr>
                <w:rFonts w:ascii="仿宋_GB2312" w:hAnsi="仿宋_GB2312" w:eastAsia="仿宋_GB2312" w:cs="仿宋_GB2312"/>
                <w:sz w:val="24"/>
              </w:rPr>
              <w:t xml:space="preserve">  </w:t>
            </w:r>
            <w:r>
              <w:rPr>
                <w:rFonts w:hint="eastAsia" w:ascii="仿宋_GB2312" w:hAnsi="仿宋_GB2312" w:eastAsia="仿宋_GB2312" w:cs="仿宋_GB2312"/>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单</w:t>
            </w:r>
            <w:r>
              <w:rPr>
                <w:rFonts w:ascii="仿宋_GB2312" w:hAnsi="仿宋_GB2312" w:eastAsia="仿宋_GB2312" w:cs="仿宋_GB2312"/>
                <w:sz w:val="24"/>
              </w:rPr>
              <w:t xml:space="preserve">  </w:t>
            </w:r>
            <w:r>
              <w:rPr>
                <w:rFonts w:hint="eastAsia" w:ascii="仿宋_GB2312" w:hAnsi="仿宋_GB2312" w:eastAsia="仿宋_GB2312" w:cs="仿宋_GB2312"/>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签</w:t>
            </w:r>
            <w:r>
              <w:rPr>
                <w:rFonts w:ascii="仿宋_GB2312" w:hAnsi="仿宋_GB2312" w:eastAsia="仿宋_GB2312" w:cs="仿宋_GB2312"/>
                <w:sz w:val="24"/>
              </w:rPr>
              <w:t xml:space="preserve">  </w:t>
            </w:r>
            <w:r>
              <w:rPr>
                <w:rFonts w:hint="eastAsia" w:ascii="仿宋_GB2312" w:hAnsi="仿宋_GB2312" w:eastAsia="仿宋_GB2312" w:cs="仿宋_GB2312"/>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汤佳勇</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大队长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城市公交执法大队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潘湘君</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副大队长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城市公交执法大队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sz w:val="24"/>
              </w:rPr>
            </w:pPr>
            <w:r>
              <w:rPr>
                <w:rFonts w:hint="eastAsia" w:ascii="仿宋_GB2312" w:hAnsi="仿宋_GB2312" w:eastAsia="仿宋_GB2312" w:cs="仿宋_GB2312"/>
                <w:sz w:val="24"/>
              </w:rPr>
              <w:t>许华</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副大队长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城市公交执法大队</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部门（单位）意见：</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部门（单位）负责人（签章）：</w:t>
            </w:r>
          </w:p>
          <w:p>
            <w:pPr>
              <w:autoSpaceDN w:val="0"/>
              <w:spacing w:line="320" w:lineRule="exact"/>
              <w:jc w:val="left"/>
              <w:textAlignment w:val="center"/>
              <w:rPr>
                <w:rFonts w:ascii="仿宋_GB2312" w:hAns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bl>
    <w:p>
      <w:pPr>
        <w:rPr>
          <w:rFonts w:eastAsia="仿宋_GB2312" w:cs="仿宋_GB2312"/>
          <w:bCs/>
          <w:sz w:val="28"/>
          <w:szCs w:val="28"/>
        </w:rPr>
      </w:pPr>
      <w:r>
        <w:rPr>
          <w:rFonts w:hint="eastAsia" w:eastAsia="仿宋_GB2312" w:cs="仿宋_GB2312"/>
          <w:bCs/>
          <w:sz w:val="28"/>
          <w:szCs w:val="28"/>
        </w:rPr>
        <w:t>填报人（签名）：王君</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sz w:val="24"/>
        </w:rPr>
        <w:t>13077171686</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一、部门（单位）概况</w:t>
            </w:r>
          </w:p>
          <w:p>
            <w:pPr>
              <w:numPr>
                <w:ilvl w:val="0"/>
                <w:numId w:val="2"/>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部门（单位）基本情况</w:t>
            </w:r>
          </w:p>
          <w:p>
            <w:pPr>
              <w:autoSpaceDN w:val="0"/>
              <w:spacing w:line="400" w:lineRule="exact"/>
              <w:jc w:val="left"/>
              <w:textAlignment w:val="center"/>
              <w:rPr>
                <w:rFonts w:ascii="仿宋_GB2312" w:hAnsi="仿宋_GB2312" w:eastAsia="仿宋_GB2312" w:cs="仿宋_GB2312"/>
                <w:sz w:val="24"/>
              </w:rPr>
            </w:pPr>
            <w:r>
              <w:rPr>
                <w:rFonts w:hint="eastAsia" w:ascii="仿宋_GB2312" w:eastAsia="仿宋_GB2312"/>
                <w:sz w:val="24"/>
              </w:rPr>
              <w:t>岳阳县</w:t>
            </w:r>
            <w:r>
              <w:rPr>
                <w:rFonts w:hint="eastAsia" w:ascii="仿宋_GB2312" w:hAnsi="仿宋_GB2312" w:eastAsia="仿宋_GB2312" w:cs="仿宋_GB2312"/>
                <w:szCs w:val="21"/>
              </w:rPr>
              <w:t>城市公交执法大队</w:t>
            </w:r>
            <w:r>
              <w:rPr>
                <w:rFonts w:hint="eastAsia" w:ascii="仿宋_GB2312" w:hAnsi="仿宋_GB2312" w:eastAsia="仿宋_GB2312" w:cs="仿宋_GB2312"/>
                <w:sz w:val="24"/>
              </w:rPr>
              <w:t>负责宣传贯彻执行国家、省、市、县和上级交通主管部门有关城市公共交通的方针、政策和法律法规规章；参与拟订全县城市公共交通行政执法工作计划，并组织实施。依法行使有关法律法规赋予的城市公共交通管理的行政处罚权以及与行政强制处罚相关的行政检查、行政强制 等行政执法职能。负责全县城市公共交通市场的管理，维护良好的城市公共交通秩序；承担城市公共交通有关信访举报、服务投诉及违章抄告等事项的受理、处理等工作。承办县委、县政府和县交通运输局交办的其他工作。</w:t>
            </w:r>
          </w:p>
          <w:p>
            <w:pPr>
              <w:numPr>
                <w:ilvl w:val="0"/>
                <w:numId w:val="3"/>
              </w:num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部门（单位）整体支出规模、使用方向和主要内容、涉及范围等</w:t>
            </w:r>
          </w:p>
          <w:p>
            <w:pPr>
              <w:spacing w:line="560" w:lineRule="exac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lang w:eastAsia="zh-CN"/>
              </w:rPr>
              <w:t>202</w:t>
            </w:r>
            <w:r>
              <w:rPr>
                <w:rFonts w:hint="eastAsia" w:ascii="仿宋" w:hAnsi="仿宋" w:eastAsia="仿宋" w:cs="仿宋"/>
                <w:sz w:val="24"/>
                <w:lang w:val="en-US" w:eastAsia="zh-CN"/>
              </w:rPr>
              <w:t>2</w:t>
            </w:r>
            <w:r>
              <w:rPr>
                <w:rFonts w:hint="eastAsia" w:ascii="仿宋" w:hAnsi="仿宋" w:eastAsia="仿宋" w:cs="仿宋"/>
                <w:sz w:val="24"/>
                <w:lang w:eastAsia="zh-CN"/>
              </w:rPr>
              <w:t>年</w:t>
            </w:r>
            <w:r>
              <w:rPr>
                <w:rFonts w:hint="eastAsia" w:ascii="仿宋" w:hAnsi="仿宋" w:eastAsia="仿宋" w:cs="仿宋"/>
                <w:sz w:val="24"/>
              </w:rPr>
              <w:t>岳阳县城市公交执法大队整体支出为</w:t>
            </w:r>
            <w:r>
              <w:rPr>
                <w:rFonts w:hint="eastAsia" w:ascii="仿宋_GB2312" w:hAnsi="宋体" w:eastAsia="仿宋_GB2312" w:cs="仿宋_GB2312"/>
                <w:i w:val="0"/>
                <w:iCs w:val="0"/>
                <w:color w:val="000000"/>
                <w:kern w:val="0"/>
                <w:sz w:val="24"/>
                <w:szCs w:val="24"/>
                <w:u w:val="none"/>
                <w:lang w:val="en-US" w:eastAsia="zh-CN" w:bidi="ar"/>
              </w:rPr>
              <w:t>595.88</w:t>
            </w:r>
            <w:r>
              <w:rPr>
                <w:rFonts w:hint="eastAsia" w:ascii="仿宋" w:hAnsi="仿宋" w:eastAsia="仿宋" w:cs="仿宋"/>
                <w:sz w:val="24"/>
              </w:rPr>
              <w:t>万元，包括基本支出</w:t>
            </w:r>
            <w:r>
              <w:rPr>
                <w:rFonts w:hint="eastAsia" w:ascii="仿宋_GB2312" w:hAnsi="宋体" w:eastAsia="仿宋_GB2312" w:cs="仿宋_GB2312"/>
                <w:i w:val="0"/>
                <w:iCs w:val="0"/>
                <w:color w:val="000000"/>
                <w:kern w:val="0"/>
                <w:sz w:val="24"/>
                <w:szCs w:val="24"/>
                <w:u w:val="none"/>
                <w:lang w:val="en-US" w:eastAsia="zh-CN" w:bidi="ar"/>
              </w:rPr>
              <w:t>595.88</w:t>
            </w:r>
            <w:r>
              <w:rPr>
                <w:rFonts w:hint="eastAsia" w:ascii="仿宋" w:hAnsi="仿宋" w:eastAsia="仿宋" w:cs="仿宋"/>
                <w:sz w:val="24"/>
              </w:rPr>
              <w:t>万元，主要用于人员经费支出和日常公用经费支出，项目支出</w:t>
            </w:r>
            <w:r>
              <w:rPr>
                <w:rFonts w:hint="eastAsia" w:ascii="宋体" w:hAnsi="宋体" w:cs="宋体"/>
                <w:b w:val="0"/>
                <w:bCs w:val="0"/>
                <w:i w:val="0"/>
                <w:iCs w:val="0"/>
                <w:color w:val="000000"/>
                <w:kern w:val="0"/>
                <w:sz w:val="22"/>
                <w:szCs w:val="22"/>
                <w:u w:val="none"/>
                <w:lang w:val="en-US" w:eastAsia="zh-CN" w:bidi="ar"/>
              </w:rPr>
              <w:t>248.67</w:t>
            </w:r>
            <w:r>
              <w:rPr>
                <w:rFonts w:hint="eastAsia" w:ascii="仿宋" w:hAnsi="仿宋" w:eastAsia="仿宋" w:cs="仿宋"/>
                <w:sz w:val="24"/>
              </w:rPr>
              <w:t>万元，主要用于全县</w:t>
            </w:r>
            <w:r>
              <w:rPr>
                <w:rFonts w:hint="eastAsia" w:ascii="仿宋_GB2312" w:hAnsi="仿宋_GB2312" w:eastAsia="仿宋_GB2312" w:cs="仿宋_GB2312"/>
                <w:sz w:val="24"/>
              </w:rPr>
              <w:t>客运市场整治</w:t>
            </w:r>
            <w:r>
              <w:rPr>
                <w:rFonts w:hint="eastAsia" w:ascii="仿宋" w:hAnsi="仿宋" w:eastAsia="仿宋" w:cs="仿宋"/>
                <w:sz w:val="24"/>
              </w:rPr>
              <w:t>。</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二、部门（单位）整体支出管理及使用情况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（一）基本支出</w:t>
            </w:r>
          </w:p>
          <w:p>
            <w:pPr>
              <w:spacing w:line="560" w:lineRule="exact"/>
              <w:ind w:firstLine="480" w:firstLineChars="200"/>
              <w:rPr>
                <w:rFonts w:ascii="仿宋" w:hAnsi="仿宋" w:eastAsia="仿宋" w:cs="仿宋"/>
                <w:sz w:val="24"/>
              </w:rPr>
            </w:pPr>
            <w:r>
              <w:rPr>
                <w:rFonts w:hint="eastAsia" w:ascii="仿宋" w:hAnsi="仿宋" w:eastAsia="仿宋" w:cs="仿宋"/>
                <w:sz w:val="24"/>
                <w:lang w:eastAsia="zh-CN"/>
              </w:rPr>
              <w:t>202</w:t>
            </w:r>
            <w:r>
              <w:rPr>
                <w:rFonts w:hint="eastAsia" w:ascii="仿宋" w:hAnsi="仿宋" w:eastAsia="仿宋" w:cs="仿宋"/>
                <w:sz w:val="24"/>
                <w:lang w:val="en-US" w:eastAsia="zh-CN"/>
              </w:rPr>
              <w:t>2</w:t>
            </w:r>
            <w:r>
              <w:rPr>
                <w:rFonts w:hint="eastAsia" w:ascii="仿宋" w:hAnsi="仿宋" w:eastAsia="仿宋" w:cs="仿宋"/>
                <w:sz w:val="24"/>
                <w:lang w:eastAsia="zh-CN"/>
              </w:rPr>
              <w:t>年</w:t>
            </w:r>
            <w:r>
              <w:rPr>
                <w:rFonts w:hint="eastAsia" w:ascii="仿宋" w:hAnsi="仿宋" w:eastAsia="仿宋" w:cs="仿宋"/>
                <w:sz w:val="24"/>
              </w:rPr>
              <w:t>岳阳县城市公交执法大队基本支出</w:t>
            </w:r>
            <w:r>
              <w:rPr>
                <w:rFonts w:hint="eastAsia" w:ascii="仿宋_GB2312" w:hAnsi="宋体" w:eastAsia="仿宋_GB2312" w:cs="仿宋_GB2312"/>
                <w:i w:val="0"/>
                <w:iCs w:val="0"/>
                <w:color w:val="000000"/>
                <w:kern w:val="0"/>
                <w:sz w:val="24"/>
                <w:szCs w:val="24"/>
                <w:u w:val="none"/>
                <w:lang w:val="en-US" w:eastAsia="zh-CN" w:bidi="ar"/>
              </w:rPr>
              <w:t>595.88</w:t>
            </w:r>
            <w:r>
              <w:rPr>
                <w:rFonts w:hint="eastAsia" w:ascii="仿宋" w:hAnsi="仿宋" w:eastAsia="仿宋" w:cs="仿宋"/>
                <w:sz w:val="24"/>
              </w:rPr>
              <w:t>万元，包括人员支出</w:t>
            </w:r>
            <w:r>
              <w:rPr>
                <w:rFonts w:hint="eastAsia" w:ascii="仿宋_GB2312" w:hAnsi="仿宋_GB2312" w:eastAsia="仿宋_GB2312" w:cs="仿宋_GB2312"/>
                <w:sz w:val="24"/>
                <w:lang w:val="en-US" w:eastAsia="zh-CN"/>
              </w:rPr>
              <w:t>159.53</w:t>
            </w:r>
            <w:r>
              <w:rPr>
                <w:rFonts w:hint="eastAsia" w:ascii="仿宋" w:hAnsi="仿宋" w:eastAsia="仿宋" w:cs="仿宋"/>
                <w:sz w:val="24"/>
              </w:rPr>
              <w:t>万元，公用支出</w:t>
            </w:r>
            <w:r>
              <w:rPr>
                <w:rFonts w:hint="eastAsia" w:ascii="仿宋_GB2312" w:hAnsi="仿宋_GB2312" w:eastAsia="仿宋_GB2312" w:cs="仿宋_GB2312"/>
                <w:sz w:val="24"/>
                <w:lang w:val="en-US" w:eastAsia="zh-CN"/>
              </w:rPr>
              <w:t>187.68</w:t>
            </w:r>
            <w:r>
              <w:rPr>
                <w:rFonts w:hint="eastAsia" w:ascii="仿宋" w:hAnsi="仿宋" w:eastAsia="仿宋" w:cs="仿宋"/>
                <w:sz w:val="24"/>
              </w:rPr>
              <w:t>万元，其中“三公”经费合计0.</w:t>
            </w:r>
            <w:r>
              <w:rPr>
                <w:rFonts w:hint="eastAsia" w:ascii="仿宋" w:hAnsi="仿宋" w:eastAsia="仿宋" w:cs="仿宋"/>
                <w:sz w:val="24"/>
                <w:lang w:val="en-US" w:eastAsia="zh-CN"/>
              </w:rPr>
              <w:t>63</w:t>
            </w:r>
            <w:r>
              <w:rPr>
                <w:rFonts w:hint="eastAsia" w:ascii="仿宋" w:hAnsi="仿宋" w:eastAsia="仿宋" w:cs="仿宋"/>
                <w:sz w:val="24"/>
              </w:rPr>
              <w:t>万元，包括公务接待费</w:t>
            </w:r>
            <w:r>
              <w:rPr>
                <w:rFonts w:hint="eastAsia" w:ascii="仿宋_GB2312" w:hAnsi="仿宋_GB2312" w:eastAsia="仿宋_GB2312" w:cs="仿宋_GB2312"/>
                <w:sz w:val="24"/>
              </w:rPr>
              <w:t>0.</w:t>
            </w:r>
            <w:r>
              <w:rPr>
                <w:rFonts w:hint="eastAsia" w:ascii="仿宋_GB2312" w:hAnsi="仿宋_GB2312" w:eastAsia="仿宋_GB2312" w:cs="仿宋_GB2312"/>
                <w:sz w:val="24"/>
                <w:lang w:val="en-US" w:eastAsia="zh-CN"/>
              </w:rPr>
              <w:t>63</w:t>
            </w:r>
            <w:r>
              <w:rPr>
                <w:rFonts w:hint="eastAsia" w:ascii="仿宋" w:hAnsi="仿宋" w:eastAsia="仿宋" w:cs="仿宋"/>
                <w:sz w:val="24"/>
              </w:rPr>
              <w:t>万元和公务用车运行维护费0万元。</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（二）专项支出</w:t>
            </w:r>
          </w:p>
          <w:p>
            <w:pPr>
              <w:spacing w:line="560" w:lineRule="exact"/>
              <w:ind w:firstLine="480" w:firstLineChars="200"/>
              <w:rPr>
                <w:rFonts w:ascii="仿宋_GB2312" w:hAnsi="仿宋_GB2312" w:eastAsia="仿宋_GB2312" w:cs="仿宋_GB2312"/>
                <w:bCs/>
                <w:sz w:val="24"/>
              </w:rPr>
            </w:pPr>
            <w:r>
              <w:rPr>
                <w:rFonts w:ascii="仿宋_GB2312" w:hAnsi="仿宋_GB2312" w:eastAsia="仿宋_GB2312" w:cs="仿宋_GB2312"/>
                <w:bCs/>
                <w:sz w:val="24"/>
              </w:rPr>
              <w:t>1</w:t>
            </w:r>
            <w:r>
              <w:rPr>
                <w:rFonts w:hint="eastAsia" w:ascii="仿宋_GB2312" w:hAnsi="仿宋_GB2312" w:eastAsia="仿宋_GB2312" w:cs="仿宋_GB2312"/>
                <w:bCs/>
                <w:sz w:val="24"/>
              </w:rPr>
              <w:t>、专项资金安排落实、总投入等情况分析</w:t>
            </w:r>
          </w:p>
          <w:p>
            <w:pPr>
              <w:widowControl/>
              <w:spacing w:line="6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lang w:eastAsia="zh-CN"/>
              </w:rPr>
              <w:t>202</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lang w:eastAsia="zh-CN"/>
              </w:rPr>
              <w:t>年</w:t>
            </w:r>
            <w:r>
              <w:rPr>
                <w:rFonts w:hint="eastAsia" w:ascii="仿宋_GB2312" w:hAnsi="仿宋_GB2312" w:eastAsia="仿宋_GB2312" w:cs="仿宋_GB2312"/>
                <w:bCs/>
                <w:sz w:val="24"/>
              </w:rPr>
              <w:t>县财政安排我单位项目经费</w:t>
            </w:r>
            <w:r>
              <w:rPr>
                <w:rFonts w:hint="eastAsia" w:ascii="仿宋_GB2312" w:hAnsi="仿宋_GB2312" w:eastAsia="仿宋_GB2312" w:cs="仿宋_GB2312"/>
                <w:sz w:val="24"/>
                <w:lang w:val="en-US" w:eastAsia="zh-CN"/>
              </w:rPr>
              <w:t>248.67</w:t>
            </w:r>
            <w:r>
              <w:rPr>
                <w:rFonts w:hint="eastAsia" w:ascii="仿宋_GB2312" w:hAnsi="仿宋_GB2312" w:eastAsia="仿宋_GB2312" w:cs="仿宋_GB2312"/>
                <w:bCs/>
                <w:sz w:val="24"/>
              </w:rPr>
              <w:t>万元，主要用于</w:t>
            </w:r>
            <w:r>
              <w:rPr>
                <w:rFonts w:hint="eastAsia" w:ascii="仿宋" w:hAnsi="仿宋" w:eastAsia="仿宋" w:cs="仿宋"/>
                <w:sz w:val="24"/>
              </w:rPr>
              <w:t>全县</w:t>
            </w:r>
            <w:r>
              <w:rPr>
                <w:rFonts w:hint="eastAsia" w:ascii="仿宋_GB2312" w:hAnsi="仿宋_GB2312" w:eastAsia="仿宋_GB2312" w:cs="仿宋_GB2312"/>
                <w:sz w:val="24"/>
              </w:rPr>
              <w:t>客运市场整治支出</w:t>
            </w:r>
            <w:r>
              <w:rPr>
                <w:rFonts w:hint="eastAsia" w:ascii="仿宋_GB2312" w:hAnsi="仿宋_GB2312" w:eastAsia="仿宋_GB2312" w:cs="仿宋_GB2312"/>
                <w:bCs/>
                <w:sz w:val="24"/>
              </w:rPr>
              <w:t>，我办实际发生项目支出</w:t>
            </w:r>
            <w:r>
              <w:rPr>
                <w:rFonts w:hint="eastAsia" w:ascii="仿宋" w:hAnsi="仿宋" w:eastAsia="仿宋" w:cs="仿宋"/>
                <w:sz w:val="24"/>
                <w:lang w:val="en-US" w:eastAsia="zh-CN"/>
              </w:rPr>
              <w:t>248.67</w:t>
            </w:r>
            <w:r>
              <w:rPr>
                <w:rFonts w:hint="eastAsia" w:ascii="仿宋_GB2312" w:hAnsi="仿宋_GB2312" w:eastAsia="仿宋_GB2312" w:cs="仿宋_GB2312"/>
                <w:bCs/>
                <w:sz w:val="24"/>
              </w:rPr>
              <w:t>万元，项目支出安排率</w:t>
            </w:r>
            <w:r>
              <w:rPr>
                <w:rFonts w:ascii="仿宋_GB2312" w:hAnsi="仿宋_GB2312" w:eastAsia="仿宋_GB2312" w:cs="仿宋_GB2312"/>
                <w:bCs/>
                <w:sz w:val="24"/>
              </w:rPr>
              <w:t>100%</w:t>
            </w:r>
            <w:r>
              <w:rPr>
                <w:rFonts w:hint="eastAsia" w:ascii="仿宋_GB2312" w:hAnsi="仿宋_GB2312" w:eastAsia="仿宋_GB2312" w:cs="仿宋_GB2312"/>
                <w:bCs/>
                <w:sz w:val="24"/>
              </w:rPr>
              <w:t>。</w:t>
            </w:r>
          </w:p>
          <w:p>
            <w:pPr>
              <w:numPr>
                <w:ilvl w:val="0"/>
                <w:numId w:val="4"/>
              </w:numPr>
              <w:spacing w:line="560" w:lineRule="exact"/>
              <w:ind w:firstLine="480"/>
              <w:rPr>
                <w:rFonts w:ascii="仿宋_GB2312" w:hAnsi="仿宋_GB2312" w:eastAsia="仿宋_GB2312" w:cs="仿宋_GB2312"/>
                <w:bCs/>
                <w:sz w:val="24"/>
              </w:rPr>
            </w:pPr>
            <w:r>
              <w:rPr>
                <w:rFonts w:hint="eastAsia" w:ascii="仿宋_GB2312" w:hAnsi="仿宋_GB2312" w:eastAsia="仿宋_GB2312" w:cs="仿宋_GB2312"/>
                <w:bCs/>
                <w:sz w:val="24"/>
              </w:rPr>
              <w:t>专项资金实际使用情况分析</w:t>
            </w:r>
          </w:p>
          <w:p>
            <w:pPr>
              <w:autoSpaceDN w:val="0"/>
              <w:spacing w:line="320" w:lineRule="exact"/>
              <w:jc w:val="left"/>
              <w:textAlignment w:val="center"/>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我办专项资金主要用于全县</w:t>
            </w:r>
            <w:r>
              <w:rPr>
                <w:rFonts w:hint="eastAsia" w:ascii="仿宋_GB2312" w:hAnsi="仿宋_GB2312" w:eastAsia="仿宋_GB2312" w:cs="仿宋_GB2312"/>
                <w:sz w:val="24"/>
              </w:rPr>
              <w:t>客运市场整治经费开支</w:t>
            </w:r>
            <w:r>
              <w:rPr>
                <w:rFonts w:hint="eastAsia" w:ascii="仿宋_GB2312" w:hAnsi="仿宋_GB2312" w:eastAsia="仿宋_GB2312" w:cs="仿宋_GB2312"/>
                <w:bCs/>
                <w:sz w:val="24"/>
              </w:rPr>
              <w:t>，为确保全县客运市场的正常运转秩序，提高</w:t>
            </w:r>
            <w:r>
              <w:rPr>
                <w:rFonts w:hint="eastAsia" w:ascii="仿宋_GB2312" w:hAnsi="仿宋_GB2312" w:eastAsia="仿宋_GB2312" w:cs="仿宋_GB2312"/>
                <w:sz w:val="24"/>
              </w:rPr>
              <w:t>全县司乘人员出行的幸福感和安全</w:t>
            </w:r>
            <w:r>
              <w:rPr>
                <w:rFonts w:hint="eastAsia" w:ascii="仿宋_GB2312" w:hAnsi="仿宋_GB2312" w:eastAsia="仿宋_GB2312" w:cs="仿宋_GB2312"/>
                <w:bCs/>
                <w:sz w:val="24"/>
              </w:rPr>
              <w:t>，保障经济社会正常发展提供了坚实支持</w:t>
            </w:r>
            <w:r>
              <w:rPr>
                <w:rFonts w:hint="eastAsia" w:ascii="仿宋_GB2312" w:hAnsi="仿宋_GB2312" w:eastAsia="仿宋_GB2312" w:cs="仿宋_GB2312"/>
                <w:sz w:val="24"/>
                <w:shd w:val="clear" w:color="auto" w:fill="FFFFFF"/>
              </w:rPr>
              <w:t>。</w:t>
            </w:r>
          </w:p>
          <w:p>
            <w:pPr>
              <w:numPr>
                <w:ilvl w:val="0"/>
                <w:numId w:val="5"/>
              </w:num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专项资金管理情况分析</w:t>
            </w:r>
          </w:p>
          <w:p>
            <w:pPr>
              <w:spacing w:line="560" w:lineRule="exact"/>
              <w:rPr>
                <w:rFonts w:ascii="仿宋_GB2312" w:hAnsi="仿宋_GB2312" w:eastAsia="仿宋_GB2312" w:cs="仿宋_GB2312"/>
                <w:bCs/>
                <w:sz w:val="24"/>
              </w:rPr>
            </w:pPr>
            <w:r>
              <w:rPr>
                <w:rFonts w:ascii="仿宋_GB2312" w:hAnsi="仿宋_GB2312" w:eastAsia="仿宋_GB2312" w:cs="仿宋_GB2312"/>
                <w:bCs/>
                <w:sz w:val="24"/>
              </w:rPr>
              <w:t xml:space="preserve">       </w:t>
            </w:r>
            <w:r>
              <w:rPr>
                <w:rFonts w:hint="eastAsia" w:ascii="仿宋_GB2312" w:hAnsi="仿宋_GB2312" w:eastAsia="仿宋_GB2312" w:cs="仿宋_GB2312"/>
                <w:bCs/>
                <w:sz w:val="24"/>
              </w:rPr>
              <w:t>我办专项资金实行专款专用、专项核算，费用支出严格按财务审批程序和会议进程等进行支付。</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三、部门（单位）专项组织实施情况</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（一）专项组织情况分析</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1、健全组织领导及机制，我单位成立了以大队长为组长的岳阳县客运市场整治领导小组，专项负责全县客运市场整治工作。</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rPr>
              <w:t>（二）专项管理情况分析</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lang w:eastAsia="zh-CN"/>
              </w:rPr>
              <w:t>202</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lang w:eastAsia="zh-CN"/>
              </w:rPr>
              <w:t>年</w:t>
            </w:r>
            <w:r>
              <w:rPr>
                <w:rFonts w:hint="eastAsia" w:ascii="仿宋_GB2312" w:hAnsi="仿宋_GB2312" w:eastAsia="仿宋_GB2312" w:cs="仿宋_GB2312"/>
                <w:bCs/>
                <w:sz w:val="24"/>
              </w:rPr>
              <w:t>，我单位客运市场秩序进一步好转，</w:t>
            </w:r>
            <w:r>
              <w:rPr>
                <w:rFonts w:hint="eastAsia" w:ascii="仿宋_GB2312" w:hAnsi="仿宋_GB2312" w:eastAsia="仿宋_GB2312" w:cs="仿宋_GB2312"/>
                <w:sz w:val="24"/>
              </w:rPr>
              <w:t>全县司乘人员出行的幸福感和安全进一步提高，</w:t>
            </w:r>
            <w:r>
              <w:rPr>
                <w:rFonts w:hint="eastAsia" w:ascii="仿宋_GB2312" w:hAnsi="仿宋_GB2312" w:eastAsia="仿宋_GB2312" w:cs="仿宋_GB2312"/>
                <w:bCs/>
                <w:sz w:val="24"/>
              </w:rPr>
              <w:t>各专项工作按上级要求完满完成。</w:t>
            </w:r>
          </w:p>
          <w:p>
            <w:pPr>
              <w:spacing w:line="600" w:lineRule="exact"/>
              <w:ind w:firstLine="482" w:firstLineChars="200"/>
              <w:rPr>
                <w:rFonts w:ascii="仿宋_GB2312" w:hAnsi="仿宋_GB2312" w:eastAsia="仿宋_GB2312" w:cs="仿宋_GB2312"/>
                <w:b/>
                <w:bCs/>
                <w:sz w:val="24"/>
                <w:shd w:val="clear" w:color="auto" w:fill="FFFFFF"/>
              </w:rPr>
            </w:pPr>
            <w:r>
              <w:rPr>
                <w:rFonts w:hint="eastAsia" w:ascii="仿宋_GB2312" w:hAnsi="仿宋_GB2312" w:eastAsia="仿宋_GB2312" w:cs="仿宋_GB2312"/>
                <w:b/>
                <w:bCs/>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sz w:val="24"/>
              </w:rPr>
            </w:pPr>
            <w:r>
              <w:rPr>
                <w:rFonts w:hint="eastAsia" w:ascii="仿宋_GB2312" w:hAnsi="仿宋_GB2312" w:eastAsia="仿宋_GB2312" w:cs="仿宋_GB2312"/>
                <w:bCs/>
                <w:sz w:val="24"/>
                <w:lang w:eastAsia="zh-CN"/>
              </w:rPr>
              <w:t>202</w:t>
            </w:r>
            <w:r>
              <w:rPr>
                <w:rFonts w:hint="eastAsia" w:ascii="仿宋_GB2312" w:hAnsi="仿宋_GB2312" w:eastAsia="仿宋_GB2312" w:cs="仿宋_GB2312"/>
                <w:bCs/>
                <w:sz w:val="24"/>
                <w:lang w:val="en-US" w:eastAsia="zh-CN"/>
              </w:rPr>
              <w:t>2</w:t>
            </w:r>
            <w:r>
              <w:rPr>
                <w:rFonts w:hint="eastAsia" w:ascii="仿宋_GB2312" w:hAnsi="仿宋_GB2312" w:eastAsia="仿宋_GB2312" w:cs="仿宋_GB2312"/>
                <w:bCs/>
                <w:sz w:val="24"/>
                <w:lang w:eastAsia="zh-CN"/>
              </w:rPr>
              <w:t>年</w:t>
            </w:r>
            <w:r>
              <w:rPr>
                <w:rFonts w:hint="eastAsia" w:ascii="仿宋_GB2312" w:hAnsi="仿宋_GB2312" w:eastAsia="仿宋_GB2312" w:cs="仿宋_GB2312"/>
                <w:bCs/>
                <w:sz w:val="24"/>
              </w:rPr>
              <w:t>，我单位客运市场管理水平进一步提高，市场秩序整治和隐患清零工作加快推进，各专项工作按上级要求完满完成。社会公众对于全县客运市场秩序满意度很高，同时，良好的客运市场秩序对于提高岳阳县文明形象，促进旅游事业和招商引资工作发挥了重要作用，单位整体支出取得了良好的社会效益和经济效益。</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五、存在的主要问题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（一）监督管理机制还有待加强。</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（三）会计基础工作还需要不断完善，报表数据与实际情况存在小误差。</w:t>
            </w:r>
          </w:p>
          <w:p>
            <w:pPr>
              <w:spacing w:line="560" w:lineRule="exact"/>
              <w:ind w:firstLine="480" w:firstLineChars="200"/>
              <w:rPr>
                <w:rFonts w:ascii="黑体" w:hAnsi="黑体" w:eastAsia="黑体" w:cs="黑体"/>
                <w:bCs/>
                <w:sz w:val="24"/>
              </w:rPr>
            </w:pPr>
            <w:r>
              <w:rPr>
                <w:rFonts w:hint="eastAsia" w:ascii="黑体" w:hAnsi="黑体" w:eastAsia="黑体" w:cs="黑体"/>
                <w:bCs/>
                <w:sz w:val="24"/>
              </w:rPr>
              <w:t>六、改进措施和有关建议</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（一</w:t>
            </w:r>
            <w:r>
              <w:rPr>
                <w:rFonts w:ascii="仿宋_GB2312" w:hAnsi="仿宋_GB2312" w:eastAsia="仿宋_GB2312"/>
                <w:sz w:val="24"/>
              </w:rPr>
              <w:t>)</w:t>
            </w:r>
            <w:r>
              <w:rPr>
                <w:rFonts w:hint="eastAsia" w:ascii="仿宋_GB2312" w:hAnsi="仿宋_GB2312" w:eastAsia="仿宋_GB2312"/>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（二）进一步完善财务制度，规范财经纪律。</w:t>
            </w:r>
          </w:p>
          <w:p>
            <w:pPr>
              <w:spacing w:line="560" w:lineRule="exact"/>
              <w:ind w:firstLine="480" w:firstLineChars="200"/>
              <w:rPr>
                <w:rFonts w:ascii="仿宋_GB2312" w:hAnsi="仿宋_GB2312" w:eastAsia="仿宋_GB2312"/>
                <w:sz w:val="24"/>
              </w:rPr>
            </w:pPr>
            <w:r>
              <w:rPr>
                <w:rFonts w:hint="eastAsia" w:ascii="仿宋_GB2312" w:hAnsi="仿宋_GB2312" w:eastAsia="仿宋_GB2312"/>
                <w:sz w:val="24"/>
              </w:rPr>
              <w:t>（三）财务工作人员的业务能力要与时俱进，不断加强学习，县财政局多组织业务方面的培训，包括“走出去”，到异地专业院校封闭培训</w:t>
            </w:r>
            <w:r>
              <w:rPr>
                <w:rFonts w:ascii="仿宋_GB2312" w:hAnsi="仿宋_GB2312" w:eastAsia="仿宋_GB2312"/>
                <w:sz w:val="24"/>
              </w:rPr>
              <w:t>,</w:t>
            </w:r>
            <w:r>
              <w:rPr>
                <w:rFonts w:hint="eastAsia" w:ascii="仿宋_GB2312" w:hAnsi="仿宋_GB2312" w:eastAsia="仿宋_GB2312"/>
                <w:sz w:val="24"/>
              </w:rPr>
              <w:t>同时可去外地预算单位学习好的账务经验。</w:t>
            </w:r>
          </w:p>
          <w:p>
            <w:pPr>
              <w:rPr>
                <w:rFonts w:ascii="黑体" w:hAnsi="黑体" w:eastAsia="黑体" w:cs="黑体"/>
                <w:sz w:val="24"/>
              </w:rPr>
            </w:pPr>
          </w:p>
          <w:p>
            <w:pPr>
              <w:spacing w:line="560" w:lineRule="exact"/>
              <w:rPr>
                <w:rFonts w:ascii="仿宋_GB2312" w:hAnsi="仿宋_GB2312" w:eastAsia="仿宋_GB2312"/>
                <w:sz w:val="24"/>
              </w:rPr>
            </w:pPr>
            <w:r>
              <w:rPr>
                <w:rFonts w:ascii="黑体" w:hAnsi="黑体" w:eastAsia="黑体" w:cs="黑体"/>
                <w:sz w:val="24"/>
              </w:rPr>
              <w:t xml:space="preserve"> </w:t>
            </w:r>
            <w:r>
              <w:rPr>
                <w:rFonts w:ascii="仿宋_GB2312" w:hAnsi="仿宋_GB2312" w:eastAsia="仿宋_GB2312"/>
                <w:sz w:val="24"/>
              </w:rPr>
              <w:t xml:space="preserve">                                </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3</w:t>
            </w:r>
            <w:r>
              <w:rPr>
                <w:rFonts w:hint="eastAsia" w:ascii="仿宋_GB2312" w:hAnsi="仿宋_GB2312" w:eastAsia="仿宋_GB2312"/>
                <w:sz w:val="24"/>
                <w:lang w:eastAsia="zh-CN"/>
              </w:rPr>
              <w:t>年</w:t>
            </w:r>
            <w:r>
              <w:rPr>
                <w:rFonts w:ascii="仿宋" w:hAnsi="仿宋" w:eastAsia="仿宋" w:cs="仿宋"/>
                <w:sz w:val="24"/>
              </w:rPr>
              <w:t>0</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02</w:t>
            </w:r>
            <w:r>
              <w:rPr>
                <w:rFonts w:hint="eastAsia" w:ascii="仿宋" w:hAnsi="仿宋" w:eastAsia="仿宋" w:cs="仿宋"/>
                <w:sz w:val="24"/>
              </w:rPr>
              <w:t>日</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人员编制数2</w:t>
            </w:r>
            <w:r>
              <w:rPr>
                <w:rFonts w:hint="eastAsia" w:ascii="仿宋_GB2312" w:eastAsia="仿宋_GB2312"/>
                <w:sz w:val="18"/>
                <w:szCs w:val="18"/>
                <w:lang w:val="en-US" w:eastAsia="zh-CN"/>
              </w:rPr>
              <w:t>5</w:t>
            </w:r>
            <w:r>
              <w:rPr>
                <w:rFonts w:hint="eastAsia" w:ascii="仿宋_GB2312" w:eastAsia="仿宋_GB2312"/>
                <w:sz w:val="18"/>
                <w:szCs w:val="18"/>
              </w:rPr>
              <w:t>人，在职人数2</w:t>
            </w:r>
            <w:r>
              <w:rPr>
                <w:rFonts w:hint="eastAsia" w:ascii="仿宋_GB2312" w:eastAsia="仿宋_GB2312"/>
                <w:sz w:val="18"/>
                <w:szCs w:val="18"/>
                <w:lang w:val="en-US" w:eastAsia="zh-CN"/>
              </w:rPr>
              <w:t>5</w:t>
            </w:r>
            <w:r>
              <w:rPr>
                <w:rFonts w:hint="eastAsia" w:ascii="仿宋_GB2312" w:eastAsia="仿宋_GB2312"/>
                <w:sz w:val="18"/>
                <w:szCs w:val="18"/>
              </w:rPr>
              <w:t>人，在职人员控制率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，未超编，根据评分标准，得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本年度三公经费</w:t>
            </w:r>
            <w:r>
              <w:rPr>
                <w:rFonts w:ascii="仿宋_GB2312" w:eastAsia="仿宋_GB2312"/>
                <w:sz w:val="18"/>
                <w:szCs w:val="18"/>
              </w:rPr>
              <w:t xml:space="preserve"> </w:t>
            </w:r>
            <w:r>
              <w:rPr>
                <w:rFonts w:hint="eastAsia" w:ascii="仿宋_GB2312" w:eastAsia="仿宋_GB2312"/>
                <w:sz w:val="18"/>
                <w:szCs w:val="18"/>
              </w:rPr>
              <w:t>0.</w:t>
            </w:r>
            <w:r>
              <w:rPr>
                <w:rFonts w:hint="eastAsia" w:ascii="仿宋_GB2312" w:eastAsia="仿宋_GB2312"/>
                <w:sz w:val="18"/>
                <w:szCs w:val="18"/>
                <w:lang w:val="en-US" w:eastAsia="zh-CN"/>
              </w:rPr>
              <w:t>63</w:t>
            </w:r>
            <w:r>
              <w:rPr>
                <w:rFonts w:hint="eastAsia" w:ascii="仿宋_GB2312" w:eastAsia="仿宋_GB2312"/>
                <w:sz w:val="18"/>
                <w:szCs w:val="18"/>
              </w:rPr>
              <w:t>万元，上年度三公经费0.</w:t>
            </w:r>
            <w:r>
              <w:rPr>
                <w:rFonts w:hint="eastAsia" w:ascii="仿宋_GB2312" w:eastAsia="仿宋_GB2312"/>
                <w:sz w:val="18"/>
                <w:szCs w:val="18"/>
                <w:lang w:val="en-US" w:eastAsia="zh-CN"/>
              </w:rPr>
              <w:t>63</w:t>
            </w:r>
            <w:r>
              <w:rPr>
                <w:rFonts w:hint="eastAsia" w:ascii="仿宋_GB2312" w:eastAsia="仿宋_GB2312"/>
                <w:sz w:val="18"/>
                <w:szCs w:val="18"/>
              </w:rPr>
              <w:t>万元。</w:t>
            </w:r>
          </w:p>
          <w:p>
            <w:pPr>
              <w:rPr>
                <w:rFonts w:ascii="仿宋_GB2312" w:eastAsia="仿宋_GB2312"/>
                <w:sz w:val="18"/>
                <w:szCs w:val="18"/>
              </w:rPr>
            </w:pPr>
            <w:r>
              <w:rPr>
                <w:rFonts w:hint="eastAsia" w:ascii="仿宋_GB2312" w:eastAsia="仿宋_GB2312"/>
                <w:sz w:val="18"/>
                <w:szCs w:val="18"/>
              </w:rPr>
              <w:t>“三公经费”变动率0</w:t>
            </w:r>
          </w:p>
          <w:p>
            <w:pPr>
              <w:rPr>
                <w:rFonts w:ascii="仿宋_GB2312" w:hAnsi="宋体" w:eastAsia="仿宋_GB2312" w:cs="宋体"/>
                <w:sz w:val="18"/>
                <w:szCs w:val="18"/>
              </w:rPr>
            </w:pPr>
            <w:r>
              <w:rPr>
                <w:rFonts w:hint="eastAsia" w:ascii="仿宋_GB2312" w:eastAsia="仿宋_GB2312"/>
                <w:sz w:val="18"/>
                <w:szCs w:val="18"/>
              </w:rPr>
              <w:t>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三公经费预算数0.</w:t>
            </w:r>
            <w:r>
              <w:rPr>
                <w:rFonts w:hint="eastAsia" w:ascii="仿宋_GB2312" w:eastAsia="仿宋_GB2312"/>
                <w:sz w:val="18"/>
                <w:szCs w:val="18"/>
                <w:lang w:val="en-US" w:eastAsia="zh-CN"/>
              </w:rPr>
              <w:t>63</w:t>
            </w:r>
            <w:bookmarkStart w:id="0" w:name="_GoBack"/>
            <w:bookmarkEnd w:id="0"/>
            <w:r>
              <w:rPr>
                <w:rFonts w:hint="eastAsia" w:ascii="仿宋_GB2312" w:eastAsia="仿宋_GB2312"/>
                <w:sz w:val="18"/>
                <w:szCs w:val="18"/>
              </w:rPr>
              <w:t>万元，实际支出0.</w:t>
            </w:r>
            <w:r>
              <w:rPr>
                <w:rFonts w:hint="eastAsia" w:ascii="仿宋_GB2312" w:eastAsia="仿宋_GB2312"/>
                <w:sz w:val="18"/>
                <w:szCs w:val="18"/>
                <w:lang w:val="en-US" w:eastAsia="zh-CN"/>
              </w:rPr>
              <w:t>63</w:t>
            </w:r>
            <w:r>
              <w:rPr>
                <w:rFonts w:hint="eastAsia" w:ascii="仿宋_GB2312" w:eastAsia="仿宋_GB2312"/>
                <w:sz w:val="18"/>
                <w:szCs w:val="18"/>
              </w:rPr>
              <w:t>万元，三公经费控制率</w:t>
            </w:r>
            <w:r>
              <w:rPr>
                <w:rFonts w:ascii="仿宋_GB2312" w:eastAsia="仿宋_GB2312"/>
                <w:sz w:val="18"/>
                <w:szCs w:val="18"/>
              </w:rPr>
              <w:t>100%</w:t>
            </w:r>
            <w:r>
              <w:rPr>
                <w:rFonts w:hint="eastAsia" w:ascii="仿宋_GB2312" w:eastAsia="仿宋_GB2312"/>
                <w:sz w:val="18"/>
                <w:szCs w:val="18"/>
              </w:rPr>
              <w:t>，三公经费控制率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，得</w:t>
            </w:r>
            <w:r>
              <w:rPr>
                <w:rFonts w:ascii="仿宋_GB2312" w:eastAsia="仿宋_GB2312"/>
                <w:sz w:val="18"/>
                <w:szCs w:val="18"/>
              </w:rPr>
              <w:t>6</w:t>
            </w:r>
            <w:r>
              <w:rPr>
                <w:rFonts w:hint="eastAsia" w:ascii="仿宋_GB2312" w:eastAsia="仿宋_GB2312"/>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bl>
    <w:p>
      <w:r>
        <w:t xml:space="preserve">     </w:t>
      </w:r>
    </w:p>
    <w:p/>
    <w:p/>
    <w:p/>
    <w:p/>
    <w:p/>
    <w:p/>
    <w:p/>
    <w:p/>
    <w:p/>
    <w:p/>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根据岳县办发（</w:t>
            </w:r>
            <w:r>
              <w:rPr>
                <w:rFonts w:ascii="仿宋_GB2312" w:hAnsi="宋体" w:eastAsia="仿宋_GB2312" w:cs="宋体"/>
                <w:kern w:val="0"/>
                <w:sz w:val="18"/>
                <w:szCs w:val="18"/>
              </w:rPr>
              <w:t>2019</w:t>
            </w:r>
            <w:r>
              <w:rPr>
                <w:rFonts w:hint="eastAsia" w:ascii="仿宋_GB2312" w:hAnsi="宋体" w:eastAsia="仿宋_GB2312" w:cs="宋体"/>
                <w:kern w:val="0"/>
                <w:sz w:val="18"/>
                <w:szCs w:val="18"/>
              </w:rPr>
              <w:t>年）</w:t>
            </w:r>
            <w:r>
              <w:rPr>
                <w:rFonts w:ascii="仿宋_GB2312" w:hAnsi="宋体" w:eastAsia="仿宋_GB2312" w:cs="宋体"/>
                <w:kern w:val="0"/>
                <w:sz w:val="18"/>
                <w:szCs w:val="18"/>
              </w:rPr>
              <w:t>1</w:t>
            </w:r>
            <w:r>
              <w:rPr>
                <w:rFonts w:hint="eastAsia" w:ascii="仿宋_GB2312" w:hAnsi="宋体" w:eastAsia="仿宋_GB2312" w:cs="宋体"/>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w:t>
            </w:r>
            <w:r>
              <w:rPr>
                <w:rFonts w:hint="eastAsia" w:ascii="仿宋_GB2312" w:hAnsi="宋体" w:eastAsia="仿宋_GB2312" w:cs="宋体"/>
                <w:b/>
                <w:bCs/>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MDU0NmQwMTBkNjg1NjNhMTU0MTU2MzBkYjk2MjQ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11448"/>
    <w:rsid w:val="00122C2E"/>
    <w:rsid w:val="0013232A"/>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246F7"/>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42FB1"/>
    <w:rsid w:val="00351AD3"/>
    <w:rsid w:val="00354479"/>
    <w:rsid w:val="00356458"/>
    <w:rsid w:val="0036548B"/>
    <w:rsid w:val="003867FA"/>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53410"/>
    <w:rsid w:val="00461395"/>
    <w:rsid w:val="00466871"/>
    <w:rsid w:val="00471F68"/>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3274"/>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0E8F"/>
    <w:rsid w:val="007225D2"/>
    <w:rsid w:val="00735258"/>
    <w:rsid w:val="00742DAE"/>
    <w:rsid w:val="007461B3"/>
    <w:rsid w:val="00764B34"/>
    <w:rsid w:val="00774D83"/>
    <w:rsid w:val="00781D85"/>
    <w:rsid w:val="007829F0"/>
    <w:rsid w:val="007865A2"/>
    <w:rsid w:val="00797AFB"/>
    <w:rsid w:val="007C77EE"/>
    <w:rsid w:val="007D5B9F"/>
    <w:rsid w:val="007E1392"/>
    <w:rsid w:val="007E6513"/>
    <w:rsid w:val="007F487F"/>
    <w:rsid w:val="00815FBF"/>
    <w:rsid w:val="00823B9F"/>
    <w:rsid w:val="00840351"/>
    <w:rsid w:val="00841CD0"/>
    <w:rsid w:val="00847D60"/>
    <w:rsid w:val="00860AFD"/>
    <w:rsid w:val="0086346F"/>
    <w:rsid w:val="008669D1"/>
    <w:rsid w:val="00873CD8"/>
    <w:rsid w:val="00875C4D"/>
    <w:rsid w:val="008A2E6B"/>
    <w:rsid w:val="008A7515"/>
    <w:rsid w:val="008C039F"/>
    <w:rsid w:val="008E1F76"/>
    <w:rsid w:val="008E2ACB"/>
    <w:rsid w:val="008E57E1"/>
    <w:rsid w:val="008F5E0B"/>
    <w:rsid w:val="009006A1"/>
    <w:rsid w:val="00900E3F"/>
    <w:rsid w:val="0092548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38BD"/>
    <w:rsid w:val="00A76673"/>
    <w:rsid w:val="00A87BCE"/>
    <w:rsid w:val="00A94900"/>
    <w:rsid w:val="00A96DDC"/>
    <w:rsid w:val="00AA3FFE"/>
    <w:rsid w:val="00AA565C"/>
    <w:rsid w:val="00AA68AE"/>
    <w:rsid w:val="00AB7085"/>
    <w:rsid w:val="00AC649C"/>
    <w:rsid w:val="00AD4448"/>
    <w:rsid w:val="00AE1B6C"/>
    <w:rsid w:val="00AE1CEC"/>
    <w:rsid w:val="00AE3F46"/>
    <w:rsid w:val="00AF11BE"/>
    <w:rsid w:val="00AF1EC1"/>
    <w:rsid w:val="00AF1FC0"/>
    <w:rsid w:val="00AF38EC"/>
    <w:rsid w:val="00B0185B"/>
    <w:rsid w:val="00B15F92"/>
    <w:rsid w:val="00B161A4"/>
    <w:rsid w:val="00B21CFD"/>
    <w:rsid w:val="00B41813"/>
    <w:rsid w:val="00B427C3"/>
    <w:rsid w:val="00B43845"/>
    <w:rsid w:val="00B608DB"/>
    <w:rsid w:val="00B92E17"/>
    <w:rsid w:val="00B9518E"/>
    <w:rsid w:val="00BA392F"/>
    <w:rsid w:val="00BA64C2"/>
    <w:rsid w:val="00BA6C31"/>
    <w:rsid w:val="00BB1C78"/>
    <w:rsid w:val="00BB322E"/>
    <w:rsid w:val="00BB378C"/>
    <w:rsid w:val="00BB3C71"/>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04B2"/>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C114C"/>
    <w:rsid w:val="00DD1EB3"/>
    <w:rsid w:val="00DD5046"/>
    <w:rsid w:val="00DF1C77"/>
    <w:rsid w:val="00E142CB"/>
    <w:rsid w:val="00E35E48"/>
    <w:rsid w:val="00E40ED6"/>
    <w:rsid w:val="00E4198B"/>
    <w:rsid w:val="00E63914"/>
    <w:rsid w:val="00E95B71"/>
    <w:rsid w:val="00EB35F4"/>
    <w:rsid w:val="00EC40AF"/>
    <w:rsid w:val="00EC4115"/>
    <w:rsid w:val="00EC6E79"/>
    <w:rsid w:val="00EC6F27"/>
    <w:rsid w:val="00ED7ACA"/>
    <w:rsid w:val="00EE0BAA"/>
    <w:rsid w:val="00EE315F"/>
    <w:rsid w:val="00EE67E1"/>
    <w:rsid w:val="00F222FE"/>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70E0998"/>
    <w:rsid w:val="073A4B74"/>
    <w:rsid w:val="0C1A7C3F"/>
    <w:rsid w:val="0D8634E3"/>
    <w:rsid w:val="12B422BC"/>
    <w:rsid w:val="13DF3FBF"/>
    <w:rsid w:val="14E336F6"/>
    <w:rsid w:val="16A3408E"/>
    <w:rsid w:val="1AA876C9"/>
    <w:rsid w:val="1E577636"/>
    <w:rsid w:val="1FC9239C"/>
    <w:rsid w:val="21820F5A"/>
    <w:rsid w:val="21EE5B91"/>
    <w:rsid w:val="22E851DA"/>
    <w:rsid w:val="23BE0013"/>
    <w:rsid w:val="24455956"/>
    <w:rsid w:val="24832922"/>
    <w:rsid w:val="254A1F6B"/>
    <w:rsid w:val="28610884"/>
    <w:rsid w:val="2F0401BB"/>
    <w:rsid w:val="309F5B82"/>
    <w:rsid w:val="32C672E1"/>
    <w:rsid w:val="361B3556"/>
    <w:rsid w:val="39BB27EC"/>
    <w:rsid w:val="3AED1D7A"/>
    <w:rsid w:val="3B6274FD"/>
    <w:rsid w:val="3BD54939"/>
    <w:rsid w:val="3BF834E8"/>
    <w:rsid w:val="3C6A6ECC"/>
    <w:rsid w:val="3D165E8C"/>
    <w:rsid w:val="3E7B4005"/>
    <w:rsid w:val="499058C0"/>
    <w:rsid w:val="4A0B218D"/>
    <w:rsid w:val="4BC62A71"/>
    <w:rsid w:val="4CDE1450"/>
    <w:rsid w:val="4F7D1499"/>
    <w:rsid w:val="51E715BD"/>
    <w:rsid w:val="51F33551"/>
    <w:rsid w:val="529822AA"/>
    <w:rsid w:val="59574CC5"/>
    <w:rsid w:val="5B074521"/>
    <w:rsid w:val="5B2A2BD4"/>
    <w:rsid w:val="5BD118C2"/>
    <w:rsid w:val="5C705F60"/>
    <w:rsid w:val="60AF7BDF"/>
    <w:rsid w:val="61354081"/>
    <w:rsid w:val="6403624E"/>
    <w:rsid w:val="66223497"/>
    <w:rsid w:val="6B787F06"/>
    <w:rsid w:val="712B4B58"/>
    <w:rsid w:val="727726F6"/>
    <w:rsid w:val="731720F8"/>
    <w:rsid w:val="74AE3A4F"/>
    <w:rsid w:val="761B43D4"/>
    <w:rsid w:val="7641482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ody Text Indent 2"/>
    <w:basedOn w:val="1"/>
    <w:link w:val="14"/>
    <w:semiHidden/>
    <w:qFormat/>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4352</Words>
  <Characters>4731</Characters>
  <Lines>42</Lines>
  <Paragraphs>12</Paragraphs>
  <TotalTime>8</TotalTime>
  <ScaleCrop>false</ScaleCrop>
  <LinksUpToDate>false</LinksUpToDate>
  <CharactersWithSpaces>5281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cp:lastPrinted>2022-10-24T06:58:00Z</cp:lastPrinted>
  <dcterms:modified xsi:type="dcterms:W3CDTF">2023-09-26T02:21:30Z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E370EE5BF18F4815BCCEEDEBCDCBEF3F</vt:lpwstr>
  </property>
</Properties>
</file>