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附件1-1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岳阳县2022年度整体支出绩效</w:t>
      </w:r>
    </w:p>
    <w:p>
      <w:pPr>
        <w:spacing w:line="800" w:lineRule="exact"/>
        <w:jc w:val="center"/>
        <w:rPr>
          <w:rFonts w:hint="eastAsia"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eastAsia="仿宋_GB2312"/>
          <w:color w:val="auto"/>
          <w:sz w:val="32"/>
          <w:szCs w:val="32"/>
          <w:u w:val="single"/>
        </w:rPr>
        <w:t xml:space="preserve"> </w:t>
      </w:r>
      <w:r>
        <w:rPr>
          <w:rFonts w:hint="eastAsia" w:eastAsia="仿宋_GB2312"/>
          <w:color w:val="auto"/>
          <w:sz w:val="32"/>
          <w:u w:val="single"/>
        </w:rPr>
        <w:t>岳阳县</w:t>
      </w:r>
      <w:r>
        <w:rPr>
          <w:rFonts w:hint="eastAsia" w:eastAsia="仿宋_GB2312"/>
          <w:color w:val="auto"/>
          <w:sz w:val="32"/>
          <w:u w:val="single"/>
          <w:lang w:val="en-US" w:eastAsia="zh-CN"/>
        </w:rPr>
        <w:t>美术馆</w:t>
      </w:r>
      <w:r>
        <w:rPr>
          <w:rFonts w:eastAsia="仿宋_GB2312"/>
          <w:color w:val="auto"/>
          <w:sz w:val="32"/>
          <w:szCs w:val="32"/>
          <w:u w:val="single"/>
        </w:rPr>
        <w:t xml:space="preserve">  </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eastAsia="仿宋_GB2312"/>
          <w:color w:val="auto"/>
          <w:sz w:val="32"/>
          <w:u w:val="single"/>
        </w:rPr>
        <w:t>YYX</w:t>
      </w:r>
      <w:r>
        <w:rPr>
          <w:rFonts w:hint="eastAsia" w:eastAsia="仿宋_GB2312"/>
          <w:color w:val="auto"/>
          <w:sz w:val="32"/>
          <w:u w:val="single"/>
          <w:lang w:val="en-US" w:eastAsia="zh-CN"/>
        </w:rPr>
        <w:t>410007</w:t>
      </w:r>
      <w:r>
        <w:rPr>
          <w:rFonts w:eastAsia="仿宋_GB2312"/>
          <w:color w:val="auto"/>
          <w:spacing w:val="20"/>
          <w:sz w:val="32"/>
          <w:szCs w:val="32"/>
          <w:u w:val="single"/>
        </w:rPr>
        <w:t xml:space="preserve"> </w:t>
      </w:r>
      <w:r>
        <w:rPr>
          <w:rFonts w:eastAsia="仿宋_GB2312"/>
          <w:color w:val="FF0000"/>
          <w:spacing w:val="20"/>
          <w:sz w:val="32"/>
          <w:szCs w:val="32"/>
          <w:u w:val="single"/>
        </w:rPr>
        <w:t xml:space="preserve"> </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lang w:val="en-US" w:eastAsia="zh-CN"/>
        </w:rPr>
        <w:t>3</w:t>
      </w:r>
      <w:r>
        <w:rPr>
          <w:rFonts w:hint="eastAsia" w:eastAsia="仿宋_GB2312"/>
          <w:sz w:val="32"/>
        </w:rPr>
        <w:t>年</w:t>
      </w:r>
      <w:r>
        <w:rPr>
          <w:rFonts w:eastAsia="仿宋_GB2312"/>
          <w:sz w:val="32"/>
        </w:rPr>
        <w:t>0</w:t>
      </w:r>
      <w:r>
        <w:rPr>
          <w:rFonts w:hint="eastAsia" w:eastAsia="仿宋_GB2312"/>
          <w:sz w:val="32"/>
          <w:lang w:val="en-US" w:eastAsia="zh-CN"/>
        </w:rPr>
        <w:t>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footerReference r:id="rId3" w:type="default"/>
          <w:pgSz w:w="11906" w:h="16838"/>
          <w:pgMar w:top="1588" w:right="1588" w:bottom="1588" w:left="1588" w:header="851" w:footer="992" w:gutter="0"/>
          <w:pgNumType w:start="1"/>
          <w:cols w:space="720" w:num="1"/>
          <w:docGrid w:type="linesAndChars" w:linePitch="602" w:charSpace="-782"/>
        </w:sectPr>
      </w:pPr>
    </w:p>
    <w:tbl>
      <w:tblPr>
        <w:tblStyle w:val="8"/>
        <w:tblW w:w="98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223"/>
        <w:gridCol w:w="256"/>
        <w:gridCol w:w="226"/>
        <w:gridCol w:w="196"/>
        <w:gridCol w:w="1062"/>
        <w:gridCol w:w="542"/>
        <w:gridCol w:w="90"/>
        <w:gridCol w:w="49"/>
        <w:gridCol w:w="941"/>
        <w:gridCol w:w="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张琼</w:t>
            </w:r>
          </w:p>
        </w:tc>
        <w:tc>
          <w:tcPr>
            <w:tcW w:w="1479"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联络电话</w:t>
            </w:r>
          </w:p>
        </w:tc>
        <w:tc>
          <w:tcPr>
            <w:tcW w:w="3106" w:type="dxa"/>
            <w:gridSpan w:val="7"/>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13873075559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w:t>
            </w:r>
          </w:p>
        </w:tc>
        <w:tc>
          <w:tcPr>
            <w:tcW w:w="1479"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3106" w:type="dxa"/>
            <w:gridSpan w:val="7"/>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Mar>
              <w:top w:w="0" w:type="dxa"/>
              <w:left w:w="15" w:type="dxa"/>
              <w:bottom w:w="0" w:type="dxa"/>
              <w:right w:w="15" w:type="dxa"/>
            </w:tcMar>
            <w:vAlign w:val="center"/>
          </w:tcPr>
          <w:p>
            <w:pPr>
              <w:spacing w:afterLines="50" w:line="600" w:lineRule="exact"/>
              <w:ind w:firstLine="645"/>
              <w:rPr>
                <w:rFonts w:ascii="仿宋_GB2312" w:hAnsi="仿宋_GB2312" w:eastAsia="仿宋_GB2312" w:cs="仿宋_GB2312"/>
                <w:color w:val="000000"/>
                <w:sz w:val="24"/>
              </w:rPr>
            </w:pPr>
            <w:r>
              <w:rPr>
                <w:rFonts w:hint="eastAsia" w:ascii="仿宋_GB2312" w:hAnsi="仿宋_GB2312" w:eastAsia="仿宋_GB2312" w:cs="仿宋_GB2312"/>
                <w:color w:val="auto"/>
                <w:sz w:val="24"/>
              </w:rPr>
              <w:t>负责</w:t>
            </w:r>
            <w:r>
              <w:rPr>
                <w:rFonts w:hint="eastAsia" w:ascii="仿宋_GB2312" w:hAnsi="仿宋_GB2312" w:eastAsia="仿宋_GB2312" w:cs="仿宋_GB2312"/>
                <w:color w:val="auto"/>
                <w:sz w:val="24"/>
                <w:lang w:val="en-US" w:eastAsia="zh-CN"/>
              </w:rPr>
              <w:t>征集、收藏和保管相关美术作品；负责美术作品的挖掘、创作、研究、开发和利用；负责美术作品的展览和推广；负责社会美学教育和人才培养等。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auto"/>
                <w:sz w:val="24"/>
                <w:szCs w:val="24"/>
              </w:rPr>
            </w:pPr>
            <w:r>
              <w:rPr>
                <w:rFonts w:hint="eastAsia" w:ascii="仿宋_GB2312" w:hAnsi="仿宋_GB2312" w:eastAsia="仿宋_GB2312" w:cs="仿宋_GB2312"/>
                <w:color w:val="auto"/>
                <w:sz w:val="24"/>
              </w:rPr>
              <w:t>任</w:t>
            </w:r>
            <w:r>
              <w:rPr>
                <w:rFonts w:hint="eastAsia" w:ascii="仿宋" w:hAnsi="仿宋" w:eastAsia="仿宋" w:cs="仿宋"/>
                <w:color w:val="auto"/>
                <w:sz w:val="24"/>
                <w:szCs w:val="24"/>
              </w:rPr>
              <w:t>务1：改善基础设施，为美术馆展览功能拓展提供保障</w:t>
            </w:r>
          </w:p>
          <w:p>
            <w:pPr>
              <w:autoSpaceDN w:val="0"/>
              <w:spacing w:line="32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任务2：策划高质量的展览</w:t>
            </w:r>
            <w:r>
              <w:rPr>
                <w:rFonts w:hint="eastAsia" w:ascii="仿宋" w:hAnsi="仿宋" w:eastAsia="仿宋" w:cs="仿宋"/>
                <w:color w:val="auto"/>
                <w:sz w:val="24"/>
                <w:szCs w:val="24"/>
                <w:lang w:val="en-US" w:eastAsia="zh-CN"/>
              </w:rPr>
              <w:t xml:space="preserve"> </w:t>
            </w: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任务</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：组织本县艺术家创作优秀作品参与全国、省市级艺术展览。</w:t>
            </w:r>
          </w:p>
          <w:p>
            <w:pPr>
              <w:autoSpaceDN w:val="0"/>
              <w:spacing w:line="32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任务</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：积极组织艺术讲座、写生交流活动，不断增强我县艺术文化队伍的专业水平。</w:t>
            </w:r>
            <w:r>
              <w:rPr>
                <w:rFonts w:hint="eastAsia" w:ascii="仿宋" w:hAnsi="仿宋" w:eastAsia="仿宋" w:cs="仿宋"/>
                <w:color w:val="auto"/>
                <w:sz w:val="24"/>
                <w:szCs w:val="24"/>
                <w:lang w:val="en-US" w:eastAsia="zh-CN"/>
              </w:rPr>
              <w:t xml:space="preserve"> </w:t>
            </w:r>
          </w:p>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color w:val="auto"/>
                <w:sz w:val="24"/>
                <w:szCs w:val="24"/>
              </w:rPr>
              <w:t>任务</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：做好免费开放后的各项业务和服务工作，切实把免费开放工作做实做细、做好，为公众提供更多、更好的公共文化产品和服务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Mar>
              <w:top w:w="0"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720" w:firstLineChars="300"/>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lang w:val="en-US" w:eastAsia="zh-CN"/>
              </w:rPr>
              <w:t>1.7月份我馆对展厅墙面进行维护翻新，同时更换了部分电子监控设备以及对电子屏的维修。满足了日常展览的需求。2.我馆先后成功举办了“春满巴陵”2022年岳阳县迎新春美术书法作品展、“喜迎二十大·禁毒我同行”岳阳县2022年6.26国际禁毒日美术书法优秀作品展 、“守护一江碧水·共建大美洞庭”岳阳县美术书法摄影作品展览、岳阳县2022年清廉文化建设美术书法摄影作品线上展览。3.我馆开展书画艺术专业讲座、培训10余次，惠及社会广大书画爱好者。4.有序开展“免费开放”业务，并向社会公众提供了优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1700" w:type="dxa"/>
            <w:gridSpan w:val="3"/>
            <w:tcMar>
              <w:top w:w="0" w:type="dxa"/>
              <w:left w:w="15" w:type="dxa"/>
              <w:bottom w:w="0" w:type="dxa"/>
              <w:right w:w="15" w:type="dxa"/>
            </w:tcMar>
            <w:vAlign w:val="center"/>
          </w:tcPr>
          <w:p>
            <w:pPr>
              <w:spacing w:line="320" w:lineRule="exact"/>
              <w:rPr>
                <w:rFonts w:hint="eastAsia" w:ascii="仿宋_GB2312" w:hAnsi="仿宋_GB2312" w:eastAsia="仿宋_GB2312" w:cs="仿宋_GB2312"/>
                <w:sz w:val="24"/>
                <w:lang w:eastAsia="zh-CN"/>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二级机构</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74.90</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tabs>
                <w:tab w:val="left" w:pos="313"/>
              </w:tabs>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ab/>
            </w:r>
            <w:r>
              <w:rPr>
                <w:rFonts w:hint="eastAsia" w:ascii="宋体" w:hAnsi="宋体" w:cs="宋体"/>
                <w:i w:val="0"/>
                <w:iCs w:val="0"/>
                <w:color w:val="000000"/>
                <w:kern w:val="2"/>
                <w:sz w:val="22"/>
                <w:szCs w:val="22"/>
                <w:u w:val="none"/>
                <w:lang w:val="en-US" w:eastAsia="zh-CN" w:bidi="ar-SA"/>
              </w:rPr>
              <w:t>0.00</w:t>
            </w:r>
          </w:p>
        </w:tc>
        <w:tc>
          <w:tcPr>
            <w:tcW w:w="1080" w:type="dxa"/>
            <w:gridSpan w:val="2"/>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46.90</w:t>
            </w:r>
          </w:p>
        </w:tc>
        <w:tc>
          <w:tcPr>
            <w:tcW w:w="1705" w:type="dxa"/>
            <w:gridSpan w:val="3"/>
            <w:tcMar>
              <w:top w:w="0" w:type="dxa"/>
              <w:left w:w="15" w:type="dxa"/>
              <w:bottom w:w="0" w:type="dxa"/>
              <w:right w:w="15" w:type="dxa"/>
            </w:tcMar>
            <w:vAlign w:val="center"/>
          </w:tcPr>
          <w:p>
            <w:pPr>
              <w:autoSpaceDN w:val="0"/>
              <w:spacing w:line="320" w:lineRule="exact"/>
              <w:ind w:firstLine="480" w:firstLineChars="20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0.00</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0.00</w:t>
            </w:r>
          </w:p>
        </w:tc>
        <w:tc>
          <w:tcPr>
            <w:tcW w:w="1080" w:type="dxa"/>
            <w:gridSpan w:val="3"/>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90"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24"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398"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22"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1080" w:type="dxa"/>
            <w:gridSpan w:val="2"/>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963" w:type="dxa"/>
            <w:gridSpan w:val="5"/>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32" w:type="dxa"/>
            <w:gridSpan w:val="2"/>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90" w:type="dxa"/>
            <w:gridSpan w:val="2"/>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223"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740" w:type="dxa"/>
            <w:gridSpan w:val="4"/>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32" w:type="dxa"/>
            <w:gridSpan w:val="2"/>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3"/>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二级机构</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74.79</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47.85</w:t>
            </w:r>
          </w:p>
        </w:tc>
        <w:tc>
          <w:tcPr>
            <w:tcW w:w="1080" w:type="dxa"/>
            <w:gridSpan w:val="2"/>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29.78</w:t>
            </w:r>
          </w:p>
        </w:tc>
        <w:tc>
          <w:tcPr>
            <w:tcW w:w="1223" w:type="dxa"/>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18.07</w:t>
            </w:r>
          </w:p>
        </w:tc>
        <w:tc>
          <w:tcPr>
            <w:tcW w:w="1740" w:type="dxa"/>
            <w:gridSpan w:val="4"/>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26.94</w:t>
            </w:r>
          </w:p>
        </w:tc>
        <w:tc>
          <w:tcPr>
            <w:tcW w:w="63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0.11</w:t>
            </w:r>
          </w:p>
        </w:tc>
        <w:tc>
          <w:tcPr>
            <w:tcW w:w="1080" w:type="dxa"/>
            <w:gridSpan w:val="3"/>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3"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4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3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3"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4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3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223"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45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二级机构</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0.00</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0.00</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0.00</w:t>
            </w:r>
          </w:p>
        </w:tc>
        <w:tc>
          <w:tcPr>
            <w:tcW w:w="1223" w:type="dxa"/>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0.00</w:t>
            </w:r>
          </w:p>
        </w:tc>
        <w:tc>
          <w:tcPr>
            <w:tcW w:w="3452" w:type="dxa"/>
            <w:gridSpan w:val="9"/>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3"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5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3"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45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2"/>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8"/>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二级机构</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9.35</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9.35</w:t>
            </w:r>
          </w:p>
        </w:tc>
        <w:tc>
          <w:tcPr>
            <w:tcW w:w="3644" w:type="dxa"/>
            <w:gridSpan w:val="8"/>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目标</w:t>
            </w:r>
            <w:r>
              <w:rPr>
                <w:rFonts w:hint="eastAsia" w:ascii="仿宋" w:hAnsi="仿宋" w:eastAsia="仿宋" w:cs="仿宋"/>
                <w:color w:val="auto"/>
                <w:sz w:val="24"/>
                <w:szCs w:val="24"/>
              </w:rPr>
              <w:t>1：改善基础设施，为美术馆展览功能拓展提供保障</w:t>
            </w:r>
          </w:p>
          <w:p>
            <w:pPr>
              <w:autoSpaceDN w:val="0"/>
              <w:spacing w:line="32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目标</w:t>
            </w:r>
            <w:r>
              <w:rPr>
                <w:rFonts w:hint="eastAsia" w:ascii="仿宋" w:hAnsi="仿宋" w:eastAsia="仿宋" w:cs="仿宋"/>
                <w:color w:val="auto"/>
                <w:sz w:val="24"/>
                <w:szCs w:val="24"/>
              </w:rPr>
              <w:t>2：策划高质量的展览</w:t>
            </w:r>
            <w:r>
              <w:rPr>
                <w:rFonts w:hint="eastAsia" w:ascii="仿宋" w:hAnsi="仿宋" w:eastAsia="仿宋" w:cs="仿宋"/>
                <w:color w:val="auto"/>
                <w:sz w:val="24"/>
                <w:szCs w:val="24"/>
                <w:lang w:val="en-US" w:eastAsia="zh-CN"/>
              </w:rPr>
              <w:t xml:space="preserve"> </w:t>
            </w:r>
          </w:p>
          <w:p>
            <w:pPr>
              <w:autoSpaceDN w:val="0"/>
              <w:spacing w:line="320" w:lineRule="exact"/>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目标3</w:t>
            </w:r>
            <w:r>
              <w:rPr>
                <w:rFonts w:hint="eastAsia" w:ascii="仿宋" w:hAnsi="仿宋" w:eastAsia="仿宋" w:cs="仿宋"/>
                <w:color w:val="auto"/>
                <w:sz w:val="24"/>
                <w:szCs w:val="24"/>
              </w:rPr>
              <w:t>：组织本县艺术家创作优秀作品参与全国、省市级艺术展览。</w:t>
            </w:r>
          </w:p>
          <w:p>
            <w:pPr>
              <w:autoSpaceDN w:val="0"/>
              <w:spacing w:line="320" w:lineRule="exact"/>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目标4</w:t>
            </w:r>
            <w:r>
              <w:rPr>
                <w:rFonts w:hint="eastAsia" w:ascii="仿宋" w:hAnsi="仿宋" w:eastAsia="仿宋" w:cs="仿宋"/>
                <w:color w:val="auto"/>
                <w:sz w:val="24"/>
                <w:szCs w:val="24"/>
              </w:rPr>
              <w:t>：积极组织艺术讲座、写生交流活动，不断增强我县艺术文化队伍的专业水平。</w:t>
            </w:r>
            <w:r>
              <w:rPr>
                <w:rFonts w:hint="eastAsia" w:ascii="仿宋" w:hAnsi="仿宋" w:eastAsia="仿宋" w:cs="仿宋"/>
                <w:color w:val="auto"/>
                <w:sz w:val="24"/>
                <w:szCs w:val="24"/>
                <w:lang w:val="en-US" w:eastAsia="zh-CN"/>
              </w:rPr>
              <w:t xml:space="preserve"> </w:t>
            </w:r>
          </w:p>
          <w:p>
            <w:pPr>
              <w:autoSpaceDN w:val="0"/>
              <w:spacing w:line="320" w:lineRule="exact"/>
              <w:jc w:val="left"/>
              <w:textAlignment w:val="center"/>
              <w:rPr>
                <w:rFonts w:ascii="仿宋_GB2312" w:hAnsi="仿宋_GB2312" w:eastAsia="仿宋_GB2312" w:cs="仿宋_GB2312"/>
                <w:color w:val="auto"/>
                <w:kern w:val="2"/>
                <w:sz w:val="24"/>
                <w:szCs w:val="24"/>
                <w:lang w:val="en-US" w:eastAsia="zh-CN" w:bidi="ar-SA"/>
              </w:rPr>
            </w:pPr>
            <w:r>
              <w:rPr>
                <w:rFonts w:hint="eastAsia" w:ascii="仿宋" w:hAnsi="仿宋" w:eastAsia="仿宋" w:cs="仿宋"/>
                <w:color w:val="auto"/>
                <w:sz w:val="24"/>
                <w:szCs w:val="24"/>
                <w:lang w:val="en-US" w:eastAsia="zh-CN"/>
              </w:rPr>
              <w:t>目标5</w:t>
            </w:r>
            <w:r>
              <w:rPr>
                <w:rFonts w:hint="eastAsia" w:ascii="仿宋" w:hAnsi="仿宋" w:eastAsia="仿宋" w:cs="仿宋"/>
                <w:color w:val="auto"/>
                <w:sz w:val="24"/>
                <w:szCs w:val="24"/>
              </w:rPr>
              <w:t>：做好免费开放后的各项业务和服务工作，切实把免费开放工作做实做细、做好，为公众提供更多、更好的公共文化产品和服务</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1.7月份我馆对展厅墙面进行维护翻新，同时更换了部分电子监控设备以及对电子屏的维修。满足了日常展览的需求。2.我馆先后成功举办了“春满巴陵”2022年岳阳县迎新春美术书法作品展、“喜迎二十大·禁毒我同行”岳阳县2022年6.26国际禁毒日美术书法优秀作品展 、“守护一江碧水·共建大美洞庭”岳阳县美术书法摄影作品展览、岳阳县2022年清廉文化建设美术书法摄影作品线上展览。3.我馆开展书画艺术专业讲座、培训10余次，惠及社会广大书画爱好者。4.有序开展“免费开放”业务，并向社会公众提供了优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29"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县委县政府</w:t>
            </w:r>
            <w:r>
              <w:rPr>
                <w:rFonts w:hint="eastAsia" w:ascii="仿宋_GB2312" w:hAnsi="仿宋_GB2312" w:eastAsia="仿宋_GB2312" w:cs="仿宋_GB2312"/>
                <w:color w:val="000000"/>
                <w:sz w:val="24"/>
              </w:rPr>
              <w:t>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参展作品合格率</w:t>
            </w:r>
            <w:r>
              <w:rPr>
                <w:rFonts w:ascii="仿宋_GB2312" w:hAnsi="仿宋_GB2312" w:eastAsia="仿宋_GB2312" w:cs="仿宋_GB2312"/>
                <w:color w:val="000000"/>
                <w:sz w:val="24"/>
              </w:rPr>
              <w:t>100%</w:t>
            </w:r>
          </w:p>
        </w:tc>
        <w:tc>
          <w:tcPr>
            <w:tcW w:w="2684"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“三公经费”变动率≤</w:t>
            </w:r>
            <w:r>
              <w:rPr>
                <w:rFonts w:ascii="仿宋_GB2312" w:hAnsi="仿宋_GB2312" w:eastAsia="仿宋_GB2312" w:cs="仿宋_GB2312"/>
                <w:color w:val="000000"/>
                <w:sz w:val="24"/>
              </w:rPr>
              <w:t>0</w:t>
            </w:r>
          </w:p>
        </w:tc>
        <w:tc>
          <w:tcPr>
            <w:tcW w:w="2684"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开展大型美术作品展览活动3次</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举行书画艺术讲座8</w:t>
            </w:r>
            <w:r>
              <w:rPr>
                <w:rFonts w:hint="eastAsia" w:ascii="仿宋_GB2312" w:hAnsi="仿宋_GB2312" w:eastAsia="仿宋_GB2312" w:cs="仿宋_GB2312"/>
                <w:color w:val="000000"/>
                <w:sz w:val="24"/>
              </w:rPr>
              <w:t>次以上</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对展馆进行维修翻新</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已如质如量完成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全年财政整体支出</w:t>
            </w:r>
            <w:r>
              <w:rPr>
                <w:rFonts w:hint="eastAsia" w:ascii="宋体" w:hAnsi="宋体" w:cs="宋体"/>
                <w:i w:val="0"/>
                <w:iCs w:val="0"/>
                <w:color w:val="000000"/>
                <w:kern w:val="0"/>
                <w:sz w:val="22"/>
                <w:szCs w:val="22"/>
                <w:u w:val="none"/>
                <w:lang w:val="en-US" w:eastAsia="zh-CN" w:bidi="ar"/>
              </w:rPr>
              <w:t>74.79</w:t>
            </w:r>
            <w:r>
              <w:rPr>
                <w:rFonts w:hint="eastAsia" w:ascii="仿宋_GB2312" w:hAnsi="仿宋_GB2312" w:eastAsia="仿宋_GB2312" w:cs="仿宋_GB2312"/>
                <w:color w:val="000000"/>
                <w:sz w:val="24"/>
              </w:rPr>
              <w:t>万元</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宋体" w:hAnsi="宋体" w:cs="宋体"/>
                <w:i w:val="0"/>
                <w:iCs w:val="0"/>
                <w:color w:val="000000"/>
                <w:kern w:val="0"/>
                <w:sz w:val="22"/>
                <w:szCs w:val="22"/>
                <w:u w:val="none"/>
                <w:lang w:val="en-US" w:eastAsia="zh-CN" w:bidi="ar"/>
              </w:rPr>
              <w:t>74.79</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sz w:val="24"/>
                <w:szCs w:val="24"/>
              </w:rPr>
              <w:t>丰富</w:t>
            </w:r>
            <w:r>
              <w:rPr>
                <w:rFonts w:hint="eastAsia" w:ascii="仿宋" w:hAnsi="仿宋" w:eastAsia="仿宋" w:cs="仿宋"/>
                <w:sz w:val="24"/>
                <w:szCs w:val="24"/>
                <w:lang w:val="en-US" w:eastAsia="zh-CN"/>
              </w:rPr>
              <w:t>了</w:t>
            </w:r>
            <w:r>
              <w:rPr>
                <w:rFonts w:hint="eastAsia" w:ascii="仿宋" w:hAnsi="仿宋" w:eastAsia="仿宋" w:cs="仿宋"/>
                <w:sz w:val="24"/>
                <w:szCs w:val="24"/>
              </w:rPr>
              <w:t>全县人民文化生活，提升</w:t>
            </w:r>
            <w:r>
              <w:rPr>
                <w:rFonts w:hint="eastAsia" w:ascii="仿宋" w:hAnsi="仿宋" w:eastAsia="仿宋" w:cs="仿宋"/>
                <w:sz w:val="24"/>
                <w:szCs w:val="24"/>
                <w:lang w:val="en-US" w:eastAsia="zh-CN"/>
              </w:rPr>
              <w:t>了</w:t>
            </w:r>
            <w:r>
              <w:rPr>
                <w:rFonts w:hint="eastAsia" w:ascii="仿宋" w:hAnsi="仿宋" w:eastAsia="仿宋" w:cs="仿宋"/>
                <w:sz w:val="24"/>
                <w:szCs w:val="24"/>
              </w:rPr>
              <w:t>我县艺术文化审美水平</w:t>
            </w:r>
          </w:p>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全面带动了</w:t>
            </w:r>
            <w:r>
              <w:rPr>
                <w:rFonts w:hint="eastAsia" w:ascii="仿宋_GB2312" w:eastAsia="仿宋_GB2312"/>
                <w:color w:val="000000"/>
                <w:sz w:val="24"/>
                <w:lang w:val="en-US" w:eastAsia="zh-CN"/>
              </w:rPr>
              <w:t>我县美术事业</w:t>
            </w:r>
            <w:r>
              <w:rPr>
                <w:rFonts w:hint="eastAsia" w:ascii="仿宋_GB2312" w:eastAsia="仿宋_GB2312"/>
                <w:color w:val="000000"/>
                <w:sz w:val="24"/>
              </w:rPr>
              <w:t>的蓬勃发展</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采用美术作品对</w:t>
            </w:r>
            <w:r>
              <w:rPr>
                <w:rFonts w:hint="eastAsia" w:ascii="仿宋_GB2312" w:hAnsi="仿宋_GB2312" w:eastAsia="仿宋_GB2312" w:cs="仿宋_GB2312"/>
                <w:color w:val="000000"/>
                <w:sz w:val="24"/>
              </w:rPr>
              <w:t>绿色环保</w:t>
            </w:r>
            <w:r>
              <w:rPr>
                <w:rFonts w:hint="eastAsia" w:ascii="仿宋_GB2312" w:hAnsi="仿宋_GB2312" w:eastAsia="仿宋_GB2312" w:cs="仿宋_GB2312"/>
                <w:color w:val="000000"/>
                <w:sz w:val="24"/>
                <w:lang w:val="en-US" w:eastAsia="zh-CN"/>
              </w:rPr>
              <w:t>理念的宣传</w:t>
            </w:r>
          </w:p>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r>
              <w:rPr>
                <w:rFonts w:hint="eastAsia" w:ascii="仿宋_GB2312" w:hAnsi="仿宋_GB2312" w:eastAsia="仿宋_GB2312" w:cs="仿宋_GB2312"/>
                <w:color w:val="000000"/>
                <w:sz w:val="24"/>
              </w:rPr>
              <w:t>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w:t>
            </w:r>
          </w:p>
        </w:tc>
        <w:tc>
          <w:tcPr>
            <w:tcW w:w="268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6</w:t>
            </w:r>
            <w:r>
              <w:rPr>
                <w:rFonts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80"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hint="default"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丁罗建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馆长</w:t>
            </w:r>
          </w:p>
        </w:tc>
        <w:tc>
          <w:tcPr>
            <w:tcW w:w="1479"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w:t>
            </w:r>
            <w:r>
              <w:rPr>
                <w:rFonts w:hint="eastAsia" w:ascii="仿宋_GB2312" w:hAnsi="仿宋_GB2312" w:eastAsia="仿宋_GB2312" w:cs="仿宋_GB2312"/>
                <w:color w:val="000000"/>
                <w:sz w:val="24"/>
                <w:lang w:val="en-US" w:eastAsia="zh-CN"/>
              </w:rPr>
              <w:t>美术馆</w:t>
            </w:r>
          </w:p>
        </w:tc>
        <w:tc>
          <w:tcPr>
            <w:tcW w:w="3106" w:type="dxa"/>
            <w:gridSpan w:val="7"/>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张琼</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副馆长</w:t>
            </w:r>
          </w:p>
        </w:tc>
        <w:tc>
          <w:tcPr>
            <w:tcW w:w="1479"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w:t>
            </w:r>
            <w:r>
              <w:rPr>
                <w:rFonts w:hint="eastAsia" w:ascii="仿宋_GB2312" w:hAnsi="仿宋_GB2312" w:eastAsia="仿宋_GB2312" w:cs="仿宋_GB2312"/>
                <w:color w:val="000000"/>
                <w:sz w:val="24"/>
                <w:lang w:val="en-US" w:eastAsia="zh-CN"/>
              </w:rPr>
              <w:t>美术馆</w:t>
            </w:r>
          </w:p>
        </w:tc>
        <w:tc>
          <w:tcPr>
            <w:tcW w:w="3106" w:type="dxa"/>
            <w:gridSpan w:val="7"/>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何露腾</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财务</w:t>
            </w:r>
          </w:p>
        </w:tc>
        <w:tc>
          <w:tcPr>
            <w:tcW w:w="1479"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岳阳县</w:t>
            </w:r>
            <w:r>
              <w:rPr>
                <w:rFonts w:hint="eastAsia" w:ascii="仿宋_GB2312" w:hAnsi="仿宋_GB2312" w:eastAsia="仿宋_GB2312" w:cs="仿宋_GB2312"/>
                <w:color w:val="000000"/>
                <w:sz w:val="24"/>
                <w:lang w:val="en-US" w:eastAsia="zh-CN"/>
              </w:rPr>
              <w:t>美术馆</w:t>
            </w:r>
          </w:p>
        </w:tc>
        <w:tc>
          <w:tcPr>
            <w:tcW w:w="3106" w:type="dxa"/>
            <w:gridSpan w:val="7"/>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479"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106" w:type="dxa"/>
            <w:gridSpan w:val="7"/>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3175"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90" w:type="dxa"/>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ascii="仿宋_GB2312" w:hAnsi="仿宋_GB2312" w:eastAsia="仿宋_GB2312" w:cs="仿宋_GB2312"/>
          <w:color w:val="000000"/>
          <w:sz w:val="24"/>
          <w:lang w:val="en-US" w:eastAsia="zh-CN"/>
        </w:rPr>
        <w:t>张琼</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color w:val="auto"/>
          <w:sz w:val="24"/>
          <w:lang w:val="en-US" w:eastAsia="zh-CN"/>
        </w:rPr>
        <w:t>13873075559</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numPr>
                <w:ilvl w:val="0"/>
                <w:numId w:val="0"/>
              </w:numPr>
              <w:spacing w:line="560" w:lineRule="exact"/>
              <w:ind w:firstLine="1200" w:firstLineChars="500"/>
              <w:rPr>
                <w:rFonts w:hint="eastAsia" w:ascii="仿宋_GB2312" w:hAnsi="仿宋_GB2312" w:eastAsia="仿宋_GB2312" w:cs="仿宋_GB2312"/>
                <w:bCs/>
                <w:color w:val="auto"/>
                <w:sz w:val="24"/>
                <w:lang w:eastAsia="zh-CN"/>
              </w:rPr>
            </w:pPr>
            <w:r>
              <w:rPr>
                <w:rFonts w:hint="eastAsia" w:ascii="仿宋_GB2312" w:hAnsi="仿宋_GB2312" w:eastAsia="仿宋_GB2312" w:cs="仿宋_GB2312"/>
                <w:bCs/>
                <w:color w:val="auto"/>
                <w:sz w:val="24"/>
                <w:lang w:val="en-US" w:eastAsia="zh-CN"/>
              </w:rPr>
              <w:t>2022</w:t>
            </w:r>
            <w:r>
              <w:rPr>
                <w:rFonts w:hint="eastAsia" w:ascii="仿宋_GB2312" w:hAnsi="仿宋_GB2312" w:eastAsia="仿宋_GB2312" w:cs="仿宋_GB2312"/>
                <w:bCs/>
                <w:color w:val="auto"/>
                <w:sz w:val="24"/>
              </w:rPr>
              <w:t>年岳阳县</w:t>
            </w:r>
            <w:r>
              <w:rPr>
                <w:rFonts w:hint="eastAsia" w:ascii="仿宋_GB2312" w:hAnsi="仿宋_GB2312" w:eastAsia="仿宋_GB2312" w:cs="仿宋_GB2312"/>
                <w:bCs/>
                <w:color w:val="auto"/>
                <w:sz w:val="24"/>
                <w:lang w:val="en-US" w:eastAsia="zh-CN"/>
              </w:rPr>
              <w:t>美术馆</w:t>
            </w:r>
            <w:r>
              <w:rPr>
                <w:rFonts w:hint="eastAsia" w:ascii="仿宋_GB2312" w:hAnsi="仿宋_GB2312" w:eastAsia="仿宋_GB2312" w:cs="仿宋_GB2312"/>
                <w:bCs/>
                <w:color w:val="auto"/>
                <w:sz w:val="24"/>
              </w:rPr>
              <w:t>在</w:t>
            </w:r>
            <w:r>
              <w:rPr>
                <w:rFonts w:hint="eastAsia" w:ascii="仿宋_GB2312" w:hAnsi="仿宋_GB2312" w:eastAsia="仿宋_GB2312" w:cs="仿宋_GB2312"/>
                <w:bCs/>
                <w:color w:val="auto"/>
                <w:sz w:val="24"/>
                <w:lang w:val="en-US" w:eastAsia="zh-CN"/>
              </w:rPr>
              <w:t>编3</w:t>
            </w:r>
            <w:r>
              <w:rPr>
                <w:rFonts w:hint="eastAsia" w:ascii="仿宋_GB2312" w:hAnsi="仿宋_GB2312" w:eastAsia="仿宋_GB2312" w:cs="仿宋_GB2312"/>
                <w:bCs/>
                <w:color w:val="auto"/>
                <w:sz w:val="24"/>
              </w:rPr>
              <w:t>人，退休</w:t>
            </w:r>
            <w:r>
              <w:rPr>
                <w:rFonts w:hint="eastAsia" w:ascii="仿宋_GB2312" w:hAnsi="仿宋_GB2312" w:eastAsia="仿宋_GB2312" w:cs="仿宋_GB2312"/>
                <w:bCs/>
                <w:color w:val="auto"/>
                <w:sz w:val="24"/>
                <w:lang w:val="en-US" w:eastAsia="zh-CN"/>
              </w:rPr>
              <w:t>0</w:t>
            </w:r>
            <w:r>
              <w:rPr>
                <w:rFonts w:hint="eastAsia" w:ascii="仿宋_GB2312" w:hAnsi="仿宋_GB2312" w:eastAsia="仿宋_GB2312" w:cs="仿宋_GB2312"/>
                <w:bCs/>
                <w:color w:val="auto"/>
                <w:sz w:val="24"/>
              </w:rPr>
              <w:t>人、临聘人员</w:t>
            </w:r>
            <w:r>
              <w:rPr>
                <w:rFonts w:hint="eastAsia" w:ascii="仿宋_GB2312" w:hAnsi="仿宋_GB2312" w:eastAsia="仿宋_GB2312" w:cs="仿宋_GB2312"/>
                <w:bCs/>
                <w:color w:val="auto"/>
                <w:sz w:val="24"/>
                <w:lang w:val="en-US" w:eastAsia="zh-CN"/>
              </w:rPr>
              <w:t>1</w:t>
            </w:r>
            <w:r>
              <w:rPr>
                <w:rFonts w:hint="eastAsia" w:ascii="仿宋_GB2312" w:hAnsi="仿宋_GB2312" w:eastAsia="仿宋_GB2312" w:cs="仿宋_GB2312"/>
                <w:bCs/>
                <w:color w:val="auto"/>
                <w:sz w:val="24"/>
              </w:rPr>
              <w:t>人，属</w:t>
            </w:r>
            <w:r>
              <w:rPr>
                <w:rFonts w:hint="eastAsia" w:ascii="仿宋_GB2312" w:hAnsi="仿宋_GB2312" w:eastAsia="仿宋_GB2312" w:cs="仿宋_GB2312"/>
                <w:bCs/>
                <w:color w:val="auto"/>
                <w:sz w:val="24"/>
                <w:lang w:val="en-US" w:eastAsia="zh-CN"/>
              </w:rPr>
              <w:t>财政补助事业</w:t>
            </w:r>
            <w:r>
              <w:rPr>
                <w:rFonts w:hint="eastAsia" w:ascii="仿宋_GB2312" w:hAnsi="仿宋_GB2312" w:eastAsia="仿宋_GB2312" w:cs="仿宋_GB2312"/>
                <w:bCs/>
                <w:color w:val="auto"/>
                <w:sz w:val="24"/>
              </w:rPr>
              <w:t>单位</w:t>
            </w:r>
            <w:r>
              <w:rPr>
                <w:rFonts w:hint="eastAsia" w:ascii="仿宋_GB2312" w:hAnsi="仿宋_GB2312" w:eastAsia="仿宋_GB2312" w:cs="仿宋_GB2312"/>
                <w:bCs/>
                <w:color w:val="auto"/>
                <w:sz w:val="24"/>
                <w:lang w:eastAsia="zh-CN"/>
              </w:rPr>
              <w:t>。</w:t>
            </w:r>
          </w:p>
          <w:p>
            <w:pPr>
              <w:numPr>
                <w:ilvl w:val="0"/>
                <w:numId w:val="3"/>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lang w:eastAsia="zh-CN"/>
              </w:rPr>
              <w:t xml:space="preserve"> 202</w:t>
            </w:r>
            <w:r>
              <w:rPr>
                <w:rFonts w:hint="eastAsia" w:ascii="仿宋" w:hAnsi="仿宋" w:eastAsia="仿宋" w:cs="仿宋"/>
                <w:sz w:val="24"/>
                <w:lang w:val="en-US" w:eastAsia="zh-CN"/>
              </w:rPr>
              <w:t>2</w:t>
            </w:r>
            <w:r>
              <w:rPr>
                <w:rFonts w:hint="eastAsia" w:ascii="仿宋" w:hAnsi="仿宋" w:eastAsia="仿宋" w:cs="仿宋"/>
                <w:sz w:val="24"/>
                <w:lang w:eastAsia="zh-CN"/>
              </w:rPr>
              <w:t>年</w:t>
            </w:r>
            <w:r>
              <w:rPr>
                <w:rFonts w:hint="eastAsia" w:ascii="仿宋" w:hAnsi="仿宋" w:eastAsia="仿宋" w:cs="仿宋"/>
                <w:sz w:val="24"/>
                <w:lang w:val="en-US" w:eastAsia="zh-CN"/>
              </w:rPr>
              <w:t>美术馆</w:t>
            </w:r>
            <w:r>
              <w:rPr>
                <w:rFonts w:hint="eastAsia" w:ascii="仿宋" w:hAnsi="仿宋" w:eastAsia="仿宋" w:cs="仿宋"/>
                <w:sz w:val="24"/>
              </w:rPr>
              <w:t>整体支出为</w:t>
            </w:r>
            <w:r>
              <w:rPr>
                <w:rFonts w:hint="eastAsia" w:ascii="宋体" w:hAnsi="宋体" w:eastAsia="宋体" w:cs="宋体"/>
                <w:i w:val="0"/>
                <w:iCs w:val="0"/>
                <w:color w:val="000000"/>
                <w:kern w:val="0"/>
                <w:sz w:val="22"/>
                <w:szCs w:val="22"/>
                <w:u w:val="none"/>
                <w:lang w:val="en-US" w:eastAsia="zh-CN" w:bidi="ar"/>
              </w:rPr>
              <w:t>74.79</w:t>
            </w:r>
            <w:r>
              <w:rPr>
                <w:rFonts w:hint="eastAsia" w:ascii="仿宋" w:hAnsi="仿宋" w:eastAsia="仿宋" w:cs="仿宋"/>
                <w:sz w:val="24"/>
              </w:rPr>
              <w:t>万元，包括基本支出</w:t>
            </w:r>
            <w:r>
              <w:rPr>
                <w:rFonts w:hint="eastAsia" w:ascii="宋体" w:hAnsi="宋体" w:eastAsia="宋体" w:cs="宋体"/>
                <w:i w:val="0"/>
                <w:iCs w:val="0"/>
                <w:color w:val="000000"/>
                <w:kern w:val="0"/>
                <w:sz w:val="22"/>
                <w:szCs w:val="22"/>
                <w:u w:val="none"/>
                <w:lang w:val="en-US" w:eastAsia="zh-CN" w:bidi="ar"/>
              </w:rPr>
              <w:t>47.85</w:t>
            </w:r>
            <w:r>
              <w:rPr>
                <w:rFonts w:hint="eastAsia" w:ascii="仿宋" w:hAnsi="仿宋" w:eastAsia="仿宋" w:cs="仿宋"/>
                <w:sz w:val="24"/>
              </w:rPr>
              <w:t>万元，主要用于人员经费支出和日常公用经费支出，项目支出</w:t>
            </w:r>
            <w:r>
              <w:rPr>
                <w:rFonts w:hint="eastAsia" w:ascii="宋体" w:hAnsi="宋体" w:eastAsia="宋体" w:cs="宋体"/>
                <w:i w:val="0"/>
                <w:iCs w:val="0"/>
                <w:color w:val="000000"/>
                <w:kern w:val="0"/>
                <w:sz w:val="22"/>
                <w:szCs w:val="22"/>
                <w:u w:val="none"/>
                <w:lang w:val="en-US" w:eastAsia="zh-CN" w:bidi="ar"/>
              </w:rPr>
              <w:t>26.94</w:t>
            </w:r>
            <w:r>
              <w:rPr>
                <w:rFonts w:hint="eastAsia" w:ascii="仿宋" w:hAnsi="仿宋" w:eastAsia="仿宋" w:cs="仿宋"/>
                <w:sz w:val="24"/>
              </w:rPr>
              <w:t>万元，主要用于</w:t>
            </w:r>
            <w:r>
              <w:rPr>
                <w:rFonts w:hint="eastAsia" w:ascii="仿宋" w:hAnsi="仿宋" w:eastAsia="仿宋" w:cs="仿宋"/>
                <w:sz w:val="24"/>
                <w:lang w:eastAsia="zh-CN"/>
              </w:rPr>
              <w:t>“</w:t>
            </w:r>
            <w:r>
              <w:rPr>
                <w:rFonts w:hint="eastAsia" w:ascii="仿宋" w:hAnsi="仿宋" w:eastAsia="仿宋" w:cs="仿宋"/>
                <w:sz w:val="24"/>
                <w:lang w:val="en-US" w:eastAsia="zh-CN"/>
              </w:rPr>
              <w:t>免费开放”项目活动经费26.94</w:t>
            </w:r>
            <w:r>
              <w:rPr>
                <w:rFonts w:hint="eastAsia" w:ascii="仿宋" w:hAnsi="仿宋" w:eastAsia="仿宋" w:cs="仿宋"/>
                <w:sz w:val="24"/>
              </w:rPr>
              <w:t>万元。</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hint="eastAsia" w:ascii="仿宋" w:hAnsi="仿宋" w:eastAsia="仿宋" w:cs="仿宋"/>
                <w:sz w:val="24"/>
                <w:lang w:eastAsia="zh-CN"/>
              </w:rPr>
            </w:pPr>
            <w:r>
              <w:rPr>
                <w:rFonts w:hint="eastAsia" w:ascii="仿宋" w:hAnsi="仿宋" w:eastAsia="仿宋" w:cs="仿宋"/>
                <w:sz w:val="24"/>
                <w:lang w:eastAsia="zh-CN"/>
              </w:rPr>
              <w:t>2022年</w:t>
            </w:r>
            <w:r>
              <w:rPr>
                <w:rFonts w:hint="eastAsia" w:ascii="仿宋" w:hAnsi="仿宋" w:eastAsia="仿宋" w:cs="仿宋"/>
                <w:sz w:val="24"/>
                <w:lang w:val="en-US" w:eastAsia="zh-CN"/>
              </w:rPr>
              <w:t>美术馆</w:t>
            </w:r>
            <w:r>
              <w:rPr>
                <w:rFonts w:hint="eastAsia" w:ascii="仿宋" w:hAnsi="仿宋" w:eastAsia="仿宋" w:cs="仿宋"/>
                <w:sz w:val="24"/>
              </w:rPr>
              <w:t>基本支出</w:t>
            </w:r>
            <w:r>
              <w:rPr>
                <w:rFonts w:hint="eastAsia" w:ascii="宋体" w:hAnsi="宋体" w:eastAsia="宋体" w:cs="宋体"/>
                <w:i w:val="0"/>
                <w:iCs w:val="0"/>
                <w:color w:val="000000"/>
                <w:kern w:val="0"/>
                <w:sz w:val="22"/>
                <w:szCs w:val="22"/>
                <w:u w:val="none"/>
                <w:lang w:val="en-US" w:eastAsia="zh-CN" w:bidi="ar"/>
              </w:rPr>
              <w:t>47.85</w:t>
            </w:r>
            <w:r>
              <w:rPr>
                <w:rFonts w:hint="eastAsia" w:ascii="仿宋" w:hAnsi="仿宋" w:eastAsia="仿宋" w:cs="仿宋"/>
                <w:sz w:val="24"/>
              </w:rPr>
              <w:t>万元，包括人员支出</w:t>
            </w:r>
            <w:r>
              <w:rPr>
                <w:rFonts w:hint="eastAsia" w:ascii="宋体" w:hAnsi="宋体" w:cs="宋体"/>
                <w:i w:val="0"/>
                <w:iCs w:val="0"/>
                <w:color w:val="000000"/>
                <w:kern w:val="0"/>
                <w:sz w:val="22"/>
                <w:szCs w:val="22"/>
                <w:u w:val="none"/>
                <w:lang w:val="en-US" w:eastAsia="zh-CN" w:bidi="ar"/>
              </w:rPr>
              <w:t>29.78</w:t>
            </w:r>
            <w:r>
              <w:rPr>
                <w:rFonts w:hint="eastAsia" w:ascii="仿宋" w:hAnsi="仿宋" w:eastAsia="仿宋" w:cs="仿宋"/>
                <w:sz w:val="24"/>
              </w:rPr>
              <w:t>万元，公用</w:t>
            </w:r>
            <w:r>
              <w:rPr>
                <w:rFonts w:hint="eastAsia" w:ascii="仿宋" w:hAnsi="仿宋" w:eastAsia="仿宋" w:cs="仿宋"/>
                <w:sz w:val="24"/>
                <w:lang w:eastAsia="zh-CN"/>
              </w:rPr>
              <w:t>经费</w:t>
            </w:r>
            <w:r>
              <w:rPr>
                <w:rFonts w:hint="eastAsia" w:ascii="宋体" w:hAnsi="宋体" w:cs="宋体"/>
                <w:i w:val="0"/>
                <w:iCs w:val="0"/>
                <w:color w:val="000000"/>
                <w:kern w:val="0"/>
                <w:sz w:val="22"/>
                <w:szCs w:val="22"/>
                <w:u w:val="none"/>
                <w:lang w:val="en-US" w:eastAsia="zh-CN" w:bidi="ar"/>
              </w:rPr>
              <w:t>18.07</w:t>
            </w:r>
            <w:r>
              <w:rPr>
                <w:rFonts w:hint="eastAsia" w:ascii="仿宋" w:hAnsi="仿宋" w:eastAsia="仿宋" w:cs="仿宋"/>
                <w:sz w:val="24"/>
              </w:rPr>
              <w:t>万元</w:t>
            </w:r>
            <w:r>
              <w:rPr>
                <w:rFonts w:hint="eastAsia" w:ascii="仿宋" w:hAnsi="仿宋" w:eastAsia="仿宋" w:cs="仿宋"/>
                <w:sz w:val="24"/>
                <w:lang w:eastAsia="zh-CN"/>
              </w:rPr>
              <w:t>。</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eastAsia="zh-CN"/>
              </w:rPr>
              <w:t>202</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lang w:eastAsia="zh-CN"/>
              </w:rPr>
              <w:t>年</w:t>
            </w:r>
            <w:r>
              <w:rPr>
                <w:rFonts w:hint="eastAsia" w:ascii="仿宋_GB2312" w:hAnsi="仿宋_GB2312" w:eastAsia="仿宋_GB2312" w:cs="仿宋_GB2312"/>
                <w:bCs/>
                <w:sz w:val="24"/>
              </w:rPr>
              <w:t>县财政安排我</w:t>
            </w:r>
            <w:r>
              <w:rPr>
                <w:rFonts w:hint="eastAsia" w:ascii="仿宋_GB2312" w:hAnsi="仿宋_GB2312" w:eastAsia="仿宋_GB2312" w:cs="仿宋_GB2312"/>
                <w:bCs/>
                <w:sz w:val="24"/>
                <w:lang w:val="en-US" w:eastAsia="zh-CN"/>
              </w:rPr>
              <w:t>馆</w:t>
            </w:r>
            <w:r>
              <w:rPr>
                <w:rFonts w:hint="eastAsia" w:ascii="仿宋_GB2312" w:hAnsi="仿宋_GB2312" w:eastAsia="仿宋_GB2312" w:cs="仿宋_GB2312"/>
                <w:bCs/>
                <w:sz w:val="24"/>
              </w:rPr>
              <w:t>项目经费</w:t>
            </w:r>
            <w:r>
              <w:rPr>
                <w:rFonts w:hint="eastAsia" w:ascii="宋体" w:hAnsi="宋体" w:eastAsia="宋体" w:cs="宋体"/>
                <w:i w:val="0"/>
                <w:iCs w:val="0"/>
                <w:color w:val="000000"/>
                <w:kern w:val="0"/>
                <w:sz w:val="22"/>
                <w:szCs w:val="22"/>
                <w:u w:val="none"/>
                <w:lang w:val="en-US" w:eastAsia="zh-CN" w:bidi="ar"/>
              </w:rPr>
              <w:t>26.94</w:t>
            </w:r>
            <w:r>
              <w:rPr>
                <w:rFonts w:hint="eastAsia" w:ascii="仿宋_GB2312" w:hAnsi="仿宋_GB2312" w:eastAsia="仿宋_GB2312" w:cs="仿宋_GB2312"/>
                <w:bCs/>
                <w:sz w:val="24"/>
              </w:rPr>
              <w:t>万元，具体包括</w:t>
            </w:r>
            <w:r>
              <w:rPr>
                <w:rFonts w:hint="eastAsia" w:ascii="仿宋" w:hAnsi="仿宋" w:eastAsia="仿宋" w:cs="仿宋"/>
                <w:sz w:val="24"/>
                <w:lang w:eastAsia="zh-CN"/>
              </w:rPr>
              <w:t>“</w:t>
            </w:r>
            <w:r>
              <w:rPr>
                <w:rFonts w:hint="eastAsia" w:ascii="仿宋" w:hAnsi="仿宋" w:eastAsia="仿宋" w:cs="仿宋"/>
                <w:sz w:val="24"/>
                <w:lang w:val="en-US" w:eastAsia="zh-CN"/>
              </w:rPr>
              <w:t>免费开放”项目活动经费26.94万元</w:t>
            </w:r>
            <w:r>
              <w:rPr>
                <w:rFonts w:hint="eastAsia" w:ascii="仿宋_GB2312" w:hAnsi="仿宋_GB2312" w:eastAsia="仿宋_GB2312" w:cs="仿宋_GB2312"/>
                <w:bCs/>
                <w:sz w:val="24"/>
              </w:rPr>
              <w:t>；我</w:t>
            </w:r>
            <w:r>
              <w:rPr>
                <w:rFonts w:hint="eastAsia" w:ascii="仿宋_GB2312" w:hAnsi="仿宋_GB2312" w:eastAsia="仿宋_GB2312" w:cs="仿宋_GB2312"/>
                <w:bCs/>
                <w:sz w:val="24"/>
                <w:lang w:val="en-US" w:eastAsia="zh-CN"/>
              </w:rPr>
              <w:t>馆</w:t>
            </w:r>
            <w:r>
              <w:rPr>
                <w:rFonts w:hint="eastAsia" w:ascii="仿宋_GB2312" w:hAnsi="仿宋_GB2312" w:eastAsia="仿宋_GB2312" w:cs="仿宋_GB2312"/>
                <w:bCs/>
                <w:sz w:val="24"/>
              </w:rPr>
              <w:t>实际发生项目支出</w:t>
            </w:r>
            <w:r>
              <w:rPr>
                <w:rFonts w:hint="eastAsia" w:ascii="仿宋" w:hAnsi="仿宋" w:eastAsia="仿宋" w:cs="仿宋"/>
                <w:sz w:val="24"/>
                <w:lang w:val="en-US" w:eastAsia="zh-CN"/>
              </w:rPr>
              <w:t>26.94</w:t>
            </w:r>
            <w:r>
              <w:rPr>
                <w:rFonts w:hint="eastAsia" w:ascii="仿宋_GB2312" w:hAnsi="仿宋_GB2312" w:eastAsia="仿宋_GB2312" w:cs="仿宋_GB2312"/>
                <w:bCs/>
                <w:sz w:val="24"/>
              </w:rPr>
              <w:t>万元，项目支出安排率</w:t>
            </w:r>
            <w:r>
              <w:rPr>
                <w:rFonts w:hint="eastAsia" w:ascii="仿宋_GB2312" w:hAnsi="仿宋_GB2312" w:eastAsia="仿宋_GB2312" w:cs="仿宋_GB2312"/>
                <w:bCs/>
                <w:sz w:val="24"/>
                <w:lang w:eastAsia="zh-CN"/>
              </w:rPr>
              <w:t>为</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spacing w:line="560" w:lineRule="exact"/>
              <w:rPr>
                <w:rFonts w:ascii="仿宋_GB2312" w:hAnsi="仿宋_GB2312" w:eastAsia="仿宋_GB2312" w:cs="仿宋_GB2312"/>
                <w:bCs/>
                <w:kern w:val="2"/>
              </w:rPr>
            </w:pPr>
            <w:r>
              <w:rPr>
                <w:rFonts w:ascii="仿宋_GB2312" w:hAnsi="仿宋_GB2312" w:eastAsia="仿宋_GB2312" w:cs="仿宋_GB2312"/>
                <w:bCs/>
                <w:kern w:val="2"/>
              </w:rPr>
              <w:t xml:space="preserve"> </w:t>
            </w:r>
            <w:r>
              <w:rPr>
                <w:rFonts w:hint="eastAsia" w:ascii="仿宋_GB2312" w:hAnsi="仿宋_GB2312" w:eastAsia="仿宋_GB2312" w:cs="仿宋_GB2312"/>
                <w:bCs/>
                <w:kern w:val="2"/>
                <w:lang w:val="en-US" w:eastAsia="zh-CN"/>
              </w:rPr>
              <w:t xml:space="preserve">   </w:t>
            </w:r>
            <w:r>
              <w:rPr>
                <w:rFonts w:hint="eastAsia" w:ascii="仿宋_GB2312" w:hAnsi="仿宋_GB2312" w:eastAsia="仿宋_GB2312" w:cs="仿宋_GB2312"/>
                <w:bCs/>
                <w:sz w:val="24"/>
              </w:rPr>
              <w:t>我</w:t>
            </w:r>
            <w:r>
              <w:rPr>
                <w:rFonts w:hint="eastAsia" w:ascii="仿宋_GB2312" w:hAnsi="仿宋_GB2312" w:eastAsia="仿宋_GB2312" w:cs="仿宋_GB2312"/>
                <w:bCs/>
                <w:sz w:val="24"/>
                <w:lang w:val="en-US" w:eastAsia="zh-CN"/>
              </w:rPr>
              <w:t>馆</w:t>
            </w:r>
            <w:r>
              <w:rPr>
                <w:rFonts w:hint="eastAsia" w:ascii="仿宋_GB2312" w:hAnsi="仿宋_GB2312" w:eastAsia="仿宋_GB2312" w:cs="仿宋_GB2312"/>
                <w:bCs/>
                <w:sz w:val="24"/>
              </w:rPr>
              <w:t>专项资金主要用</w:t>
            </w:r>
            <w:r>
              <w:rPr>
                <w:rFonts w:hint="eastAsia" w:ascii="仿宋_GB2312" w:hAnsi="仿宋_GB2312" w:eastAsia="仿宋_GB2312" w:cs="仿宋_GB2312"/>
                <w:bCs/>
                <w:sz w:val="24"/>
                <w:lang w:val="en-US" w:eastAsia="zh-CN"/>
              </w:rPr>
              <w:t>于</w:t>
            </w:r>
            <w:r>
              <w:rPr>
                <w:rFonts w:hint="eastAsia" w:ascii="仿宋_GB2312" w:hAnsi="仿宋_GB2312" w:eastAsia="仿宋_GB2312" w:cs="仿宋_GB2312"/>
                <w:color w:val="auto"/>
                <w:sz w:val="24"/>
                <w:lang w:val="en-US" w:eastAsia="zh-CN"/>
              </w:rPr>
              <w:t>举办“春满巴陵”2022年岳阳县迎新春美术书法作品展、“喜迎二十大·禁毒我同行”岳阳县2022年6.26国际禁毒日美术书法优秀作品展 、“守护一江碧水·共建大美洞庭”岳阳县美术书法摄影作品展览、岳阳县2022年清廉文化建设美术书法摄影作品线上展览等活动。开展书画艺术专业讲座、培训等</w:t>
            </w:r>
            <w:r>
              <w:rPr>
                <w:rFonts w:hint="eastAsia" w:ascii="仿宋_GB2312" w:hAnsi="仿宋_GB2312" w:eastAsia="仿宋_GB2312" w:cs="仿宋_GB2312"/>
                <w:color w:val="auto"/>
                <w:sz w:val="24"/>
                <w:shd w:val="clear" w:color="auto" w:fill="FFFFFF"/>
              </w:rPr>
              <w:t>。</w:t>
            </w:r>
            <w:r>
              <w:rPr>
                <w:rFonts w:hint="eastAsia" w:ascii="仿宋_GB2312" w:hAnsi="仿宋_GB2312" w:eastAsia="仿宋_GB2312" w:cs="仿宋_GB2312"/>
                <w:color w:val="2B2B2B"/>
                <w:sz w:val="24"/>
                <w:shd w:val="clear" w:color="auto" w:fill="FFFFFF"/>
              </w:rPr>
              <w:t>支出科目多为印刷费、</w:t>
            </w:r>
            <w:r>
              <w:rPr>
                <w:rFonts w:hint="eastAsia" w:ascii="仿宋_GB2312" w:hAnsi="仿宋_GB2312" w:eastAsia="仿宋_GB2312" w:cs="仿宋_GB2312"/>
                <w:color w:val="2B2B2B"/>
                <w:sz w:val="24"/>
                <w:shd w:val="clear" w:color="auto" w:fill="FFFFFF"/>
                <w:lang w:val="en-US" w:eastAsia="zh-CN"/>
              </w:rPr>
              <w:t>专用材料费、</w:t>
            </w:r>
            <w:r>
              <w:rPr>
                <w:rFonts w:hint="eastAsia" w:ascii="仿宋_GB2312" w:hAnsi="仿宋_GB2312" w:eastAsia="仿宋_GB2312" w:cs="仿宋_GB2312"/>
                <w:color w:val="2B2B2B"/>
                <w:sz w:val="24"/>
                <w:shd w:val="clear" w:color="auto" w:fill="FFFFFF"/>
              </w:rPr>
              <w:t>会议费、差旅费、场租费等。</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w:t>
            </w:r>
            <w:r>
              <w:rPr>
                <w:rFonts w:hint="eastAsia" w:ascii="仿宋_GB2312" w:hAnsi="仿宋_GB2312" w:eastAsia="仿宋_GB2312" w:cs="仿宋_GB2312"/>
                <w:bCs/>
                <w:sz w:val="24"/>
                <w:lang w:val="en-US" w:eastAsia="zh-CN"/>
              </w:rPr>
              <w:t>馆</w:t>
            </w:r>
            <w:r>
              <w:rPr>
                <w:rFonts w:hint="eastAsia" w:ascii="仿宋_GB2312" w:hAnsi="仿宋_GB2312" w:eastAsia="仿宋_GB2312" w:cs="仿宋_GB2312"/>
                <w:bCs/>
                <w:sz w:val="24"/>
              </w:rPr>
              <w:t>专项资金实行专款专用、专项核算，费用支出严格按财务审批程序和项目进度等进行支付。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1、2022年1月13日  组织了“我们的节日･红红火火过大年”岳阳县2022年迎新春送春联文明实践活动。</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2、2022年1月29日  组织了“春联纳福･巴陵迎新”免费送春联送书画活动。</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3、2022年4月24日 组织了“送书画进万家”张谷英采风写生活动，免费赠送作品4幅。</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4、2022年5月16-20日 组织了墙绘进社区公益活动，绘制墙绘500㎡，并被县融媒体中心做专题报道。</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5、2022年6月14日组织开展第一期荣城青年大讲堂，邀请青年职业艺术家彭丕担任嘉宾，此次活动共有在校高中生、返乡大学生、艺术爱好者等共30余人参与活动，聆听讲座。</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6、2022年10月14日，“喜迎二十大･奋进新征程”百米长卷现场书写活动。</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7、2022年10月11日至12日，“守护一江碧水·共建大美洞庭”走进洞庭写生采风活动。</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8</w:t>
            </w:r>
            <w:r>
              <w:rPr>
                <w:rFonts w:hint="eastAsia" w:ascii="仿宋_GB2312" w:hAnsi="仿宋_GB2312" w:eastAsia="仿宋_GB2312" w:cs="仿宋_GB2312"/>
                <w:bCs/>
                <w:sz w:val="24"/>
              </w:rPr>
              <w:t>、2022年6月28日，特邀书法家陈毅华先生于岳阳县美术馆多功能厅展开书法专业知识讲座。</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9</w:t>
            </w:r>
            <w:r>
              <w:rPr>
                <w:rFonts w:hint="eastAsia" w:ascii="仿宋_GB2312" w:hAnsi="仿宋_GB2312" w:eastAsia="仿宋_GB2312" w:cs="仿宋_GB2312"/>
                <w:bCs/>
                <w:sz w:val="24"/>
              </w:rPr>
              <w:t>、2022年8月5日，组织开展岳阳县书法专业大学生讲座。</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10.</w:t>
            </w:r>
            <w:r>
              <w:rPr>
                <w:rFonts w:hint="eastAsia" w:ascii="仿宋_GB2312" w:hAnsi="仿宋_GB2312" w:eastAsia="仿宋_GB2312" w:cs="仿宋_GB2312"/>
                <w:bCs/>
                <w:sz w:val="24"/>
              </w:rPr>
              <w:t>2022年9月15日，为迎接“喜迎二十大·奋进新征程”岳阳县庆祝建国73周年美术书法作品展览活动，特邀书法家陈毅华先生在美术馆多功能厅开展《书法学习与创作》专题讲座。</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11.</w:t>
            </w:r>
            <w:r>
              <w:rPr>
                <w:rFonts w:hint="eastAsia" w:ascii="仿宋_GB2312" w:hAnsi="仿宋_GB2312" w:eastAsia="仿宋_GB2312" w:cs="仿宋_GB2312"/>
                <w:bCs/>
                <w:sz w:val="24"/>
              </w:rPr>
              <w:t>2022年10月3日至6日，公共文化美育活动“名家讲堂”第一期—崔向君讲座活动。</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12.</w:t>
            </w:r>
            <w:r>
              <w:rPr>
                <w:rFonts w:hint="eastAsia" w:ascii="仿宋_GB2312" w:hAnsi="仿宋_GB2312" w:eastAsia="仿宋_GB2312" w:cs="仿宋_GB2312"/>
                <w:bCs/>
                <w:sz w:val="24"/>
              </w:rPr>
              <w:t>2022年11月16日至17日，公共文化美育活动“名家讲堂”第二期—陈毅华讲座活动。</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13.</w:t>
            </w:r>
            <w:r>
              <w:rPr>
                <w:rFonts w:hint="eastAsia" w:ascii="仿宋_GB2312" w:hAnsi="仿宋_GB2312" w:eastAsia="仿宋_GB2312" w:cs="仿宋_GB2312"/>
                <w:bCs/>
                <w:sz w:val="24"/>
              </w:rPr>
              <w:t>2022年12月15日，陈毅华书法对联创作知识讲座交流活动。</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二、</w:t>
            </w:r>
            <w:r>
              <w:rPr>
                <w:rFonts w:hint="eastAsia" w:ascii="仿宋_GB2312" w:hAnsi="仿宋_GB2312" w:eastAsia="仿宋_GB2312" w:cs="仿宋_GB2312"/>
                <w:bCs/>
                <w:sz w:val="24"/>
              </w:rPr>
              <w:t>专项管理情况分析</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加强党建工作。通过学习强国等学习平台和主题党日等活动，加强意识形态工作，完善意识形态风险防范和预研预判预案预警机制，强化对</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领域热点问题和突发事件的引导处置，不断提高广大</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工作者的政治自觉和管控能力，确保全县</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工作者始终听党话，跟党走。</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服务好党政</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决策。推进岳阳县智库建设，发挥好学会和</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人才的作用，对接省市</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资源和</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人才，为县域经济社会发展提供参谋。组织</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工作者围绕县委、县政府产业链创新链建设、优化营商环境、推进融城发展、助力乡村振兴、保障粮食安全等方面，联合有关部门开展决策咨询课题研究，形成有价值的调研成果，为县委、县政府重大决策及时提供</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意见。支持学会抢抓机构改革出现的新机遇，积极承接参与</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决策咨询、</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项目评估、技术标准规范制定、</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成果评审等</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评价活动，积极承担社会服务职能和政府转移职能。发挥</w:t>
            </w:r>
            <w:r>
              <w:rPr>
                <w:rFonts w:hint="eastAsia" w:ascii="仿宋_GB2312" w:hAnsi="仿宋_GB2312" w:eastAsia="仿宋_GB2312" w:cs="仿宋_GB2312"/>
                <w:bCs/>
                <w:sz w:val="24"/>
                <w:lang w:val="en-US" w:eastAsia="zh-CN"/>
              </w:rPr>
              <w:t>美术</w:t>
            </w:r>
            <w:r>
              <w:rPr>
                <w:rFonts w:hint="eastAsia" w:ascii="仿宋_GB2312" w:hAnsi="仿宋_GB2312" w:eastAsia="仿宋_GB2312" w:cs="仿宋_GB2312"/>
                <w:bCs/>
                <w:sz w:val="24"/>
              </w:rPr>
              <w:t>界的决策咨询平台作用，将决策咨询成果转化为高质量建议提案。</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四、部门（单位）整体支出绩效情况</w:t>
            </w:r>
          </w:p>
          <w:p>
            <w:pPr>
              <w:spacing w:line="400" w:lineRule="exact"/>
              <w:ind w:firstLine="480" w:firstLineChars="200"/>
              <w:rPr>
                <w:rFonts w:hint="eastAsia" w:ascii="仿宋" w:hAnsi="仿宋" w:eastAsia="仿宋" w:cs="仿宋"/>
                <w:bCs/>
                <w:sz w:val="24"/>
                <w:szCs w:val="24"/>
              </w:rPr>
            </w:pPr>
            <w:r>
              <w:rPr>
                <w:rFonts w:hint="eastAsia" w:ascii="仿宋" w:hAnsi="仿宋" w:eastAsia="仿宋" w:cs="仿宋"/>
                <w:sz w:val="24"/>
                <w:szCs w:val="24"/>
              </w:rPr>
              <w:t>岳阳县</w:t>
            </w:r>
            <w:r>
              <w:rPr>
                <w:rFonts w:hint="eastAsia" w:ascii="仿宋" w:hAnsi="仿宋" w:eastAsia="仿宋" w:cs="仿宋"/>
                <w:sz w:val="24"/>
                <w:szCs w:val="24"/>
                <w:lang w:val="en-US" w:eastAsia="zh-CN"/>
              </w:rPr>
              <w:t>美术馆</w:t>
            </w:r>
            <w:r>
              <w:rPr>
                <w:rFonts w:hint="eastAsia" w:ascii="仿宋" w:hAnsi="仿宋" w:eastAsia="仿宋" w:cs="仿宋"/>
                <w:sz w:val="24"/>
                <w:szCs w:val="24"/>
              </w:rPr>
              <w:t>在协会领导的支持和县财政局的具体指导下，积极推进预算绩效管理工作，不断提高绩效管理工作的质量和水平，提高财政资金的使用效益，取得了较好成效。</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（二）财务工作是一个单位的命脉，财务精细化管理要求越来越高，对我单位财务人员工作水平也提出了新的挑战。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（三）会计基础工作还需要不断完善，决算报表数据与单位实际情况存在小误差。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ascii="仿宋_GB2312" w:hAnsi="仿宋_GB2312" w:eastAsia="仿宋_GB2312"/>
                <w:sz w:val="24"/>
              </w:rPr>
            </w:pPr>
            <w:r>
              <w:rPr>
                <w:rFonts w:ascii="黑体" w:hAnsi="黑体" w:eastAsia="黑体" w:cs="黑体"/>
                <w:sz w:val="24"/>
              </w:rPr>
              <w:t xml:space="preserve"> </w:t>
            </w:r>
            <w:r>
              <w:rPr>
                <w:rFonts w:ascii="仿宋_GB2312" w:hAnsi="仿宋_GB2312" w:eastAsia="仿宋_GB2312"/>
                <w:sz w:val="24"/>
              </w:rPr>
              <w:t xml:space="preserve">                                20</w:t>
            </w:r>
            <w:r>
              <w:rPr>
                <w:rFonts w:hint="eastAsia" w:ascii="仿宋_GB2312" w:hAnsi="仿宋_GB2312" w:eastAsia="仿宋_GB2312"/>
                <w:sz w:val="24"/>
                <w:lang w:val="en-US" w:eastAsia="zh-CN"/>
              </w:rPr>
              <w:t>23</w:t>
            </w:r>
            <w:r>
              <w:rPr>
                <w:rFonts w:hint="eastAsia" w:ascii="仿宋" w:hAnsi="仿宋" w:eastAsia="仿宋" w:cs="仿宋"/>
                <w:sz w:val="24"/>
              </w:rPr>
              <w:t>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hint="eastAsia" w:ascii="黑体" w:hAnsi="黑体" w:eastAsia="黑体"/>
          <w:sz w:val="32"/>
          <w:szCs w:val="32"/>
        </w:rPr>
        <w:t>附件1-2</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人员编制数</w:t>
            </w:r>
            <w:r>
              <w:rPr>
                <w:rFonts w:hint="eastAsia" w:ascii="仿宋_GB2312" w:eastAsia="仿宋_GB2312"/>
                <w:color w:val="000000"/>
                <w:sz w:val="18"/>
                <w:szCs w:val="18"/>
                <w:lang w:val="en-US" w:eastAsia="zh-CN"/>
              </w:rPr>
              <w:t>3</w:t>
            </w:r>
            <w:r>
              <w:rPr>
                <w:rFonts w:hint="eastAsia" w:ascii="仿宋_GB2312" w:eastAsia="仿宋_GB2312"/>
                <w:color w:val="000000"/>
                <w:sz w:val="18"/>
                <w:szCs w:val="18"/>
              </w:rPr>
              <w:t>人，在职人数</w:t>
            </w:r>
            <w:r>
              <w:rPr>
                <w:rFonts w:hint="eastAsia" w:ascii="仿宋_GB2312" w:eastAsia="仿宋_GB2312"/>
                <w:color w:val="000000"/>
                <w:sz w:val="18"/>
                <w:szCs w:val="18"/>
                <w:lang w:val="en-US" w:eastAsia="zh-CN"/>
              </w:rPr>
              <w:t>3</w:t>
            </w:r>
            <w:r>
              <w:rPr>
                <w:rFonts w:hint="eastAsia" w:ascii="仿宋_GB2312" w:eastAsia="仿宋_GB2312"/>
                <w:color w:val="000000"/>
                <w:sz w:val="18"/>
                <w:szCs w:val="18"/>
              </w:rPr>
              <w:t>人，在职人员控制率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，未超编，根据评分标准，得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149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本年度三公经费</w:t>
            </w:r>
            <w:r>
              <w:rPr>
                <w:rFonts w:ascii="仿宋_GB2312" w:eastAsia="仿宋_GB2312"/>
                <w:color w:val="000000"/>
                <w:sz w:val="18"/>
                <w:szCs w:val="18"/>
              </w:rPr>
              <w:t xml:space="preserve"> </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万元，上年度三公经费</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w:t>
            </w:r>
            <w:r>
              <w:rPr>
                <w:rFonts w:ascii="仿宋_GB2312" w:eastAsia="仿宋_GB2312"/>
                <w:color w:val="000000"/>
                <w:sz w:val="18"/>
                <w:szCs w:val="18"/>
              </w:rPr>
              <w:br w:type="textWrapping"/>
            </w:r>
            <w:r>
              <w:rPr>
                <w:rFonts w:hint="eastAsia" w:ascii="仿宋_GB2312" w:eastAsia="仿宋_GB2312"/>
                <w:color w:val="000000"/>
                <w:sz w:val="18"/>
                <w:szCs w:val="18"/>
              </w:rPr>
              <w:t>“三公经费”变动率</w:t>
            </w:r>
            <w:r>
              <w:rPr>
                <w:rFonts w:hint="eastAsia" w:ascii="仿宋_GB2312" w:eastAsia="仿宋_GB2312"/>
                <w:color w:val="000000"/>
                <w:sz w:val="18"/>
                <w:szCs w:val="18"/>
                <w:lang w:eastAsia="zh-CN"/>
              </w:rPr>
              <w:t>小于</w:t>
            </w:r>
            <w:r>
              <w:rPr>
                <w:rFonts w:ascii="仿宋_GB2312" w:eastAsia="仿宋_GB2312"/>
                <w:color w:val="000000"/>
                <w:sz w:val="18"/>
                <w:szCs w:val="18"/>
              </w:rPr>
              <w:t>0</w:t>
            </w:r>
            <w:r>
              <w:rPr>
                <w:rFonts w:ascii="仿宋_GB2312" w:eastAsia="仿宋_GB2312"/>
                <w:color w:val="000000"/>
                <w:sz w:val="18"/>
                <w:szCs w:val="18"/>
              </w:rPr>
              <w:br w:type="textWrapping"/>
            </w:r>
            <w:r>
              <w:rPr>
                <w:rFonts w:hint="eastAsia" w:ascii="仿宋_GB2312" w:eastAsia="仿宋_GB2312"/>
                <w:color w:val="000000"/>
                <w:sz w:val="18"/>
                <w:szCs w:val="18"/>
              </w:rPr>
              <w:t>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预算调整</w:t>
            </w:r>
            <w:r>
              <w:rPr>
                <w:rFonts w:hint="eastAsia" w:ascii="仿宋_GB2312" w:hAnsi="宋体" w:eastAsia="仿宋_GB2312" w:cs="宋体"/>
                <w:color w:val="000000"/>
                <w:sz w:val="18"/>
                <w:szCs w:val="18"/>
                <w:lang w:val="en-US" w:eastAsia="zh-CN"/>
              </w:rPr>
              <w:t>10%-20</w:t>
            </w:r>
            <w:r>
              <w:rPr>
                <w:rFonts w:ascii="仿宋_GB2312" w:hAnsi="宋体" w:eastAsia="仿宋_GB2312" w:cs="宋体"/>
                <w:color w:val="000000"/>
                <w:sz w:val="18"/>
                <w:szCs w:val="18"/>
              </w:rPr>
              <w:t>%</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有结余但结余不超过上年结转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三公经费预算数</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万元，实际支出</w:t>
            </w:r>
            <w:r>
              <w:rPr>
                <w:rFonts w:hint="eastAsia" w:ascii="仿宋_GB2312" w:eastAsia="仿宋_GB2312"/>
                <w:color w:val="000000"/>
                <w:sz w:val="18"/>
                <w:szCs w:val="18"/>
                <w:lang w:val="en-US" w:eastAsia="zh-CN"/>
              </w:rPr>
              <w:t>0</w:t>
            </w:r>
            <w:r>
              <w:rPr>
                <w:rFonts w:hint="eastAsia" w:ascii="仿宋_GB2312" w:eastAsia="仿宋_GB2312"/>
                <w:color w:val="000000"/>
                <w:sz w:val="18"/>
                <w:szCs w:val="18"/>
              </w:rPr>
              <w:t>万元，三公经费控制率</w:t>
            </w:r>
            <w:r>
              <w:rPr>
                <w:rFonts w:ascii="仿宋_GB2312" w:eastAsia="仿宋_GB2312"/>
                <w:color w:val="000000"/>
                <w:sz w:val="18"/>
                <w:szCs w:val="18"/>
              </w:rPr>
              <w:t>10%</w:t>
            </w:r>
            <w:r>
              <w:rPr>
                <w:rFonts w:hint="eastAsia" w:ascii="仿宋_GB2312" w:eastAsia="仿宋_GB2312"/>
                <w:color w:val="000000"/>
                <w:sz w:val="18"/>
                <w:szCs w:val="18"/>
              </w:rPr>
              <w:t>，三公经费控制率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，得</w:t>
            </w:r>
            <w:r>
              <w:rPr>
                <w:rFonts w:ascii="仿宋_GB2312" w:eastAsia="仿宋_GB2312"/>
                <w:color w:val="000000"/>
                <w:sz w:val="18"/>
                <w:szCs w:val="18"/>
              </w:rPr>
              <w:t>6</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bl>
    <w:p>
      <w:r>
        <w:t xml:space="preserve">     </w:t>
      </w:r>
    </w:p>
    <w:p/>
    <w:p/>
    <w:p/>
    <w:p/>
    <w:p/>
    <w:p/>
    <w:p/>
    <w:p/>
    <w:p/>
    <w:p/>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2019</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w:t>
            </w:r>
            <w:r>
              <w:rPr>
                <w:rFonts w:hint="eastAsia" w:ascii="仿宋_GB2312" w:hAnsi="宋体" w:eastAsia="仿宋_GB2312" w:cs="宋体"/>
                <w:kern w:val="0"/>
                <w:sz w:val="18"/>
                <w:szCs w:val="18"/>
                <w:lang w:val="en-US" w:eastAsia="zh-CN"/>
              </w:rPr>
              <w:t>6</w:t>
            </w:r>
            <w:r>
              <w:rPr>
                <w:rFonts w:ascii="仿宋_GB2312" w:hAnsi="宋体" w:eastAsia="仿宋_GB2312" w:cs="宋体"/>
                <w:kern w:val="0"/>
                <w:sz w:val="18"/>
                <w:szCs w:val="18"/>
              </w:rPr>
              <w:t>%</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pPr>
        <w:spacing w:line="348" w:lineRule="auto"/>
        <w:rPr>
          <w:rFonts w:hint="eastAsia" w:ascii="黑体" w:hAnsi="黑体" w:eastAsia="黑体" w:cs="黑体"/>
          <w:bCs/>
          <w:sz w:val="32"/>
          <w:szCs w:val="32"/>
        </w:rPr>
      </w:pPr>
    </w:p>
    <w:p>
      <w:bookmarkStart w:id="0" w:name="_GoBack"/>
      <w:bookmarkEnd w:id="0"/>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1"/>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NkYzQ5NDc4ZmUwYWI4OTQyOGU4NTYyYjljY2Q3ZGUifQ=="/>
  </w:docVars>
  <w:rsids>
    <w:rsidRoot w:val="00C854FD"/>
    <w:rsid w:val="0000241F"/>
    <w:rsid w:val="00003A9B"/>
    <w:rsid w:val="000056A6"/>
    <w:rsid w:val="00005A3B"/>
    <w:rsid w:val="00005BA8"/>
    <w:rsid w:val="0000610C"/>
    <w:rsid w:val="00014921"/>
    <w:rsid w:val="00036EA4"/>
    <w:rsid w:val="0005701C"/>
    <w:rsid w:val="00073AAF"/>
    <w:rsid w:val="000757F8"/>
    <w:rsid w:val="0007680C"/>
    <w:rsid w:val="00090417"/>
    <w:rsid w:val="00093B20"/>
    <w:rsid w:val="000A0E5C"/>
    <w:rsid w:val="000B12D0"/>
    <w:rsid w:val="000B33C3"/>
    <w:rsid w:val="000B4BEB"/>
    <w:rsid w:val="000B7DCB"/>
    <w:rsid w:val="000E3309"/>
    <w:rsid w:val="000E377B"/>
    <w:rsid w:val="000E61CD"/>
    <w:rsid w:val="00100175"/>
    <w:rsid w:val="00107CC6"/>
    <w:rsid w:val="00122C2E"/>
    <w:rsid w:val="00130C71"/>
    <w:rsid w:val="0014350A"/>
    <w:rsid w:val="001442A2"/>
    <w:rsid w:val="00146C23"/>
    <w:rsid w:val="00151B82"/>
    <w:rsid w:val="00157862"/>
    <w:rsid w:val="001634CA"/>
    <w:rsid w:val="00165E89"/>
    <w:rsid w:val="00167786"/>
    <w:rsid w:val="0017192D"/>
    <w:rsid w:val="001977ED"/>
    <w:rsid w:val="001A21D5"/>
    <w:rsid w:val="001A709B"/>
    <w:rsid w:val="001B0CF4"/>
    <w:rsid w:val="001B1869"/>
    <w:rsid w:val="001B2F7F"/>
    <w:rsid w:val="001B4EA7"/>
    <w:rsid w:val="001C4AD7"/>
    <w:rsid w:val="001C5954"/>
    <w:rsid w:val="001D3E93"/>
    <w:rsid w:val="001E26FB"/>
    <w:rsid w:val="001E39C6"/>
    <w:rsid w:val="001F2104"/>
    <w:rsid w:val="001F4F64"/>
    <w:rsid w:val="002027AC"/>
    <w:rsid w:val="002265B9"/>
    <w:rsid w:val="002318F0"/>
    <w:rsid w:val="00232EF8"/>
    <w:rsid w:val="00235B3A"/>
    <w:rsid w:val="00240F9A"/>
    <w:rsid w:val="00242262"/>
    <w:rsid w:val="00247FCB"/>
    <w:rsid w:val="00250D52"/>
    <w:rsid w:val="00253B1F"/>
    <w:rsid w:val="00254CF8"/>
    <w:rsid w:val="00255404"/>
    <w:rsid w:val="00257104"/>
    <w:rsid w:val="00257206"/>
    <w:rsid w:val="00292AC1"/>
    <w:rsid w:val="0029605B"/>
    <w:rsid w:val="002969D6"/>
    <w:rsid w:val="002A1388"/>
    <w:rsid w:val="002B26F1"/>
    <w:rsid w:val="002B569D"/>
    <w:rsid w:val="002B7EF4"/>
    <w:rsid w:val="002C4D24"/>
    <w:rsid w:val="002D5840"/>
    <w:rsid w:val="002F0D7B"/>
    <w:rsid w:val="002F281E"/>
    <w:rsid w:val="00312339"/>
    <w:rsid w:val="00315C29"/>
    <w:rsid w:val="00317858"/>
    <w:rsid w:val="00321BAB"/>
    <w:rsid w:val="00321D2B"/>
    <w:rsid w:val="0033659F"/>
    <w:rsid w:val="00351AD3"/>
    <w:rsid w:val="00354479"/>
    <w:rsid w:val="00356458"/>
    <w:rsid w:val="0039290C"/>
    <w:rsid w:val="00392F62"/>
    <w:rsid w:val="00394BC2"/>
    <w:rsid w:val="003A2363"/>
    <w:rsid w:val="003A2FC5"/>
    <w:rsid w:val="003B7876"/>
    <w:rsid w:val="003C36DD"/>
    <w:rsid w:val="003D1FD8"/>
    <w:rsid w:val="003E4F5E"/>
    <w:rsid w:val="004036B5"/>
    <w:rsid w:val="00414580"/>
    <w:rsid w:val="004222D1"/>
    <w:rsid w:val="00422E14"/>
    <w:rsid w:val="00430153"/>
    <w:rsid w:val="00432C79"/>
    <w:rsid w:val="0043358D"/>
    <w:rsid w:val="00440BD4"/>
    <w:rsid w:val="004503BD"/>
    <w:rsid w:val="00461395"/>
    <w:rsid w:val="00466871"/>
    <w:rsid w:val="00477933"/>
    <w:rsid w:val="00492BDA"/>
    <w:rsid w:val="004A2B08"/>
    <w:rsid w:val="004A44EA"/>
    <w:rsid w:val="004A51DC"/>
    <w:rsid w:val="004A671C"/>
    <w:rsid w:val="004B76D6"/>
    <w:rsid w:val="004C73DE"/>
    <w:rsid w:val="004D5728"/>
    <w:rsid w:val="004E0A8E"/>
    <w:rsid w:val="004E3BE9"/>
    <w:rsid w:val="004F4339"/>
    <w:rsid w:val="005072C9"/>
    <w:rsid w:val="00513037"/>
    <w:rsid w:val="00516F00"/>
    <w:rsid w:val="005210E6"/>
    <w:rsid w:val="00530E15"/>
    <w:rsid w:val="005314BA"/>
    <w:rsid w:val="005422E5"/>
    <w:rsid w:val="0054679D"/>
    <w:rsid w:val="005477E5"/>
    <w:rsid w:val="00560BC9"/>
    <w:rsid w:val="00563755"/>
    <w:rsid w:val="00566F17"/>
    <w:rsid w:val="00584139"/>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74081"/>
    <w:rsid w:val="00676644"/>
    <w:rsid w:val="006841C9"/>
    <w:rsid w:val="00684A12"/>
    <w:rsid w:val="00684E4B"/>
    <w:rsid w:val="00690485"/>
    <w:rsid w:val="00696545"/>
    <w:rsid w:val="006A5D82"/>
    <w:rsid w:val="006B6330"/>
    <w:rsid w:val="006C1055"/>
    <w:rsid w:val="006D5B93"/>
    <w:rsid w:val="006D65AD"/>
    <w:rsid w:val="006E7307"/>
    <w:rsid w:val="006F5735"/>
    <w:rsid w:val="006F5FD4"/>
    <w:rsid w:val="007204BA"/>
    <w:rsid w:val="007225D2"/>
    <w:rsid w:val="00735258"/>
    <w:rsid w:val="00742DAE"/>
    <w:rsid w:val="007461B3"/>
    <w:rsid w:val="00764B34"/>
    <w:rsid w:val="00774D83"/>
    <w:rsid w:val="007829F0"/>
    <w:rsid w:val="007865A2"/>
    <w:rsid w:val="007C77EE"/>
    <w:rsid w:val="007D5B9F"/>
    <w:rsid w:val="007D63FD"/>
    <w:rsid w:val="007E1392"/>
    <w:rsid w:val="007E6513"/>
    <w:rsid w:val="007F487F"/>
    <w:rsid w:val="00815FBF"/>
    <w:rsid w:val="00840351"/>
    <w:rsid w:val="00841CD0"/>
    <w:rsid w:val="00847D60"/>
    <w:rsid w:val="00860AFD"/>
    <w:rsid w:val="00873CD8"/>
    <w:rsid w:val="008A2E6B"/>
    <w:rsid w:val="008A7515"/>
    <w:rsid w:val="008B4633"/>
    <w:rsid w:val="008C039F"/>
    <w:rsid w:val="008E1F76"/>
    <w:rsid w:val="008E2ACB"/>
    <w:rsid w:val="008E57E1"/>
    <w:rsid w:val="008F5E0B"/>
    <w:rsid w:val="009006A1"/>
    <w:rsid w:val="00900E3F"/>
    <w:rsid w:val="009123D8"/>
    <w:rsid w:val="00925486"/>
    <w:rsid w:val="00946FE7"/>
    <w:rsid w:val="00952065"/>
    <w:rsid w:val="00956508"/>
    <w:rsid w:val="00957360"/>
    <w:rsid w:val="00962EF0"/>
    <w:rsid w:val="00970A24"/>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05B9D"/>
    <w:rsid w:val="00A13259"/>
    <w:rsid w:val="00A16D05"/>
    <w:rsid w:val="00A30E83"/>
    <w:rsid w:val="00A4501D"/>
    <w:rsid w:val="00A51512"/>
    <w:rsid w:val="00A51AA2"/>
    <w:rsid w:val="00A54BCA"/>
    <w:rsid w:val="00A61FD7"/>
    <w:rsid w:val="00A726C3"/>
    <w:rsid w:val="00A76673"/>
    <w:rsid w:val="00A87BCE"/>
    <w:rsid w:val="00A93BD6"/>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65D3D"/>
    <w:rsid w:val="00B92E17"/>
    <w:rsid w:val="00B9518E"/>
    <w:rsid w:val="00BA392F"/>
    <w:rsid w:val="00BB1C78"/>
    <w:rsid w:val="00BB378C"/>
    <w:rsid w:val="00BB3C71"/>
    <w:rsid w:val="00BB6CF4"/>
    <w:rsid w:val="00BD02C0"/>
    <w:rsid w:val="00BD1DDD"/>
    <w:rsid w:val="00C101ED"/>
    <w:rsid w:val="00C11953"/>
    <w:rsid w:val="00C12B4A"/>
    <w:rsid w:val="00C32332"/>
    <w:rsid w:val="00C3281A"/>
    <w:rsid w:val="00C33347"/>
    <w:rsid w:val="00C354BD"/>
    <w:rsid w:val="00C37D62"/>
    <w:rsid w:val="00C704A3"/>
    <w:rsid w:val="00C71B07"/>
    <w:rsid w:val="00C74701"/>
    <w:rsid w:val="00C81D9F"/>
    <w:rsid w:val="00C8229B"/>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0492"/>
    <w:rsid w:val="00D523D6"/>
    <w:rsid w:val="00D54888"/>
    <w:rsid w:val="00D54CCA"/>
    <w:rsid w:val="00D57623"/>
    <w:rsid w:val="00D77EE9"/>
    <w:rsid w:val="00D81B1D"/>
    <w:rsid w:val="00D917CF"/>
    <w:rsid w:val="00D96AE9"/>
    <w:rsid w:val="00DA0456"/>
    <w:rsid w:val="00DB4700"/>
    <w:rsid w:val="00DB5442"/>
    <w:rsid w:val="00DB7907"/>
    <w:rsid w:val="00DC10F5"/>
    <w:rsid w:val="00DD1EB3"/>
    <w:rsid w:val="00DF1C77"/>
    <w:rsid w:val="00E142CB"/>
    <w:rsid w:val="00E241DC"/>
    <w:rsid w:val="00E3477D"/>
    <w:rsid w:val="00E35E48"/>
    <w:rsid w:val="00E40ED6"/>
    <w:rsid w:val="00E4198B"/>
    <w:rsid w:val="00E63914"/>
    <w:rsid w:val="00E95B71"/>
    <w:rsid w:val="00EB35F4"/>
    <w:rsid w:val="00EC2083"/>
    <w:rsid w:val="00EC40AF"/>
    <w:rsid w:val="00EC4115"/>
    <w:rsid w:val="00EC6E79"/>
    <w:rsid w:val="00EC6F27"/>
    <w:rsid w:val="00ED7ACA"/>
    <w:rsid w:val="00EE315F"/>
    <w:rsid w:val="00EE67E1"/>
    <w:rsid w:val="00F30C63"/>
    <w:rsid w:val="00F32262"/>
    <w:rsid w:val="00F435F8"/>
    <w:rsid w:val="00F46C79"/>
    <w:rsid w:val="00F60EC8"/>
    <w:rsid w:val="00F61205"/>
    <w:rsid w:val="00F766DE"/>
    <w:rsid w:val="00F81CBB"/>
    <w:rsid w:val="00F947E3"/>
    <w:rsid w:val="00F9527E"/>
    <w:rsid w:val="00FA6EE7"/>
    <w:rsid w:val="00FB16AF"/>
    <w:rsid w:val="00FB1B08"/>
    <w:rsid w:val="00FB2BA1"/>
    <w:rsid w:val="00FD21C0"/>
    <w:rsid w:val="00FD640B"/>
    <w:rsid w:val="00FD640E"/>
    <w:rsid w:val="00FD708D"/>
    <w:rsid w:val="00FF2D16"/>
    <w:rsid w:val="00FF3258"/>
    <w:rsid w:val="00FF541B"/>
    <w:rsid w:val="00FF605E"/>
    <w:rsid w:val="0118167C"/>
    <w:rsid w:val="042D5069"/>
    <w:rsid w:val="054107B0"/>
    <w:rsid w:val="08724EF8"/>
    <w:rsid w:val="08EB4EA1"/>
    <w:rsid w:val="09612FEB"/>
    <w:rsid w:val="0C5F31D4"/>
    <w:rsid w:val="0C816BCA"/>
    <w:rsid w:val="0D59372F"/>
    <w:rsid w:val="0DDC7AB4"/>
    <w:rsid w:val="120345BF"/>
    <w:rsid w:val="122338FE"/>
    <w:rsid w:val="128736D1"/>
    <w:rsid w:val="12BD0462"/>
    <w:rsid w:val="13D14802"/>
    <w:rsid w:val="1B315BE9"/>
    <w:rsid w:val="1E524D6C"/>
    <w:rsid w:val="1E91399D"/>
    <w:rsid w:val="202F5A3F"/>
    <w:rsid w:val="218E2416"/>
    <w:rsid w:val="231F6615"/>
    <w:rsid w:val="23EA4FC7"/>
    <w:rsid w:val="24266326"/>
    <w:rsid w:val="26976213"/>
    <w:rsid w:val="277F1F44"/>
    <w:rsid w:val="2B4A3852"/>
    <w:rsid w:val="2CA008BB"/>
    <w:rsid w:val="2CDB2E03"/>
    <w:rsid w:val="2F090E05"/>
    <w:rsid w:val="2F947C76"/>
    <w:rsid w:val="30C970B9"/>
    <w:rsid w:val="32AD175A"/>
    <w:rsid w:val="33116B5F"/>
    <w:rsid w:val="338A794D"/>
    <w:rsid w:val="34607C42"/>
    <w:rsid w:val="37562C6E"/>
    <w:rsid w:val="390B0AC4"/>
    <w:rsid w:val="3BB645EB"/>
    <w:rsid w:val="3D290A2E"/>
    <w:rsid w:val="3D4E33D5"/>
    <w:rsid w:val="3E1201FF"/>
    <w:rsid w:val="41264313"/>
    <w:rsid w:val="46CD67B1"/>
    <w:rsid w:val="482644BA"/>
    <w:rsid w:val="4C3C1F60"/>
    <w:rsid w:val="4EB70692"/>
    <w:rsid w:val="4EE20642"/>
    <w:rsid w:val="530028C4"/>
    <w:rsid w:val="54575C3F"/>
    <w:rsid w:val="547D6660"/>
    <w:rsid w:val="569E7770"/>
    <w:rsid w:val="570109B9"/>
    <w:rsid w:val="58806554"/>
    <w:rsid w:val="5953768F"/>
    <w:rsid w:val="5A4B3BCD"/>
    <w:rsid w:val="5CC84698"/>
    <w:rsid w:val="5E1B3339"/>
    <w:rsid w:val="5F11432E"/>
    <w:rsid w:val="63416D0D"/>
    <w:rsid w:val="63930623"/>
    <w:rsid w:val="647911E3"/>
    <w:rsid w:val="6B364C7D"/>
    <w:rsid w:val="6B941287"/>
    <w:rsid w:val="6D4641BE"/>
    <w:rsid w:val="6EED4FF7"/>
    <w:rsid w:val="6FBE7937"/>
    <w:rsid w:val="6FED3976"/>
    <w:rsid w:val="705817F6"/>
    <w:rsid w:val="71FA7CC9"/>
    <w:rsid w:val="72323CC5"/>
    <w:rsid w:val="72376DD1"/>
    <w:rsid w:val="725E4C39"/>
    <w:rsid w:val="72C37759"/>
    <w:rsid w:val="73AB42EF"/>
    <w:rsid w:val="7509693F"/>
    <w:rsid w:val="75B20967"/>
    <w:rsid w:val="78055032"/>
    <w:rsid w:val="797B7842"/>
    <w:rsid w:val="79873CA8"/>
    <w:rsid w:val="799E1670"/>
    <w:rsid w:val="7A7C7503"/>
    <w:rsid w:val="7B762E74"/>
    <w:rsid w:val="7BEE1267"/>
    <w:rsid w:val="7C22291F"/>
    <w:rsid w:val="7C4C461D"/>
    <w:rsid w:val="7CD51E1C"/>
    <w:rsid w:val="7D1B1B51"/>
    <w:rsid w:val="7DAF7934"/>
    <w:rsid w:val="7DC75005"/>
    <w:rsid w:val="7DCF1645"/>
    <w:rsid w:val="7E603E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1"/>
    <w:qFormat/>
    <w:uiPriority w:val="99"/>
    <w:pPr>
      <w:snapToGrid w:val="0"/>
      <w:spacing w:line="360" w:lineRule="auto"/>
      <w:ind w:firstLine="420" w:firstLineChars="100"/>
    </w:pPr>
    <w:rPr>
      <w:sz w:val="28"/>
      <w:szCs w:val="20"/>
    </w:rPr>
  </w:style>
  <w:style w:type="paragraph" w:styleId="3">
    <w:name w:val="Date"/>
    <w:basedOn w:val="1"/>
    <w:next w:val="1"/>
    <w:link w:val="17"/>
    <w:semiHidden/>
    <w:qFormat/>
    <w:uiPriority w:val="99"/>
    <w:pPr>
      <w:ind w:left="100" w:leftChars="2500"/>
    </w:pPr>
  </w:style>
  <w:style w:type="paragraph" w:styleId="4">
    <w:name w:val="Body Text Indent 2"/>
    <w:basedOn w:val="1"/>
    <w:link w:val="18"/>
    <w:semiHidden/>
    <w:qFormat/>
    <w:uiPriority w:val="99"/>
    <w:pPr>
      <w:ind w:firstLine="588" w:firstLineChars="200"/>
    </w:pPr>
    <w:rPr>
      <w:rFonts w:ascii="仿宋_GB2312" w:hAnsi="Calibri" w:eastAsia="仿宋_GB2312"/>
      <w:sz w:val="32"/>
    </w:rPr>
  </w:style>
  <w:style w:type="paragraph" w:styleId="5">
    <w:name w:val="footer"/>
    <w:basedOn w:val="1"/>
    <w:link w:val="16"/>
    <w:semiHidden/>
    <w:qFormat/>
    <w:uiPriority w:val="99"/>
    <w:pPr>
      <w:tabs>
        <w:tab w:val="center" w:pos="4153"/>
        <w:tab w:val="right" w:pos="8306"/>
      </w:tabs>
      <w:snapToGrid w:val="0"/>
      <w:jc w:val="left"/>
    </w:pPr>
    <w:rPr>
      <w:kern w:val="0"/>
      <w:sz w:val="18"/>
      <w:szCs w:val="18"/>
    </w:rPr>
  </w:style>
  <w:style w:type="paragraph" w:styleId="6">
    <w:name w:val="header"/>
    <w:basedOn w:val="1"/>
    <w:link w:val="14"/>
    <w:semiHidden/>
    <w:qFormat/>
    <w:uiPriority w:val="99"/>
    <w:pP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locked/>
    <w:uiPriority w:val="99"/>
    <w:rPr>
      <w:rFonts w:cs="Times New Roman"/>
      <w:b/>
    </w:rPr>
  </w:style>
  <w:style w:type="character" w:styleId="11">
    <w:name w:val="page number"/>
    <w:qFormat/>
    <w:uiPriority w:val="0"/>
  </w:style>
  <w:style w:type="character" w:styleId="12">
    <w:name w:val="FollowedHyperlink"/>
    <w:basedOn w:val="9"/>
    <w:semiHidden/>
    <w:qFormat/>
    <w:uiPriority w:val="99"/>
    <w:rPr>
      <w:rFonts w:cs="Times New Roman"/>
      <w:color w:val="800080"/>
      <w:u w:val="single"/>
    </w:rPr>
  </w:style>
  <w:style w:type="character" w:styleId="13">
    <w:name w:val="Hyperlink"/>
    <w:basedOn w:val="9"/>
    <w:semiHidden/>
    <w:qFormat/>
    <w:uiPriority w:val="99"/>
    <w:rPr>
      <w:rFonts w:cs="Times New Roman"/>
      <w:color w:val="0000FF"/>
      <w:u w:val="single"/>
    </w:rPr>
  </w:style>
  <w:style w:type="character" w:customStyle="1" w:styleId="14">
    <w:name w:val="Header Char"/>
    <w:basedOn w:val="9"/>
    <w:link w:val="6"/>
    <w:semiHidden/>
    <w:qFormat/>
    <w:locked/>
    <w:uiPriority w:val="99"/>
    <w:rPr>
      <w:rFonts w:ascii="Times New Roman" w:hAnsi="Times New Roman" w:eastAsia="宋体" w:cs="Times New Roman"/>
      <w:sz w:val="18"/>
      <w:szCs w:val="18"/>
    </w:rPr>
  </w:style>
  <w:style w:type="character" w:customStyle="1" w:styleId="15">
    <w:name w:val="Footer Char"/>
    <w:basedOn w:val="9"/>
    <w:link w:val="5"/>
    <w:semiHidden/>
    <w:qFormat/>
    <w:locked/>
    <w:uiPriority w:val="99"/>
    <w:rPr>
      <w:rFonts w:ascii="Times New Roman" w:hAnsi="Times New Roman" w:eastAsia="宋体" w:cs="Times New Roman"/>
      <w:kern w:val="0"/>
      <w:sz w:val="18"/>
      <w:szCs w:val="18"/>
    </w:rPr>
  </w:style>
  <w:style w:type="character" w:customStyle="1" w:styleId="16">
    <w:name w:val="页脚 Char"/>
    <w:basedOn w:val="9"/>
    <w:link w:val="5"/>
    <w:semiHidden/>
    <w:qFormat/>
    <w:locked/>
    <w:uiPriority w:val="99"/>
    <w:rPr>
      <w:rFonts w:ascii="Times New Roman" w:hAnsi="Times New Roman" w:eastAsia="宋体" w:cs="Times New Roman"/>
      <w:sz w:val="18"/>
      <w:szCs w:val="18"/>
    </w:rPr>
  </w:style>
  <w:style w:type="character" w:customStyle="1" w:styleId="17">
    <w:name w:val="Date Char"/>
    <w:basedOn w:val="9"/>
    <w:link w:val="3"/>
    <w:semiHidden/>
    <w:qFormat/>
    <w:locked/>
    <w:uiPriority w:val="99"/>
    <w:rPr>
      <w:rFonts w:ascii="Times New Roman" w:hAnsi="Times New Roman" w:eastAsia="宋体" w:cs="Times New Roman"/>
      <w:sz w:val="24"/>
      <w:szCs w:val="24"/>
    </w:rPr>
  </w:style>
  <w:style w:type="character" w:customStyle="1" w:styleId="18">
    <w:name w:val="Body Text Indent 2 Char"/>
    <w:basedOn w:val="9"/>
    <w:link w:val="4"/>
    <w:semiHidden/>
    <w:qFormat/>
    <w:locked/>
    <w:uiPriority w:val="99"/>
    <w:rPr>
      <w:rFonts w:ascii="仿宋_GB2312" w:hAnsi="Calibri" w:eastAsia="仿宋_GB2312" w:cs="Times New Roman"/>
      <w:sz w:val="24"/>
      <w:szCs w:val="24"/>
    </w:rPr>
  </w:style>
  <w:style w:type="paragraph" w:customStyle="1" w:styleId="19">
    <w:name w:val="Char"/>
    <w:basedOn w:val="1"/>
    <w:qFormat/>
    <w:uiPriority w:val="99"/>
    <w:pPr>
      <w:autoSpaceDE w:val="0"/>
      <w:autoSpaceDN w:val="0"/>
      <w:adjustRightInd w:val="0"/>
    </w:pPr>
    <w:rPr>
      <w:rFonts w:ascii="宋体" w:cs="宋体"/>
      <w:kern w:val="0"/>
      <w:sz w:val="20"/>
      <w:szCs w:val="20"/>
      <w:lang w:val="zh-CN"/>
    </w:rPr>
  </w:style>
  <w:style w:type="paragraph" w:customStyle="1" w:styleId="20">
    <w:name w:val="Char1"/>
    <w:basedOn w:val="1"/>
    <w:qFormat/>
    <w:uiPriority w:val="99"/>
    <w:rPr>
      <w:rFonts w:ascii="仿宋_GB2312" w:eastAsia="仿宋_GB2312"/>
      <w:sz w:val="32"/>
    </w:rPr>
  </w:style>
  <w:style w:type="paragraph" w:customStyle="1" w:styleId="21">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22">
    <w:name w:val="标题 3 Char Char"/>
    <w:qFormat/>
    <w:uiPriority w:val="99"/>
    <w:rPr>
      <w:rFonts w:ascii="楷体_GB2312" w:eastAsia="楷体_GB2312"/>
      <w:b/>
      <w:kern w:val="2"/>
      <w:sz w:val="24"/>
      <w:lang w:val="en-US" w:eastAsia="zh-CN"/>
    </w:rPr>
  </w:style>
  <w:style w:type="paragraph" w:customStyle="1" w:styleId="23">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25</Pages>
  <Words>11430</Words>
  <Characters>12167</Characters>
  <Lines>0</Lines>
  <Paragraphs>0</Paragraphs>
  <TotalTime>2</TotalTime>
  <ScaleCrop>false</ScaleCrop>
  <LinksUpToDate>false</LinksUpToDate>
  <CharactersWithSpaces>13232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岳阳县文化馆</cp:lastModifiedBy>
  <dcterms:modified xsi:type="dcterms:W3CDTF">2023-09-27T05:37:49Z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21D13AECFA1440B286FC796AF24FD136</vt:lpwstr>
  </property>
</Properties>
</file>