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ind w:firstLine="634" w:firstLineChars="200"/>
        <w:rPr>
          <w:rFonts w:ascii="黑体" w:hAnsi="黑体" w:eastAsia="黑体" w:cs="黑体"/>
          <w:bCs/>
          <w:sz w:val="32"/>
          <w:szCs w:val="32"/>
        </w:rPr>
      </w:pPr>
      <w:r>
        <w:rPr>
          <w:rFonts w:hint="eastAsia" w:ascii="黑体" w:hAnsi="黑体" w:eastAsia="黑体" w:cs="黑体"/>
          <w:bCs/>
          <w:sz w:val="32"/>
          <w:szCs w:val="32"/>
        </w:rPr>
        <w:t>附件1-1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u w:val="single"/>
        </w:rPr>
        <w:t>岳阳县文化馆</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z w:val="32"/>
          <w:u w:val="single"/>
        </w:rPr>
        <w:t xml:space="preserve">410003         </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rPr>
        <w:t>3年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footerReference r:id="rId3" w:type="default"/>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许春玉</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7627388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kern w:val="0"/>
                <w:sz w:val="24"/>
              </w:rPr>
              <w:t>主要职责是全民艺术普及，其中包括：免费开放、艺术创作、艺术培训、群文活动、民间艺术文化保护传承和挖掘。是政府为了向广大人民群众进行宣传教育，组织辅导群众开展文化活动而设立的公益类事业单位，是当地群众文化艺术活动的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任务1：开展文化惠民打造文化活动品牌；</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任务2：创排复排优秀剧目；</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任务3：加强文化艺术人才培养；</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任务4：加强非物质遗产保护传承和保护；</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一、坚持党的领导，服从服务大局</w:t>
            </w:r>
            <w:r>
              <w:rPr>
                <w:rFonts w:ascii="仿宋_GB2312" w:hAnsi="仿宋_GB2312" w:eastAsia="仿宋_GB2312" w:cs="仿宋_GB2312"/>
                <w:color w:val="000000"/>
                <w:sz w:val="24"/>
              </w:rPr>
              <w:t>;</w:t>
            </w:r>
          </w:p>
          <w:p>
            <w:pPr>
              <w:spacing w:line="580" w:lineRule="exact"/>
              <w:ind w:left="900" w:leftChars="200" w:hanging="480" w:hanging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二、项目建设来势迅猛、艺术创作硕果累累、公共服务大幅提升、惠民活动蓬勃开展、遗产保护亮点纷呈</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691.20</w:t>
            </w:r>
          </w:p>
        </w:tc>
        <w:tc>
          <w:tcPr>
            <w:tcW w:w="1355" w:type="dxa"/>
            <w:gridSpan w:val="2"/>
            <w:tcBorders>
              <w:lef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p>
        </w:tc>
        <w:tc>
          <w:tcPr>
            <w:tcW w:w="1080" w:type="dxa"/>
            <w:gridSpan w:val="2"/>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566.53</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671.63</w:t>
            </w:r>
          </w:p>
        </w:tc>
        <w:tc>
          <w:tcPr>
            <w:tcW w:w="1355" w:type="dxa"/>
            <w:gridSpan w:val="2"/>
            <w:tcBorders>
              <w:lef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546.46</w:t>
            </w:r>
          </w:p>
        </w:tc>
        <w:tc>
          <w:tcPr>
            <w:tcW w:w="1080" w:type="dxa"/>
            <w:gridSpan w:val="2"/>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417.77</w:t>
            </w:r>
          </w:p>
        </w:tc>
        <w:tc>
          <w:tcPr>
            <w:tcW w:w="2160" w:type="dxa"/>
            <w:gridSpan w:val="4"/>
            <w:tcMar>
              <w:top w:w="0"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128.69</w:t>
            </w:r>
          </w:p>
        </w:tc>
        <w:tc>
          <w:tcPr>
            <w:tcW w:w="1080" w:type="dxa"/>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125.17</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19.57</w:t>
            </w:r>
          </w:p>
        </w:tc>
        <w:tc>
          <w:tcPr>
            <w:tcW w:w="625" w:type="dxa"/>
            <w:tcBorders>
              <w:lef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19.57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0.26</w:t>
            </w:r>
          </w:p>
        </w:tc>
        <w:tc>
          <w:tcPr>
            <w:tcW w:w="1355" w:type="dxa"/>
            <w:gridSpan w:val="2"/>
            <w:tcBorders>
              <w:lef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0.26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257.95</w:t>
            </w:r>
          </w:p>
        </w:tc>
        <w:tc>
          <w:tcPr>
            <w:tcW w:w="2435" w:type="dxa"/>
            <w:gridSpan w:val="4"/>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257.95</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目标1：促进城乡文化繁荣发展</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目标2：三馆全面实施全免费开放，非物文化遗产得到保护</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目标3：完成青少年艺术培训。</w:t>
            </w:r>
          </w:p>
          <w:p>
            <w:pPr>
              <w:autoSpaceDN w:val="0"/>
              <w:spacing w:line="320" w:lineRule="exact"/>
              <w:jc w:val="center"/>
              <w:textAlignment w:val="center"/>
              <w:rPr>
                <w:rFonts w:ascii="仿宋_GB2312" w:hAnsi="仿宋_GB2312" w:eastAsia="仿宋_GB2312" w:cs="仿宋_GB2312"/>
                <w:color w:val="000000"/>
                <w:sz w:val="24"/>
              </w:rPr>
            </w:pP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优化公共文化服务效能，提升公共文化服务品质。</w:t>
            </w:r>
          </w:p>
        </w:tc>
        <w:tc>
          <w:tcPr>
            <w:tcW w:w="2684" w:type="dxa"/>
            <w:gridSpan w:val="6"/>
            <w:tcMar>
              <w:top w:w="0" w:type="dxa"/>
              <w:left w:w="15" w:type="dxa"/>
              <w:bottom w:w="0" w:type="dxa"/>
              <w:right w:w="15" w:type="dxa"/>
            </w:tcMar>
            <w:vAlign w:val="center"/>
          </w:tcPr>
          <w:p>
            <w:pPr>
              <w:spacing w:line="400" w:lineRule="exact"/>
              <w:jc w:val="center"/>
              <w:textAlignment w:val="center"/>
              <w:rPr>
                <w:rFonts w:ascii="仿宋_GB2312" w:hAnsi="仿宋_GB2312" w:eastAsia="仿宋_GB2312" w:cs="仿宋_GB2312"/>
                <w:b/>
                <w:color w:val="000000"/>
                <w:sz w:val="24"/>
              </w:rPr>
            </w:pPr>
            <w:r>
              <w:rPr>
                <w:rFonts w:hint="eastAsia" w:ascii="仿宋" w:hAnsi="仿宋" w:eastAsia="仿宋" w:cs="仿宋"/>
                <w:kern w:val="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打造文化活动品牌</w:t>
            </w:r>
          </w:p>
        </w:tc>
        <w:tc>
          <w:tcPr>
            <w:tcW w:w="2684" w:type="dxa"/>
            <w:gridSpan w:val="6"/>
            <w:tcMar>
              <w:top w:w="0" w:type="dxa"/>
              <w:left w:w="15" w:type="dxa"/>
              <w:bottom w:w="0" w:type="dxa"/>
              <w:right w:w="15" w:type="dxa"/>
            </w:tcMar>
            <w:vAlign w:val="center"/>
          </w:tcPr>
          <w:p>
            <w:pPr>
              <w:spacing w:line="400" w:lineRule="exact"/>
              <w:jc w:val="center"/>
              <w:textAlignment w:val="center"/>
              <w:rPr>
                <w:rFonts w:ascii="仿宋_GB2312" w:eastAsia="仿宋_GB2312"/>
                <w:color w:val="000000"/>
                <w:sz w:val="24"/>
              </w:rPr>
            </w:pPr>
            <w:r>
              <w:rPr>
                <w:rFonts w:hint="eastAsia" w:ascii="仿宋_GB2312" w:eastAsia="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送戏下乡1</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tcPr>
          <w:p>
            <w:pPr>
              <w:jc w:val="center"/>
              <w:rPr>
                <w:rFonts w:ascii="仿宋_GB2312" w:eastAsia="仿宋_GB2312"/>
                <w:color w:val="000000"/>
                <w:sz w:val="24"/>
              </w:rPr>
            </w:pPr>
            <w:r>
              <w:rPr>
                <w:rFonts w:hint="eastAsia" w:ascii="仿宋_GB2312" w:eastAsia="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非物质文化遗产保护调研5次以上</w:t>
            </w:r>
          </w:p>
        </w:tc>
        <w:tc>
          <w:tcPr>
            <w:tcW w:w="2684" w:type="dxa"/>
            <w:gridSpan w:val="6"/>
            <w:tcMar>
              <w:top w:w="0" w:type="dxa"/>
              <w:left w:w="15" w:type="dxa"/>
              <w:bottom w:w="0" w:type="dxa"/>
              <w:right w:w="15" w:type="dxa"/>
            </w:tcMar>
          </w:tcPr>
          <w:p>
            <w:pPr>
              <w:jc w:val="center"/>
              <w:rPr>
                <w:rFonts w:ascii="仿宋_GB2312" w:eastAsia="仿宋_GB2312"/>
                <w:color w:val="000000"/>
                <w:sz w:val="24"/>
              </w:rPr>
            </w:pPr>
            <w:r>
              <w:rPr>
                <w:rFonts w:hint="eastAsia" w:ascii="仿宋_GB2312" w:eastAsia="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widowControl/>
              <w:spacing w:line="360" w:lineRule="exact"/>
              <w:jc w:val="center"/>
              <w:rPr>
                <w:rFonts w:ascii="仿宋" w:hAnsi="仿宋" w:eastAsia="仿宋" w:cs="仿宋"/>
                <w:kern w:val="0"/>
                <w:sz w:val="24"/>
              </w:rPr>
            </w:pPr>
            <w:r>
              <w:rPr>
                <w:rFonts w:hint="eastAsia" w:ascii="仿宋" w:hAnsi="仿宋" w:eastAsia="仿宋" w:cs="仿宋"/>
                <w:kern w:val="0"/>
                <w:sz w:val="24"/>
              </w:rPr>
              <w:t>馆舍每天免费对外开放8小时</w:t>
            </w:r>
          </w:p>
          <w:p>
            <w:pPr>
              <w:autoSpaceDN w:val="0"/>
              <w:spacing w:line="320" w:lineRule="exact"/>
              <w:jc w:val="center"/>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tcPr>
          <w:p>
            <w:pPr>
              <w:jc w:val="center"/>
              <w:rPr>
                <w:rFonts w:ascii="仿宋_GB2312" w:eastAsia="仿宋_GB2312"/>
                <w:color w:val="000000"/>
                <w:sz w:val="24"/>
              </w:rPr>
            </w:pPr>
            <w:r>
              <w:rPr>
                <w:rFonts w:hint="eastAsia" w:ascii="仿宋_GB2312" w:eastAsia="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widowControl/>
              <w:spacing w:line="360" w:lineRule="exact"/>
              <w:jc w:val="center"/>
              <w:rPr>
                <w:rFonts w:ascii="仿宋" w:hAnsi="仿宋" w:eastAsia="仿宋" w:cs="仿宋"/>
                <w:kern w:val="0"/>
                <w:sz w:val="24"/>
              </w:rPr>
            </w:pPr>
            <w:r>
              <w:rPr>
                <w:rFonts w:hint="eastAsia" w:ascii="仿宋" w:hAnsi="仿宋" w:eastAsia="仿宋" w:cs="仿宋"/>
                <w:kern w:val="0"/>
                <w:sz w:val="24"/>
              </w:rPr>
              <w:t>2022年1月-12月</w:t>
            </w:r>
          </w:p>
        </w:tc>
        <w:tc>
          <w:tcPr>
            <w:tcW w:w="2684" w:type="dxa"/>
            <w:gridSpan w:val="6"/>
            <w:tcMar>
              <w:top w:w="0" w:type="dxa"/>
              <w:left w:w="15" w:type="dxa"/>
              <w:bottom w:w="0" w:type="dxa"/>
              <w:right w:w="15" w:type="dxa"/>
            </w:tcMar>
            <w:vAlign w:val="center"/>
          </w:tcPr>
          <w:p>
            <w:pPr>
              <w:widowControl/>
              <w:spacing w:line="360" w:lineRule="exact"/>
              <w:jc w:val="center"/>
              <w:rPr>
                <w:rFonts w:ascii="仿宋_GB2312" w:eastAsia="仿宋_GB2312"/>
                <w:color w:val="000000"/>
                <w:sz w:val="24"/>
              </w:rPr>
            </w:pPr>
            <w:r>
              <w:rPr>
                <w:rFonts w:hint="eastAsia" w:ascii="仿宋_GB2312" w:eastAsia="仿宋_GB2312"/>
                <w:color w:val="000000"/>
                <w:sz w:val="24"/>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tcPr>
          <w:p>
            <w:pPr>
              <w:jc w:val="center"/>
              <w:rPr>
                <w:sz w:val="24"/>
              </w:rPr>
            </w:pPr>
            <w:r>
              <w:rPr>
                <w:rFonts w:hint="eastAsia" w:ascii="仿宋" w:hAnsi="仿宋" w:eastAsia="仿宋" w:cs="仿宋"/>
                <w:kern w:val="0"/>
                <w:sz w:val="24"/>
              </w:rPr>
              <w:t>节约行政成本和运行费用</w:t>
            </w:r>
          </w:p>
        </w:tc>
        <w:tc>
          <w:tcPr>
            <w:tcW w:w="2684" w:type="dxa"/>
            <w:gridSpan w:val="6"/>
            <w:tcMar>
              <w:top w:w="0" w:type="dxa"/>
              <w:left w:w="15" w:type="dxa"/>
              <w:bottom w:w="0" w:type="dxa"/>
              <w:right w:w="15" w:type="dxa"/>
            </w:tcMar>
          </w:tcPr>
          <w:p>
            <w:pPr>
              <w:jc w:val="center"/>
              <w:rPr>
                <w:rFonts w:ascii="仿宋_GB2312" w:eastAsia="仿宋_GB2312"/>
                <w:color w:val="000000"/>
                <w:sz w:val="24"/>
              </w:rPr>
            </w:pPr>
            <w:r>
              <w:rPr>
                <w:rFonts w:hint="eastAsia" w:ascii="仿宋_GB2312" w:eastAsia="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widowControl/>
              <w:spacing w:line="360" w:lineRule="exact"/>
              <w:jc w:val="center"/>
              <w:rPr>
                <w:rFonts w:ascii="仿宋" w:hAnsi="仿宋" w:eastAsia="仿宋" w:cs="仿宋"/>
                <w:kern w:val="0"/>
                <w:sz w:val="24"/>
              </w:rPr>
            </w:pPr>
            <w:r>
              <w:rPr>
                <w:rFonts w:hint="eastAsia" w:ascii="仿宋" w:hAnsi="仿宋" w:eastAsia="仿宋" w:cs="仿宋"/>
                <w:kern w:val="0"/>
                <w:sz w:val="24"/>
              </w:rPr>
              <w:t>指标1：提升老百姓精神文化生活</w:t>
            </w:r>
          </w:p>
          <w:p>
            <w:pPr>
              <w:widowControl/>
              <w:spacing w:line="360" w:lineRule="exact"/>
              <w:jc w:val="center"/>
              <w:rPr>
                <w:rFonts w:ascii="仿宋" w:hAnsi="仿宋" w:eastAsia="仿宋" w:cs="仿宋"/>
                <w:kern w:val="0"/>
                <w:sz w:val="24"/>
              </w:rPr>
            </w:pPr>
            <w:r>
              <w:rPr>
                <w:rFonts w:hint="eastAsia" w:ascii="仿宋" w:hAnsi="仿宋" w:eastAsia="仿宋" w:cs="仿宋"/>
                <w:kern w:val="0"/>
                <w:sz w:val="24"/>
              </w:rPr>
              <w:t>指标2：提高民众艺术审美能力</w:t>
            </w:r>
          </w:p>
        </w:tc>
        <w:tc>
          <w:tcPr>
            <w:tcW w:w="2684" w:type="dxa"/>
            <w:gridSpan w:val="6"/>
            <w:tcMar>
              <w:top w:w="0" w:type="dxa"/>
              <w:left w:w="15" w:type="dxa"/>
              <w:bottom w:w="0" w:type="dxa"/>
              <w:right w:w="15" w:type="dxa"/>
            </w:tcMar>
            <w:vAlign w:val="center"/>
          </w:tcPr>
          <w:p>
            <w:pPr>
              <w:widowControl/>
              <w:spacing w:line="360" w:lineRule="exact"/>
              <w:jc w:val="center"/>
              <w:rPr>
                <w:rFonts w:ascii="仿宋_GB2312" w:eastAsia="仿宋_GB2312"/>
                <w:color w:val="000000"/>
                <w:sz w:val="24"/>
              </w:rPr>
            </w:pPr>
            <w:r>
              <w:rPr>
                <w:rFonts w:hint="eastAsia" w:ascii="仿宋_GB2312" w:eastAsia="仿宋_GB2312"/>
                <w:color w:val="000000"/>
                <w:sz w:val="24"/>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解决了剩余劳动力的就业，增加了农民收入，全面带动了岳阳县非遗产业的发展</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非遗产业岳州扇等有效利用资源</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center"/>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eastAsia="仿宋_GB2312"/>
                <w:color w:val="000000"/>
                <w:sz w:val="24"/>
              </w:rPr>
            </w:pPr>
            <w:r>
              <w:rPr>
                <w:rFonts w:ascii="仿宋_GB2312" w:eastAsia="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刘望平</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馆长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岳阳县文化馆</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何泱泱</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副馆长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岳阳县文化馆</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许春玉</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岳阳县文化馆</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高启慧</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岳阳县文化馆</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ascii="仿宋_GB2312" w:hAnsi="仿宋_GB2312" w:eastAsia="仿宋_GB2312" w:cs="仿宋_GB2312"/>
          <w:color w:val="000000"/>
          <w:sz w:val="24"/>
        </w:rPr>
        <w:t>许春玉</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rPr>
        <w:t>18207315015</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shd w:val="clear" w:color="auto" w:fill="FFFFFF"/>
              <w:wordWrap w:val="0"/>
              <w:spacing w:line="600" w:lineRule="atLeast"/>
              <w:ind w:firstLine="1120" w:firstLineChars="400"/>
              <w:jc w:val="left"/>
              <w:textAlignment w:val="baseline"/>
              <w:rPr>
                <w:rFonts w:ascii="仿宋" w:hAnsi="仿宋" w:eastAsia="仿宋" w:cs="仿宋"/>
                <w:sz w:val="28"/>
                <w:szCs w:val="28"/>
              </w:rPr>
            </w:pPr>
            <w:r>
              <w:rPr>
                <w:rFonts w:hint="eastAsia" w:ascii="仿宋" w:hAnsi="仿宋" w:eastAsia="仿宋" w:cs="仿宋"/>
                <w:sz w:val="28"/>
                <w:szCs w:val="28"/>
              </w:rPr>
              <w:t>2022年岳阳县文化馆在编20人，全额拨款事业单位，内设8个股室,其中</w:t>
            </w:r>
            <w:r>
              <w:rPr>
                <w:rFonts w:hint="eastAsia" w:ascii="仿宋" w:hAnsi="仿宋" w:eastAsia="仿宋" w:cs="仿宋"/>
                <w:sz w:val="28"/>
                <w:szCs w:val="28"/>
                <w:highlight w:val="white"/>
                <w:lang w:val="zh-CN"/>
              </w:rPr>
              <w:t>办公室、财务室、花鼓戏剧团、老年大学、非遗办公室、群文活动部、工会办公室、少儿培训学校等。</w:t>
            </w:r>
          </w:p>
          <w:p>
            <w:pPr>
              <w:numPr>
                <w:ilvl w:val="0"/>
                <w:numId w:val="3"/>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 xml:space="preserve"> 2022年岳阳县文化馆整体支出为</w:t>
            </w:r>
            <w:r>
              <w:rPr>
                <w:rFonts w:hint="eastAsia" w:ascii="宋体" w:hAnsi="宋体" w:cs="宋体"/>
                <w:color w:val="000000"/>
                <w:kern w:val="0"/>
                <w:sz w:val="22"/>
                <w:szCs w:val="22"/>
              </w:rPr>
              <w:t>671.63</w:t>
            </w:r>
            <w:r>
              <w:rPr>
                <w:rFonts w:hint="eastAsia" w:ascii="仿宋" w:hAnsi="仿宋" w:eastAsia="仿宋" w:cs="仿宋"/>
                <w:sz w:val="24"/>
              </w:rPr>
              <w:t>万元，包括基本支出</w:t>
            </w:r>
            <w:r>
              <w:rPr>
                <w:rFonts w:hint="eastAsia" w:ascii="宋体" w:hAnsi="宋体" w:cs="宋体"/>
                <w:color w:val="000000"/>
                <w:kern w:val="0"/>
                <w:sz w:val="22"/>
                <w:szCs w:val="22"/>
              </w:rPr>
              <w:t>546.46</w:t>
            </w:r>
            <w:r>
              <w:rPr>
                <w:rFonts w:hint="eastAsia" w:ascii="仿宋" w:hAnsi="仿宋" w:eastAsia="仿宋" w:cs="仿宋"/>
                <w:sz w:val="24"/>
              </w:rPr>
              <w:t>万元，主要用于人员经费支出和日常公用经费支出，项目支出</w:t>
            </w:r>
            <w:r>
              <w:rPr>
                <w:rFonts w:hint="eastAsia" w:ascii="宋体" w:hAnsi="宋体" w:cs="宋体"/>
                <w:color w:val="000000"/>
                <w:kern w:val="0"/>
                <w:sz w:val="22"/>
                <w:szCs w:val="22"/>
              </w:rPr>
              <w:t>125.17万</w:t>
            </w:r>
            <w:r>
              <w:rPr>
                <w:rFonts w:hint="eastAsia" w:ascii="仿宋" w:hAnsi="仿宋" w:eastAsia="仿宋" w:cs="仿宋"/>
                <w:sz w:val="24"/>
              </w:rPr>
              <w:t>元，主要用于非物质文化遗产传承保护和免费开放项目。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rPr>
              <w:t>2022年岳阳县文化馆基本支出</w:t>
            </w:r>
            <w:r>
              <w:rPr>
                <w:rFonts w:hint="eastAsia" w:ascii="仿宋_GB2312" w:hAnsi="仿宋_GB2312" w:eastAsia="仿宋_GB2312" w:cs="仿宋_GB2312"/>
                <w:color w:val="000000"/>
                <w:sz w:val="24"/>
              </w:rPr>
              <w:t>546.46</w:t>
            </w:r>
            <w:r>
              <w:rPr>
                <w:rFonts w:hint="eastAsia" w:ascii="仿宋" w:hAnsi="仿宋" w:eastAsia="仿宋" w:cs="仿宋"/>
                <w:sz w:val="24"/>
              </w:rPr>
              <w:t>万元，包括人员支出</w:t>
            </w:r>
            <w:r>
              <w:rPr>
                <w:rFonts w:hint="eastAsia" w:ascii="宋体" w:hAnsi="宋体" w:cs="宋体"/>
                <w:color w:val="000000"/>
                <w:kern w:val="0"/>
                <w:sz w:val="22"/>
                <w:szCs w:val="22"/>
              </w:rPr>
              <w:t>417.77</w:t>
            </w:r>
            <w:r>
              <w:rPr>
                <w:rFonts w:hint="eastAsia" w:ascii="仿宋" w:hAnsi="仿宋" w:eastAsia="仿宋" w:cs="仿宋"/>
                <w:sz w:val="24"/>
              </w:rPr>
              <w:t>万元，公用经费</w:t>
            </w:r>
            <w:r>
              <w:rPr>
                <w:rFonts w:hint="eastAsia" w:ascii="宋体" w:hAnsi="宋体" w:cs="宋体"/>
                <w:color w:val="000000"/>
                <w:kern w:val="0"/>
                <w:sz w:val="22"/>
                <w:szCs w:val="22"/>
              </w:rPr>
              <w:t>128.69</w:t>
            </w:r>
            <w:r>
              <w:rPr>
                <w:rFonts w:hint="eastAsia" w:ascii="仿宋" w:hAnsi="仿宋" w:eastAsia="仿宋" w:cs="仿宋"/>
                <w:sz w:val="24"/>
              </w:rPr>
              <w:t>万元，其中“三公”经费合计</w:t>
            </w:r>
            <w:r>
              <w:rPr>
                <w:rFonts w:hint="eastAsia" w:ascii="宋体" w:hAnsi="宋体" w:cs="宋体"/>
                <w:color w:val="000000"/>
                <w:kern w:val="0"/>
                <w:sz w:val="22"/>
                <w:szCs w:val="22"/>
              </w:rPr>
              <w:t>0.26</w:t>
            </w:r>
            <w:r>
              <w:rPr>
                <w:rFonts w:hint="eastAsia" w:ascii="仿宋" w:hAnsi="仿宋" w:eastAsia="仿宋" w:cs="仿宋"/>
                <w:sz w:val="24"/>
              </w:rPr>
              <w:t>万元，包括公务接待费</w:t>
            </w:r>
            <w:r>
              <w:rPr>
                <w:rFonts w:hint="eastAsia" w:ascii="宋体" w:hAnsi="宋体" w:cs="宋体"/>
                <w:color w:val="000000"/>
                <w:kern w:val="0"/>
                <w:sz w:val="22"/>
                <w:szCs w:val="22"/>
              </w:rPr>
              <w:t>0.26</w:t>
            </w:r>
            <w:r>
              <w:rPr>
                <w:rFonts w:hint="eastAsia" w:ascii="仿宋" w:hAnsi="仿宋" w:eastAsia="仿宋" w:cs="仿宋"/>
                <w:sz w:val="24"/>
              </w:rPr>
              <w:t>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2022年县财政安排我办项目经费</w:t>
            </w:r>
            <w:r>
              <w:rPr>
                <w:rFonts w:hint="eastAsia" w:ascii="仿宋_GB2312" w:hAnsi="仿宋_GB2312" w:eastAsia="仿宋_GB2312" w:cs="仿宋_GB2312"/>
                <w:color w:val="000000"/>
                <w:sz w:val="24"/>
              </w:rPr>
              <w:t>125.17</w:t>
            </w:r>
            <w:r>
              <w:rPr>
                <w:rFonts w:hint="eastAsia" w:ascii="仿宋_GB2312" w:hAnsi="仿宋_GB2312" w:eastAsia="仿宋_GB2312" w:cs="仿宋_GB2312"/>
                <w:bCs/>
                <w:sz w:val="24"/>
              </w:rPr>
              <w:t>万元，我办实际发生项目支出</w:t>
            </w:r>
            <w:r>
              <w:rPr>
                <w:rFonts w:hint="eastAsia" w:ascii="仿宋_GB2312" w:hAnsi="仿宋_GB2312" w:eastAsia="仿宋_GB2312" w:cs="仿宋_GB2312"/>
                <w:color w:val="000000"/>
                <w:sz w:val="24"/>
              </w:rPr>
              <w:t>125.17</w:t>
            </w:r>
            <w:r>
              <w:rPr>
                <w:rFonts w:hint="eastAsia" w:ascii="仿宋_GB2312" w:hAnsi="仿宋_GB2312" w:eastAsia="仿宋_GB2312" w:cs="仿宋_GB2312"/>
                <w:bCs/>
                <w:sz w:val="24"/>
              </w:rPr>
              <w:t>万元，项目支出安排率为</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exact"/>
              <w:rPr>
                <w:rFonts w:ascii="仿宋_GB2312" w:hAnsi="仿宋_GB2312" w:eastAsia="仿宋_GB2312" w:cs="仿宋_GB2312"/>
                <w:color w:val="2B2B2B"/>
                <w:sz w:val="24"/>
                <w:shd w:val="clear" w:color="auto" w:fill="FFFFFF"/>
              </w:rPr>
            </w:pPr>
            <w:r>
              <w:rPr>
                <w:rFonts w:ascii="仿宋_GB2312" w:hAnsi="仿宋_GB2312" w:eastAsia="仿宋_GB2312" w:cs="仿宋_GB2312"/>
                <w:bCs/>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bCs/>
                <w:sz w:val="24"/>
              </w:rPr>
              <w:t>我办专项资金主要用于</w:t>
            </w:r>
            <w:r>
              <w:rPr>
                <w:rFonts w:hint="eastAsia" w:ascii="仿宋_GB2312" w:hAnsi="仿宋_GB2312" w:eastAsia="仿宋_GB2312" w:cs="仿宋_GB2312"/>
                <w:color w:val="2B2B2B"/>
                <w:sz w:val="24"/>
                <w:shd w:val="clear" w:color="auto" w:fill="FFFFFF"/>
              </w:rPr>
              <w:t>非物质文化遗产传承保护和免费开放项目，</w:t>
            </w:r>
            <w:r>
              <w:rPr>
                <w:rFonts w:hint="eastAsia" w:ascii="仿宋_GB2312" w:hAnsi="仿宋_GB2312" w:eastAsia="仿宋_GB2312" w:cs="仿宋_GB2312"/>
                <w:bCs/>
                <w:sz w:val="24"/>
              </w:rPr>
              <w:t>为保护和传承非物质文化遗产，扩大了社会主义文艺的影响力，丰富市民精神文化生活</w:t>
            </w:r>
            <w:r>
              <w:rPr>
                <w:rFonts w:hint="eastAsia" w:ascii="仿宋_GB2312" w:hAnsi="仿宋_GB2312" w:eastAsia="仿宋_GB2312" w:cs="仿宋_GB2312"/>
                <w:color w:val="2B2B2B"/>
                <w:sz w:val="24"/>
                <w:shd w:val="clear" w:color="auto" w:fill="FFFFFF"/>
              </w:rPr>
              <w:t>提供了坚实保障。支出科目多为印刷费、劳务费、差旅费、场租费等。</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我办专项资金实行专款专用、专项核算，费用支出严格按财务审批程序和项目进度等进行支付。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 xml:space="preserve">      岳阳县文化馆高度重视专项工作，成立项目专班，从项目立项、审查、申报到项目实施，都有专人负责。</w:t>
            </w:r>
          </w:p>
          <w:p>
            <w:pPr>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 xml:space="preserve">      岳阳县文化馆自始自终加强对专项工作的管理，坚信严管理是防患风险的利剑，通过抓管理出成效，促进项目平稳有序推进。</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四、部门（单位）整体支出绩效情况</w:t>
            </w:r>
          </w:p>
          <w:p>
            <w:pPr>
              <w:spacing w:line="600" w:lineRule="exact"/>
              <w:ind w:firstLine="720" w:firstLineChars="300"/>
              <w:rPr>
                <w:rFonts w:ascii="仿宋_GB2312" w:hAnsi="仿宋_GB2312" w:eastAsia="仿宋_GB2312" w:cs="仿宋_GB2312"/>
                <w:bCs/>
                <w:color w:val="2B2B2B"/>
                <w:sz w:val="24"/>
                <w:shd w:val="clear" w:color="auto" w:fill="FFFFFF"/>
              </w:rPr>
            </w:pPr>
            <w:r>
              <w:rPr>
                <w:rFonts w:hint="eastAsia" w:ascii="仿宋_GB2312" w:hAnsi="仿宋_GB2312" w:eastAsia="仿宋_GB2312" w:cs="仿宋_GB2312"/>
                <w:bCs/>
                <w:color w:val="2B2B2B"/>
                <w:sz w:val="24"/>
                <w:shd w:val="clear" w:color="auto" w:fill="FFFFFF"/>
              </w:rPr>
              <w:t>（一）、群文活动出成效；</w:t>
            </w:r>
          </w:p>
          <w:p>
            <w:pPr>
              <w:spacing w:line="600" w:lineRule="exact"/>
              <w:ind w:firstLine="720" w:firstLineChars="300"/>
              <w:rPr>
                <w:rFonts w:hint="default" w:ascii="仿宋_GB2312" w:hAnsi="仿宋_GB2312" w:eastAsia="仿宋_GB2312" w:cs="仿宋_GB2312"/>
                <w:color w:val="2B2B2B"/>
                <w:sz w:val="24"/>
                <w:shd w:val="clear" w:color="auto" w:fill="FFFFFF"/>
                <w:lang w:val="en-US"/>
              </w:rPr>
            </w:pPr>
            <w:r>
              <w:rPr>
                <w:rFonts w:hint="eastAsia" w:ascii="仿宋_GB2312" w:hAnsi="仿宋_GB2312" w:eastAsia="仿宋_GB2312" w:cs="仿宋_GB2312"/>
                <w:color w:val="2B2B2B"/>
                <w:sz w:val="24"/>
                <w:shd w:val="clear" w:color="auto" w:fill="FFFFFF"/>
              </w:rPr>
              <w:t>1.圆满完成“</w:t>
            </w:r>
            <w:r>
              <w:rPr>
                <w:rFonts w:hint="eastAsia" w:ascii="仿宋_GB2312" w:hAnsi="仿宋_GB2312" w:eastAsia="仿宋_GB2312" w:cs="仿宋_GB2312"/>
                <w:color w:val="2B2B2B"/>
                <w:sz w:val="24"/>
                <w:shd w:val="clear" w:color="auto" w:fill="FFFFFF"/>
                <w:lang w:val="en-US" w:eastAsia="zh-CN"/>
              </w:rPr>
              <w:t>家庭助廉·团团圆圆</w:t>
            </w:r>
            <w:r>
              <w:rPr>
                <w:rFonts w:hint="eastAsia" w:ascii="仿宋_GB2312" w:hAnsi="仿宋_GB2312" w:eastAsia="仿宋_GB2312" w:cs="仿宋_GB2312"/>
                <w:color w:val="2B2B2B"/>
                <w:sz w:val="24"/>
                <w:shd w:val="clear" w:color="auto" w:fill="FFFFFF"/>
              </w:rPr>
              <w:t>”</w:t>
            </w:r>
            <w:r>
              <w:rPr>
                <w:rFonts w:hint="eastAsia" w:ascii="仿宋_GB2312" w:hAnsi="仿宋_GB2312" w:eastAsia="仿宋_GB2312" w:cs="仿宋_GB2312"/>
                <w:color w:val="2B2B2B"/>
                <w:sz w:val="24"/>
                <w:shd w:val="clear" w:color="auto" w:fill="FFFFFF"/>
                <w:lang w:val="en-US" w:eastAsia="zh-CN"/>
              </w:rPr>
              <w:t>主题</w:t>
            </w:r>
            <w:r>
              <w:rPr>
                <w:rFonts w:hint="eastAsia" w:ascii="仿宋_GB2312" w:hAnsi="仿宋_GB2312" w:eastAsia="仿宋_GB2312" w:cs="仿宋_GB2312"/>
                <w:color w:val="2B2B2B"/>
                <w:sz w:val="24"/>
                <w:shd w:val="clear" w:color="auto" w:fill="FFFFFF"/>
              </w:rPr>
              <w:t>活动</w:t>
            </w:r>
            <w:r>
              <w:rPr>
                <w:rFonts w:hint="eastAsia" w:ascii="仿宋_GB2312" w:hAnsi="仿宋_GB2312" w:eastAsia="仿宋_GB2312" w:cs="仿宋_GB2312"/>
                <w:color w:val="2B2B2B"/>
                <w:sz w:val="24"/>
                <w:shd w:val="clear" w:color="auto" w:fill="FFFFFF"/>
                <w:lang w:eastAsia="zh-CN"/>
              </w:rPr>
              <w:t>，“</w:t>
            </w:r>
            <w:r>
              <w:rPr>
                <w:rFonts w:hint="eastAsia" w:ascii="仿宋_GB2312" w:hAnsi="仿宋_GB2312" w:eastAsia="仿宋_GB2312" w:cs="仿宋_GB2312"/>
                <w:color w:val="2B2B2B"/>
                <w:sz w:val="24"/>
                <w:shd w:val="clear" w:color="auto" w:fill="FFFFFF"/>
                <w:lang w:val="en-US" w:eastAsia="zh-CN"/>
              </w:rPr>
              <w:t>清廉岳阳县建设展演</w:t>
            </w:r>
            <w:r>
              <w:rPr>
                <w:rFonts w:hint="eastAsia" w:ascii="仿宋_GB2312" w:hAnsi="仿宋_GB2312" w:eastAsia="仿宋_GB2312" w:cs="仿宋_GB2312"/>
                <w:color w:val="2B2B2B"/>
                <w:sz w:val="24"/>
                <w:shd w:val="clear" w:color="auto" w:fill="FFFFFF"/>
                <w:lang w:eastAsia="zh-CN"/>
              </w:rPr>
              <w:t>”</w:t>
            </w:r>
            <w:r>
              <w:rPr>
                <w:rFonts w:hint="eastAsia" w:ascii="仿宋_GB2312" w:hAnsi="仿宋_GB2312" w:eastAsia="仿宋_GB2312" w:cs="仿宋_GB2312"/>
                <w:color w:val="2B2B2B"/>
                <w:sz w:val="24"/>
                <w:shd w:val="clear" w:color="auto" w:fill="FFFFFF"/>
                <w:lang w:val="en-US" w:eastAsia="zh-CN"/>
              </w:rPr>
              <w:t>等，成为全市清廉活动品牌。</w:t>
            </w:r>
          </w:p>
          <w:p>
            <w:pPr>
              <w:spacing w:line="600" w:lineRule="exact"/>
              <w:ind w:firstLine="720" w:firstLineChars="300"/>
              <w:rPr>
                <w:rFonts w:hint="default" w:ascii="仿宋_GB2312" w:hAnsi="仿宋_GB2312" w:eastAsia="仿宋_GB2312" w:cs="仿宋_GB2312"/>
                <w:color w:val="2B2B2B"/>
                <w:sz w:val="24"/>
                <w:shd w:val="clear" w:color="auto" w:fill="FFFFFF"/>
                <w:lang w:val="en-US"/>
              </w:rPr>
            </w:pPr>
            <w:r>
              <w:rPr>
                <w:rFonts w:hint="eastAsia" w:ascii="仿宋_GB2312" w:hAnsi="仿宋_GB2312" w:eastAsia="仿宋_GB2312" w:cs="仿宋_GB2312"/>
                <w:color w:val="2B2B2B"/>
                <w:sz w:val="24"/>
                <w:shd w:val="clear" w:color="auto" w:fill="FFFFFF"/>
              </w:rPr>
              <w:t>2.圆满完成</w:t>
            </w:r>
            <w:r>
              <w:rPr>
                <w:rFonts w:hint="eastAsia" w:ascii="仿宋_GB2312" w:hAnsi="仿宋_GB2312" w:eastAsia="仿宋_GB2312" w:cs="仿宋_GB2312"/>
                <w:color w:val="2B2B2B"/>
                <w:sz w:val="24"/>
                <w:shd w:val="clear" w:color="auto" w:fill="FFFFFF"/>
                <w:lang w:eastAsia="zh-CN"/>
              </w:rPr>
              <w:t>“</w:t>
            </w:r>
            <w:r>
              <w:rPr>
                <w:rFonts w:hint="eastAsia" w:ascii="仿宋_GB2312" w:hAnsi="仿宋_GB2312" w:eastAsia="仿宋_GB2312" w:cs="仿宋_GB2312"/>
                <w:color w:val="2B2B2B"/>
                <w:sz w:val="24"/>
                <w:shd w:val="clear" w:color="auto" w:fill="FFFFFF"/>
                <w:lang w:val="en-US" w:eastAsia="zh-CN"/>
              </w:rPr>
              <w:t>学习宣传贯彻党的二十大精神进基层微巡演</w:t>
            </w:r>
            <w:r>
              <w:rPr>
                <w:rFonts w:hint="eastAsia" w:ascii="仿宋_GB2312" w:hAnsi="仿宋_GB2312" w:eastAsia="仿宋_GB2312" w:cs="仿宋_GB2312"/>
                <w:color w:val="2B2B2B"/>
                <w:sz w:val="24"/>
                <w:shd w:val="clear" w:color="auto" w:fill="FFFFFF"/>
                <w:lang w:eastAsia="zh-CN"/>
              </w:rPr>
              <w:t>”</w:t>
            </w:r>
            <w:r>
              <w:rPr>
                <w:rFonts w:hint="eastAsia" w:ascii="仿宋_GB2312" w:hAnsi="仿宋_GB2312" w:eastAsia="仿宋_GB2312" w:cs="仿宋_GB2312"/>
                <w:color w:val="2B2B2B"/>
                <w:sz w:val="24"/>
                <w:shd w:val="clear" w:color="auto" w:fill="FFFFFF"/>
                <w:lang w:val="en-US" w:eastAsia="zh-CN"/>
              </w:rPr>
              <w:t>15场次，组织“文明进社区”展演活动6场次，“湖南公共文化进村入户·戏曲进乡村”活动80场次。</w:t>
            </w:r>
          </w:p>
          <w:p>
            <w:pPr>
              <w:spacing w:line="600" w:lineRule="exact"/>
              <w:ind w:firstLine="720" w:firstLineChars="300"/>
              <w:rPr>
                <w:rFonts w:hint="default" w:ascii="仿宋_GB2312" w:hAnsi="仿宋_GB2312" w:eastAsia="仿宋_GB2312" w:cs="仿宋_GB2312"/>
                <w:color w:val="2B2B2B"/>
                <w:sz w:val="24"/>
                <w:shd w:val="clear" w:color="auto" w:fill="FFFFFF"/>
                <w:lang w:val="en-US" w:eastAsia="zh-CN"/>
              </w:rPr>
            </w:pPr>
            <w:r>
              <w:rPr>
                <w:rFonts w:hint="eastAsia" w:ascii="仿宋_GB2312" w:hAnsi="仿宋_GB2312" w:eastAsia="仿宋_GB2312" w:cs="仿宋_GB2312"/>
                <w:color w:val="2B2B2B"/>
                <w:sz w:val="24"/>
                <w:shd w:val="clear" w:color="auto" w:fill="FFFFFF"/>
              </w:rPr>
              <w:t>3.圆满完成</w:t>
            </w:r>
            <w:r>
              <w:rPr>
                <w:rFonts w:hint="eastAsia" w:ascii="仿宋_GB2312" w:hAnsi="仿宋_GB2312" w:eastAsia="仿宋_GB2312" w:cs="仿宋_GB2312"/>
                <w:color w:val="2B2B2B"/>
                <w:sz w:val="24"/>
                <w:shd w:val="clear" w:color="auto" w:fill="FFFFFF"/>
                <w:lang w:eastAsia="zh-CN"/>
              </w:rPr>
              <w:t>“</w:t>
            </w:r>
            <w:r>
              <w:rPr>
                <w:rFonts w:hint="eastAsia" w:ascii="仿宋_GB2312" w:hAnsi="仿宋_GB2312" w:eastAsia="仿宋_GB2312" w:cs="仿宋_GB2312"/>
                <w:color w:val="2B2B2B"/>
                <w:sz w:val="24"/>
                <w:shd w:val="clear" w:color="auto" w:fill="FFFFFF"/>
                <w:lang w:val="en-US" w:eastAsia="zh-CN"/>
              </w:rPr>
              <w:t>一元剧场</w:t>
            </w:r>
            <w:r>
              <w:rPr>
                <w:rFonts w:hint="eastAsia" w:ascii="仿宋_GB2312" w:hAnsi="仿宋_GB2312" w:eastAsia="仿宋_GB2312" w:cs="仿宋_GB2312"/>
                <w:color w:val="2B2B2B"/>
                <w:sz w:val="24"/>
                <w:shd w:val="clear" w:color="auto" w:fill="FFFFFF"/>
                <w:lang w:eastAsia="zh-CN"/>
              </w:rPr>
              <w:t>”</w:t>
            </w:r>
            <w:r>
              <w:rPr>
                <w:rFonts w:hint="eastAsia" w:ascii="仿宋_GB2312" w:hAnsi="仿宋_GB2312" w:eastAsia="仿宋_GB2312" w:cs="仿宋_GB2312"/>
                <w:color w:val="2B2B2B"/>
                <w:sz w:val="24"/>
                <w:shd w:val="clear" w:color="auto" w:fill="FFFFFF"/>
              </w:rPr>
              <w:t>惠民</w:t>
            </w:r>
            <w:r>
              <w:rPr>
                <w:rFonts w:hint="eastAsia" w:ascii="仿宋_GB2312" w:hAnsi="仿宋_GB2312" w:eastAsia="仿宋_GB2312" w:cs="仿宋_GB2312"/>
                <w:color w:val="2B2B2B"/>
                <w:sz w:val="24"/>
                <w:shd w:val="clear" w:color="auto" w:fill="FFFFFF"/>
                <w:lang w:val="en-US" w:eastAsia="zh-CN"/>
              </w:rPr>
              <w:t>活动</w:t>
            </w:r>
            <w:r>
              <w:rPr>
                <w:rFonts w:hint="eastAsia" w:ascii="仿宋_GB2312" w:hAnsi="仿宋_GB2312" w:eastAsia="仿宋_GB2312" w:cs="仿宋_GB2312"/>
                <w:color w:val="2B2B2B"/>
                <w:sz w:val="24"/>
                <w:shd w:val="clear" w:color="auto" w:fill="FFFFFF"/>
              </w:rPr>
              <w:t>20</w:t>
            </w:r>
            <w:r>
              <w:rPr>
                <w:rFonts w:hint="eastAsia" w:ascii="仿宋_GB2312" w:hAnsi="仿宋_GB2312" w:eastAsia="仿宋_GB2312" w:cs="仿宋_GB2312"/>
                <w:color w:val="2B2B2B"/>
                <w:sz w:val="24"/>
                <w:shd w:val="clear" w:color="auto" w:fill="FFFFFF"/>
                <w:lang w:val="en-US" w:eastAsia="zh-CN"/>
              </w:rPr>
              <w:t>余</w:t>
            </w:r>
            <w:r>
              <w:rPr>
                <w:rFonts w:hint="eastAsia" w:ascii="仿宋_GB2312" w:hAnsi="仿宋_GB2312" w:eastAsia="仿宋_GB2312" w:cs="仿宋_GB2312"/>
                <w:color w:val="2B2B2B"/>
                <w:sz w:val="24"/>
                <w:shd w:val="clear" w:color="auto" w:fill="FFFFFF"/>
              </w:rPr>
              <w:t>场</w:t>
            </w:r>
            <w:r>
              <w:rPr>
                <w:rFonts w:hint="eastAsia" w:ascii="仿宋_GB2312" w:hAnsi="仿宋_GB2312" w:eastAsia="仿宋_GB2312" w:cs="仿宋_GB2312"/>
                <w:color w:val="2B2B2B"/>
                <w:sz w:val="24"/>
                <w:shd w:val="clear" w:color="auto" w:fill="FFFFFF"/>
                <w:lang w:val="en-US" w:eastAsia="zh-CN"/>
              </w:rPr>
              <w:t>次</w:t>
            </w:r>
            <w:r>
              <w:rPr>
                <w:rFonts w:hint="eastAsia" w:ascii="仿宋_GB2312" w:hAnsi="仿宋_GB2312" w:eastAsia="仿宋_GB2312" w:cs="仿宋_GB2312"/>
                <w:color w:val="2B2B2B"/>
                <w:sz w:val="24"/>
                <w:shd w:val="clear" w:color="auto" w:fill="FFFFFF"/>
              </w:rPr>
              <w:t>，</w:t>
            </w:r>
            <w:r>
              <w:rPr>
                <w:rFonts w:hint="eastAsia" w:ascii="仿宋_GB2312" w:hAnsi="仿宋_GB2312" w:eastAsia="仿宋_GB2312" w:cs="仿宋_GB2312"/>
                <w:color w:val="2B2B2B"/>
                <w:sz w:val="24"/>
                <w:shd w:val="clear" w:color="auto" w:fill="FFFFFF"/>
                <w:lang w:val="en-US" w:eastAsia="zh-CN"/>
              </w:rPr>
              <w:t>一元剧场成为湖湘文化新品牌。</w:t>
            </w:r>
          </w:p>
          <w:p>
            <w:pPr>
              <w:spacing w:line="600" w:lineRule="exact"/>
              <w:ind w:firstLine="720" w:firstLineChars="300"/>
              <w:rPr>
                <w:rFonts w:hint="eastAsia" w:ascii="仿宋_GB2312" w:hAnsi="仿宋_GB2312" w:eastAsia="仿宋_GB2312" w:cs="仿宋_GB2312"/>
                <w:color w:val="2B2B2B"/>
                <w:sz w:val="24"/>
                <w:shd w:val="clear" w:color="auto" w:fill="FFFFFF"/>
                <w:lang w:val="en-US" w:eastAsia="zh-CN"/>
              </w:rPr>
            </w:pPr>
            <w:r>
              <w:rPr>
                <w:rFonts w:hint="eastAsia"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lang w:val="en-US" w:eastAsia="zh-CN"/>
              </w:rPr>
              <w:t>圆满完成“穿越古今·看建时光”湖南岳阳张谷英建筑文化旅游节，5·19中国旅游日岳阳县主题活动，岳阳心墙葡萄旅游文化节等。</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lang w:val="en-US" w:eastAsia="zh-CN"/>
              </w:rPr>
              <w:t>5.</w:t>
            </w:r>
            <w:r>
              <w:rPr>
                <w:rFonts w:hint="eastAsia" w:ascii="仿宋_GB2312" w:hAnsi="仿宋_GB2312" w:eastAsia="仿宋_GB2312" w:cs="仿宋_GB2312"/>
                <w:color w:val="2B2B2B"/>
                <w:sz w:val="24"/>
                <w:shd w:val="clear" w:color="auto" w:fill="FFFFFF"/>
              </w:rPr>
              <w:t>岳阳县“七送一展”志愿服务活动依托传统节日·春节·元宵已续打造六年，</w:t>
            </w:r>
            <w:r>
              <w:rPr>
                <w:rFonts w:hint="eastAsia" w:ascii="仿宋_GB2312" w:hAnsi="仿宋_GB2312" w:eastAsia="仿宋_GB2312" w:cs="仿宋_GB2312"/>
                <w:color w:val="2B2B2B"/>
                <w:sz w:val="24"/>
                <w:shd w:val="clear" w:color="auto" w:fill="FFFFFF"/>
                <w:lang w:val="en-US" w:eastAsia="zh-CN"/>
              </w:rPr>
              <w:t>围绕“社会核心价值观”、“乡村振兴”、“守护一江碧水”等内容，把紧贴时代的文化元素融入，创作了贴近百姓生活的节目。</w:t>
            </w:r>
            <w:r>
              <w:rPr>
                <w:rFonts w:hint="eastAsia" w:ascii="仿宋_GB2312" w:hAnsi="仿宋_GB2312" w:eastAsia="仿宋_GB2312" w:cs="仿宋_GB2312"/>
                <w:color w:val="2B2B2B"/>
                <w:sz w:val="24"/>
                <w:shd w:val="clear" w:color="auto" w:fill="FFFFFF"/>
              </w:rPr>
              <w:t>每年开展15场次左右，历时一个半月完成，已成为老百姓家喻户晓的节日品牌活动。</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bCs/>
                <w:color w:val="2B2B2B"/>
                <w:sz w:val="24"/>
                <w:shd w:val="clear" w:color="auto" w:fill="FFFFFF"/>
              </w:rPr>
              <w:t>（二）</w:t>
            </w:r>
            <w:r>
              <w:rPr>
                <w:rFonts w:hint="eastAsia" w:ascii="仿宋_GB2312" w:hAnsi="仿宋_GB2312" w:eastAsia="仿宋_GB2312" w:cs="仿宋_GB2312"/>
                <w:color w:val="2B2B2B"/>
                <w:sz w:val="24"/>
                <w:shd w:val="clear" w:color="auto" w:fill="FFFFFF"/>
              </w:rPr>
              <w:t>、文艺创作放异彩</w:t>
            </w:r>
          </w:p>
          <w:p>
            <w:pPr>
              <w:spacing w:line="600" w:lineRule="exact"/>
              <w:ind w:firstLine="720" w:firstLineChars="300"/>
              <w:rPr>
                <w:rFonts w:hint="eastAsia"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2022年是文化馆文艺创作收获之年，我馆组织专业人员创作12场次，文艺作品</w:t>
            </w:r>
            <w:r>
              <w:rPr>
                <w:rFonts w:hint="eastAsia" w:ascii="仿宋_GB2312" w:hAnsi="仿宋_GB2312" w:eastAsia="仿宋_GB2312" w:cs="仿宋_GB2312"/>
                <w:color w:val="2B2B2B"/>
                <w:sz w:val="24"/>
                <w:shd w:val="clear" w:color="auto" w:fill="FFFFFF"/>
                <w:lang w:val="en-US" w:eastAsia="zh-CN"/>
              </w:rPr>
              <w:t>10多</w:t>
            </w:r>
            <w:r>
              <w:rPr>
                <w:rFonts w:hint="eastAsia" w:ascii="仿宋_GB2312" w:hAnsi="仿宋_GB2312" w:eastAsia="仿宋_GB2312" w:cs="仿宋_GB2312"/>
                <w:color w:val="2B2B2B"/>
                <w:sz w:val="24"/>
                <w:shd w:val="clear" w:color="auto" w:fill="FFFFFF"/>
              </w:rPr>
              <w:t>件。群舞《又闻花鼓声》、花鼓小戏《风吹稻花香》荣获第七届湖南艺术节“三湘群星奖”最佳作品奖，花鼓小戏《风吹稻花香》还参评第十九届全国群星奖复赛，花鼓小戏《两全其美》、群舞《打秋》等作品入选2022年度全省综合艺术发展资助项目，小品《破镜重圆》获全省禁毒作品大赛三等奖；快板《二十大精神指航程》、《清风起兮廉飞扬》，表演唱《依法维权农民工》、《乡里直播火火火》，音乐作品《十二月望郎》、《春光恋》及传统剧目《泪洒相思地》、《三篙恨》等高质量的文艺作品搬上舞台，满足人民群众日益增长的美好生活需要。</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bCs/>
                <w:color w:val="2B2B2B"/>
                <w:sz w:val="24"/>
                <w:shd w:val="clear" w:color="auto" w:fill="FFFFFF"/>
              </w:rPr>
              <w:t>（三）</w:t>
            </w:r>
            <w:r>
              <w:rPr>
                <w:rFonts w:hint="eastAsia" w:ascii="仿宋_GB2312" w:hAnsi="仿宋_GB2312" w:eastAsia="仿宋_GB2312" w:cs="仿宋_GB2312"/>
                <w:color w:val="2B2B2B"/>
                <w:sz w:val="24"/>
                <w:shd w:val="clear" w:color="auto" w:fill="FFFFFF"/>
              </w:rPr>
              <w:t>公益课堂“育”文化</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1. 依托艺术</w:t>
            </w:r>
            <w:r>
              <w:rPr>
                <w:rFonts w:hint="eastAsia" w:ascii="仿宋_GB2312" w:hAnsi="仿宋_GB2312" w:eastAsia="仿宋_GB2312" w:cs="仿宋_GB2312"/>
                <w:color w:val="2B2B2B"/>
                <w:sz w:val="24"/>
                <w:shd w:val="clear" w:color="auto" w:fill="FFFFFF"/>
                <w:lang w:val="en-US" w:eastAsia="zh-CN"/>
              </w:rPr>
              <w:t>中心</w:t>
            </w:r>
            <w:r>
              <w:rPr>
                <w:rFonts w:hint="eastAsia" w:ascii="仿宋_GB2312" w:hAnsi="仿宋_GB2312" w:eastAsia="仿宋_GB2312" w:cs="仿宋_GB2312"/>
                <w:color w:val="2B2B2B"/>
                <w:sz w:val="24"/>
                <w:shd w:val="clear" w:color="auto" w:fill="FFFFFF"/>
              </w:rPr>
              <w:t>；共设</w:t>
            </w:r>
            <w:r>
              <w:rPr>
                <w:rFonts w:hint="eastAsia" w:ascii="仿宋_GB2312" w:hAnsi="仿宋_GB2312" w:eastAsia="仿宋_GB2312" w:cs="仿宋_GB2312"/>
                <w:color w:val="2B2B2B"/>
                <w:sz w:val="24"/>
                <w:shd w:val="clear" w:color="auto" w:fill="FFFFFF"/>
                <w:lang w:val="en-US" w:eastAsia="zh-CN"/>
              </w:rPr>
              <w:t>舞蹈、音乐、美术等门第10余个艺术普及培训班；同时积极发展舞蹈、合唱、戏曲、民乐等馆办社会文艺团体，</w:t>
            </w:r>
            <w:r>
              <w:rPr>
                <w:rFonts w:hint="eastAsia" w:ascii="仿宋_GB2312" w:hAnsi="仿宋_GB2312" w:eastAsia="仿宋_GB2312" w:cs="仿宋_GB2312"/>
                <w:color w:val="2B2B2B"/>
                <w:sz w:val="24"/>
                <w:shd w:val="clear" w:color="auto" w:fill="FFFFFF"/>
              </w:rPr>
              <w:t>每学期学员常规保有量400多人，坚持周一至周五连续授课，场馆周转率达百分之百。每期为学员举办演出和线上线下作品展览。2022年，文化馆革新办学理念，在基础训练上辅以创作提高，美术班的写生、雅集活动、声乐舞蹈班的演出大大提升了学员的艺术创造能力和审美能力，市民的参与感、获得感、幸福感与日俱增。</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2.依托年度公益培训；每年的金秋季节是我馆“坚定文化自信·提升文化内涵”公益培训季，文化馆组织大专院校教师、县内知名艺术家成立文化志愿服务小分队，进机关、社区/村、学校等地，每年为普通市民、社会公职人员、大专院校及中小学生授课达800课时，服务人次5000余人。让公益培训不仅是一项社会服务，更成为一种时尚。</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bCs/>
                <w:color w:val="2B2B2B"/>
                <w:sz w:val="24"/>
                <w:shd w:val="clear" w:color="auto" w:fill="FFFFFF"/>
              </w:rPr>
              <w:t>（四）</w:t>
            </w:r>
            <w:r>
              <w:rPr>
                <w:rFonts w:hint="eastAsia" w:ascii="仿宋_GB2312" w:hAnsi="仿宋_GB2312" w:eastAsia="仿宋_GB2312" w:cs="仿宋_GB2312"/>
                <w:color w:val="2B2B2B"/>
                <w:sz w:val="24"/>
                <w:shd w:val="clear" w:color="auto" w:fill="FFFFFF"/>
              </w:rPr>
              <w:t>创建基层服务点“种”文化</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开展广场舞培训2场，美术写生辅导4场，艺术送教1场，实现从“育文化”到“种文化”华丽蜕变，让“文化种子”在基层生根发芽、遍地开花。</w:t>
            </w:r>
          </w:p>
          <w:p>
            <w:pPr>
              <w:numPr>
                <w:ilvl w:val="0"/>
                <w:numId w:val="6"/>
              </w:numPr>
              <w:spacing w:line="600" w:lineRule="exact"/>
              <w:ind w:firstLine="720" w:firstLineChars="300"/>
              <w:rPr>
                <w:rFonts w:hint="eastAsia"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非遗保护成亮点</w:t>
            </w:r>
          </w:p>
          <w:p>
            <w:pPr>
              <w:numPr>
                <w:ilvl w:val="0"/>
                <w:numId w:val="0"/>
              </w:numPr>
              <w:spacing w:line="600" w:lineRule="exact"/>
              <w:rPr>
                <w:rFonts w:hint="default" w:ascii="仿宋_GB2312" w:hAnsi="仿宋_GB2312" w:eastAsia="仿宋_GB2312" w:cs="仿宋_GB2312"/>
                <w:color w:val="2B2B2B"/>
                <w:sz w:val="24"/>
                <w:shd w:val="clear" w:color="auto" w:fill="FFFFFF"/>
                <w:lang w:val="en-US" w:eastAsia="zh-CN"/>
              </w:rPr>
            </w:pPr>
            <w:r>
              <w:rPr>
                <w:rFonts w:hint="eastAsia" w:ascii="仿宋_GB2312" w:hAnsi="仿宋_GB2312" w:eastAsia="仿宋_GB2312" w:cs="仿宋_GB2312"/>
                <w:color w:val="2B2B2B"/>
                <w:sz w:val="24"/>
                <w:shd w:val="clear" w:color="auto" w:fill="FFFFFF"/>
                <w:lang w:val="en-US" w:eastAsia="zh-CN"/>
              </w:rPr>
              <w:t xml:space="preserve">      举办了“山乡歌韵”--省级非物质文化遗产--云山山歌展演活动，组织岳州扇参加“三湘非遗风·惊艳全世界”湖南省首届岳阳市旅游发展大会，组织岳阳花鼓戏、云山山歌展演活动，组织岳阳花鼓戏进校园活动，组织岳州扇进社区、进学校传承推广展示活动，组织“岳州花灯”参加首届岳阳市旅游发展大会，组织岳阳花鼓戏、云山山歌等非遗项目参加首届中国·岳阳“洞庭渔火节”非遗展示展演活动等。提升非遗服务承载力，让非遗走进百姓生活。</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（二）财务工作是一个单位的命脉，财务精细化管理要求越来越高，对我单位财务人员工作水平也提出了新的挑战。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（三）会计基础工作还需要不断完善，决算报表数据与单位实际情况存在小误差。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eastAsia="楷体_GB2312"/>
                <w:bCs/>
                <w:sz w:val="28"/>
                <w:szCs w:val="28"/>
              </w:rPr>
            </w:pPr>
            <w:r>
              <w:rPr>
                <w:rFonts w:ascii="黑体" w:hAnsi="黑体" w:eastAsia="黑体" w:cs="黑体"/>
                <w:sz w:val="24"/>
              </w:rPr>
              <w:t xml:space="preserve"> </w:t>
            </w:r>
            <w:r>
              <w:rPr>
                <w:rFonts w:ascii="仿宋_GB2312" w:hAnsi="仿宋_GB2312" w:eastAsia="仿宋_GB2312"/>
                <w:sz w:val="24"/>
              </w:rPr>
              <w:t xml:space="preserve">                                20</w:t>
            </w:r>
            <w:r>
              <w:rPr>
                <w:rFonts w:hint="eastAsia" w:ascii="仿宋_GB2312" w:hAnsi="仿宋_GB2312" w:eastAsia="仿宋_GB2312"/>
                <w:sz w:val="24"/>
              </w:rPr>
              <w:t>23</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tc>
      </w:tr>
    </w:tbl>
    <w:p>
      <w:pPr>
        <w:spacing w:line="348" w:lineRule="auto"/>
        <w:rPr>
          <w:rFonts w:eastAsia="楷体_GB2312"/>
          <w:bCs/>
          <w:sz w:val="28"/>
          <w:szCs w:val="28"/>
        </w:rPr>
      </w:pPr>
    </w:p>
    <w:p>
      <w:pPr>
        <w:rPr>
          <w:rFonts w:ascii="黑体" w:hAnsi="黑体" w:eastAsia="黑体"/>
          <w:sz w:val="32"/>
          <w:szCs w:val="32"/>
        </w:rPr>
      </w:pPr>
      <w:r>
        <w:rPr>
          <w:rFonts w:hint="eastAsia" w:ascii="黑体" w:hAnsi="黑体" w:eastAsia="黑体"/>
          <w:sz w:val="32"/>
          <w:szCs w:val="32"/>
        </w:rPr>
        <w:t>附件1-2</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实有人数控制在人员编制数内，在职人员控制率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149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w:t>
            </w:r>
            <w:r>
              <w:rPr>
                <w:rFonts w:hint="eastAsia" w:ascii="仿宋_GB2312" w:eastAsia="仿宋_GB2312"/>
                <w:color w:val="000000"/>
                <w:sz w:val="18"/>
                <w:szCs w:val="18"/>
              </w:rPr>
              <w:t>小于等于上年度三公经费，</w:t>
            </w:r>
            <w:r>
              <w:rPr>
                <w:rFonts w:ascii="仿宋_GB2312" w:eastAsia="仿宋_GB2312"/>
                <w:color w:val="000000"/>
                <w:sz w:val="18"/>
                <w:szCs w:val="18"/>
              </w:rPr>
              <w:br w:type="textWrapping"/>
            </w:r>
            <w:r>
              <w:rPr>
                <w:rFonts w:hint="eastAsia" w:ascii="仿宋_GB2312" w:eastAsia="仿宋_GB2312"/>
                <w:color w:val="000000"/>
                <w:sz w:val="18"/>
                <w:szCs w:val="18"/>
              </w:rPr>
              <w:t>“三公经费”变动率小于</w:t>
            </w:r>
            <w:r>
              <w:rPr>
                <w:rFonts w:ascii="仿宋_GB2312" w:eastAsia="仿宋_GB2312"/>
                <w:color w:val="000000"/>
                <w:sz w:val="18"/>
                <w:szCs w:val="18"/>
              </w:rPr>
              <w:t>0</w:t>
            </w:r>
            <w:r>
              <w:rPr>
                <w:rFonts w:ascii="仿宋_GB2312" w:eastAsia="仿宋_GB2312"/>
                <w:color w:val="000000"/>
                <w:sz w:val="18"/>
                <w:szCs w:val="18"/>
              </w:rPr>
              <w:br w:type="textWrapping"/>
            </w: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预算调整</w:t>
            </w:r>
            <w:r>
              <w:rPr>
                <w:rFonts w:hint="eastAsia" w:ascii="仿宋_GB2312" w:hAnsi="宋体" w:eastAsia="仿宋_GB2312" w:cs="宋体"/>
                <w:color w:val="000000"/>
                <w:sz w:val="18"/>
                <w:szCs w:val="18"/>
                <w:lang w:val="en-US" w:eastAsia="zh-CN"/>
              </w:rPr>
              <w:t>率为10%</w:t>
            </w:r>
            <w:bookmarkStart w:id="0" w:name="_GoBack"/>
            <w:bookmarkEnd w:id="0"/>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lang w:val="en-US" w:eastAsia="zh-CN"/>
              </w:rPr>
              <w:t>无</w:t>
            </w:r>
            <w:r>
              <w:rPr>
                <w:rFonts w:hint="eastAsia" w:ascii="仿宋_GB2312" w:eastAsia="仿宋_GB2312"/>
                <w:sz w:val="20"/>
                <w:szCs w:val="20"/>
              </w:rPr>
              <w:t>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三公经费小于等于预算数，三公经费控制率</w:t>
            </w:r>
            <w:r>
              <w:rPr>
                <w:rFonts w:ascii="仿宋_GB2312" w:eastAsia="仿宋_GB2312"/>
                <w:color w:val="000000"/>
                <w:sz w:val="18"/>
                <w:szCs w:val="18"/>
              </w:rPr>
              <w:t>10%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pPr>
        <w:spacing w:line="348" w:lineRule="auto"/>
        <w:rPr>
          <w:rFonts w:ascii="黑体" w:hAnsi="黑体" w:eastAsia="黑体" w:cs="黑体"/>
          <w:bCs/>
          <w:sz w:val="32"/>
          <w:szCs w:val="32"/>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0"/>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rPr>
        <w:rFonts w:cs="Times New Roman"/>
      </w:rPr>
    </w:lvl>
  </w:abstractNum>
  <w:abstractNum w:abstractNumId="5">
    <w:nsid w:val="7518BB69"/>
    <w:multiLevelType w:val="singleLevel"/>
    <w:tmpl w:val="7518BB69"/>
    <w:lvl w:ilvl="0" w:tentative="0">
      <w:start w:val="5"/>
      <w:numFmt w:val="chineseCounting"/>
      <w:suff w:val="nothing"/>
      <w:lvlText w:val="（%1）"/>
      <w:lvlJc w:val="left"/>
      <w:rPr>
        <w:rFonts w:hint="eastAsia"/>
      </w:rPr>
    </w:lvl>
  </w:abstractNum>
  <w:num w:numId="1">
    <w:abstractNumId w:val="0"/>
    <w:lvlOverride w:ilvl="0">
      <w:startOverride w:val="1"/>
    </w:lvlOverride>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EzMzY4MzVkZGRhNDJmMDVmZmE2ZDZiM2Q4ZDgyYjAifQ=="/>
  </w:docVars>
  <w:rsids>
    <w:rsidRoot w:val="00C854FD"/>
    <w:rsid w:val="0000241F"/>
    <w:rsid w:val="00003A9B"/>
    <w:rsid w:val="000056A6"/>
    <w:rsid w:val="00005A3B"/>
    <w:rsid w:val="00005BA8"/>
    <w:rsid w:val="0000610C"/>
    <w:rsid w:val="00014921"/>
    <w:rsid w:val="00036EA4"/>
    <w:rsid w:val="0005701C"/>
    <w:rsid w:val="00073AAF"/>
    <w:rsid w:val="000757F8"/>
    <w:rsid w:val="0007680C"/>
    <w:rsid w:val="00090417"/>
    <w:rsid w:val="00093B20"/>
    <w:rsid w:val="000A0E5C"/>
    <w:rsid w:val="000B12D0"/>
    <w:rsid w:val="000B33C3"/>
    <w:rsid w:val="000B4BEB"/>
    <w:rsid w:val="000B7DCB"/>
    <w:rsid w:val="000E3309"/>
    <w:rsid w:val="000E377B"/>
    <w:rsid w:val="000E61CD"/>
    <w:rsid w:val="00100175"/>
    <w:rsid w:val="00107CC6"/>
    <w:rsid w:val="00122C2E"/>
    <w:rsid w:val="00130C71"/>
    <w:rsid w:val="0014350A"/>
    <w:rsid w:val="001442A2"/>
    <w:rsid w:val="00146C23"/>
    <w:rsid w:val="00151B82"/>
    <w:rsid w:val="00157862"/>
    <w:rsid w:val="001634CA"/>
    <w:rsid w:val="00165E89"/>
    <w:rsid w:val="00167786"/>
    <w:rsid w:val="0017192D"/>
    <w:rsid w:val="001977ED"/>
    <w:rsid w:val="001A21D5"/>
    <w:rsid w:val="001A709B"/>
    <w:rsid w:val="001A7E1F"/>
    <w:rsid w:val="001B0AFF"/>
    <w:rsid w:val="001B0CF4"/>
    <w:rsid w:val="001B1869"/>
    <w:rsid w:val="001B2F7F"/>
    <w:rsid w:val="001B4EA7"/>
    <w:rsid w:val="001C4AD7"/>
    <w:rsid w:val="001C5954"/>
    <w:rsid w:val="001D3E93"/>
    <w:rsid w:val="001E26FB"/>
    <w:rsid w:val="001E39C6"/>
    <w:rsid w:val="001F2104"/>
    <w:rsid w:val="001F4F64"/>
    <w:rsid w:val="002027AC"/>
    <w:rsid w:val="002265B9"/>
    <w:rsid w:val="002318F0"/>
    <w:rsid w:val="00232EF8"/>
    <w:rsid w:val="00235B3A"/>
    <w:rsid w:val="00237EE3"/>
    <w:rsid w:val="00240F9A"/>
    <w:rsid w:val="00242262"/>
    <w:rsid w:val="00247FCB"/>
    <w:rsid w:val="00250D52"/>
    <w:rsid w:val="00253B1F"/>
    <w:rsid w:val="00254CF8"/>
    <w:rsid w:val="00255404"/>
    <w:rsid w:val="00257104"/>
    <w:rsid w:val="00257206"/>
    <w:rsid w:val="00292AC1"/>
    <w:rsid w:val="0029605B"/>
    <w:rsid w:val="002969D6"/>
    <w:rsid w:val="002A1388"/>
    <w:rsid w:val="002B26F1"/>
    <w:rsid w:val="002B569D"/>
    <w:rsid w:val="002B7EF4"/>
    <w:rsid w:val="002C4D24"/>
    <w:rsid w:val="002D5840"/>
    <w:rsid w:val="002F0D7B"/>
    <w:rsid w:val="002F281E"/>
    <w:rsid w:val="00312339"/>
    <w:rsid w:val="00315C29"/>
    <w:rsid w:val="00317858"/>
    <w:rsid w:val="00321BAB"/>
    <w:rsid w:val="00321D2B"/>
    <w:rsid w:val="0033659F"/>
    <w:rsid w:val="00350A68"/>
    <w:rsid w:val="00351AD3"/>
    <w:rsid w:val="00354479"/>
    <w:rsid w:val="00356458"/>
    <w:rsid w:val="00374217"/>
    <w:rsid w:val="0039290C"/>
    <w:rsid w:val="00392F62"/>
    <w:rsid w:val="00394BC2"/>
    <w:rsid w:val="003A2363"/>
    <w:rsid w:val="003A2FC5"/>
    <w:rsid w:val="003B23A4"/>
    <w:rsid w:val="003B7876"/>
    <w:rsid w:val="003C36DD"/>
    <w:rsid w:val="003D1FD8"/>
    <w:rsid w:val="003E4F5E"/>
    <w:rsid w:val="004036B5"/>
    <w:rsid w:val="00414580"/>
    <w:rsid w:val="004222D1"/>
    <w:rsid w:val="00422E14"/>
    <w:rsid w:val="00430153"/>
    <w:rsid w:val="00432C79"/>
    <w:rsid w:val="0043358D"/>
    <w:rsid w:val="00440BD4"/>
    <w:rsid w:val="004503BD"/>
    <w:rsid w:val="00461395"/>
    <w:rsid w:val="00466871"/>
    <w:rsid w:val="00477933"/>
    <w:rsid w:val="00492BDA"/>
    <w:rsid w:val="004A2B08"/>
    <w:rsid w:val="004A44EA"/>
    <w:rsid w:val="004A51DC"/>
    <w:rsid w:val="004A671C"/>
    <w:rsid w:val="004B76D6"/>
    <w:rsid w:val="004C73DE"/>
    <w:rsid w:val="004D5728"/>
    <w:rsid w:val="004E0A8E"/>
    <w:rsid w:val="004E3BE9"/>
    <w:rsid w:val="004F4339"/>
    <w:rsid w:val="005072C9"/>
    <w:rsid w:val="00513037"/>
    <w:rsid w:val="00516F00"/>
    <w:rsid w:val="005210E6"/>
    <w:rsid w:val="00522067"/>
    <w:rsid w:val="00530E15"/>
    <w:rsid w:val="005314BA"/>
    <w:rsid w:val="005422E5"/>
    <w:rsid w:val="0054679D"/>
    <w:rsid w:val="005477E5"/>
    <w:rsid w:val="00560BC9"/>
    <w:rsid w:val="00563755"/>
    <w:rsid w:val="00566F17"/>
    <w:rsid w:val="00584139"/>
    <w:rsid w:val="0058432F"/>
    <w:rsid w:val="005865B1"/>
    <w:rsid w:val="005954F8"/>
    <w:rsid w:val="005A3532"/>
    <w:rsid w:val="005B4076"/>
    <w:rsid w:val="005C1690"/>
    <w:rsid w:val="005C50B2"/>
    <w:rsid w:val="005C68D7"/>
    <w:rsid w:val="005D00EB"/>
    <w:rsid w:val="005E2BC7"/>
    <w:rsid w:val="005F6DB6"/>
    <w:rsid w:val="005F7931"/>
    <w:rsid w:val="00607401"/>
    <w:rsid w:val="006320B1"/>
    <w:rsid w:val="0064544F"/>
    <w:rsid w:val="00664E76"/>
    <w:rsid w:val="00674081"/>
    <w:rsid w:val="00676644"/>
    <w:rsid w:val="006841C9"/>
    <w:rsid w:val="00684A12"/>
    <w:rsid w:val="00684E4B"/>
    <w:rsid w:val="00690485"/>
    <w:rsid w:val="00696545"/>
    <w:rsid w:val="006A5D82"/>
    <w:rsid w:val="006B6330"/>
    <w:rsid w:val="006C1055"/>
    <w:rsid w:val="006D5B93"/>
    <w:rsid w:val="006D65AD"/>
    <w:rsid w:val="006E7307"/>
    <w:rsid w:val="006F1BB1"/>
    <w:rsid w:val="006F5735"/>
    <w:rsid w:val="006F5FD4"/>
    <w:rsid w:val="007204BA"/>
    <w:rsid w:val="007225D2"/>
    <w:rsid w:val="00735258"/>
    <w:rsid w:val="00742DAE"/>
    <w:rsid w:val="007461B3"/>
    <w:rsid w:val="00764B34"/>
    <w:rsid w:val="00774D83"/>
    <w:rsid w:val="007829F0"/>
    <w:rsid w:val="007865A2"/>
    <w:rsid w:val="007C77EE"/>
    <w:rsid w:val="007D1719"/>
    <w:rsid w:val="007D5B9F"/>
    <w:rsid w:val="007D63FD"/>
    <w:rsid w:val="007E1392"/>
    <w:rsid w:val="007E6513"/>
    <w:rsid w:val="007E75E6"/>
    <w:rsid w:val="007F487F"/>
    <w:rsid w:val="00815FBF"/>
    <w:rsid w:val="00840351"/>
    <w:rsid w:val="00841CD0"/>
    <w:rsid w:val="00847D60"/>
    <w:rsid w:val="00860AFD"/>
    <w:rsid w:val="00873CD8"/>
    <w:rsid w:val="00885D16"/>
    <w:rsid w:val="008A2E6B"/>
    <w:rsid w:val="008A7515"/>
    <w:rsid w:val="008B4633"/>
    <w:rsid w:val="008C039F"/>
    <w:rsid w:val="008E1F76"/>
    <w:rsid w:val="008E2ACB"/>
    <w:rsid w:val="008E57E1"/>
    <w:rsid w:val="008F5E0B"/>
    <w:rsid w:val="00900506"/>
    <w:rsid w:val="009006A1"/>
    <w:rsid w:val="00900E3F"/>
    <w:rsid w:val="009123D8"/>
    <w:rsid w:val="00925486"/>
    <w:rsid w:val="00945DC3"/>
    <w:rsid w:val="00946FE7"/>
    <w:rsid w:val="00952065"/>
    <w:rsid w:val="00956508"/>
    <w:rsid w:val="00957360"/>
    <w:rsid w:val="00962EF0"/>
    <w:rsid w:val="00970A24"/>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1C1F"/>
    <w:rsid w:val="009F3479"/>
    <w:rsid w:val="00A05B9D"/>
    <w:rsid w:val="00A13259"/>
    <w:rsid w:val="00A16D05"/>
    <w:rsid w:val="00A30E83"/>
    <w:rsid w:val="00A4501D"/>
    <w:rsid w:val="00A51512"/>
    <w:rsid w:val="00A51AA2"/>
    <w:rsid w:val="00A54BCA"/>
    <w:rsid w:val="00A61FD7"/>
    <w:rsid w:val="00A726C3"/>
    <w:rsid w:val="00A76673"/>
    <w:rsid w:val="00A87BCE"/>
    <w:rsid w:val="00A93BD6"/>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65D3D"/>
    <w:rsid w:val="00B92E17"/>
    <w:rsid w:val="00B9518E"/>
    <w:rsid w:val="00BA392F"/>
    <w:rsid w:val="00BB1C78"/>
    <w:rsid w:val="00BB378C"/>
    <w:rsid w:val="00BB3C71"/>
    <w:rsid w:val="00BB6CF4"/>
    <w:rsid w:val="00BD02C0"/>
    <w:rsid w:val="00BD1DDD"/>
    <w:rsid w:val="00C101ED"/>
    <w:rsid w:val="00C11953"/>
    <w:rsid w:val="00C12B4A"/>
    <w:rsid w:val="00C32332"/>
    <w:rsid w:val="00C3281A"/>
    <w:rsid w:val="00C33347"/>
    <w:rsid w:val="00C354BD"/>
    <w:rsid w:val="00C37D62"/>
    <w:rsid w:val="00C704A3"/>
    <w:rsid w:val="00C71B07"/>
    <w:rsid w:val="00C74701"/>
    <w:rsid w:val="00C81D9F"/>
    <w:rsid w:val="00C8229B"/>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C7BCD"/>
    <w:rsid w:val="00CD1CCF"/>
    <w:rsid w:val="00CE54A6"/>
    <w:rsid w:val="00CE5516"/>
    <w:rsid w:val="00D22353"/>
    <w:rsid w:val="00D255AA"/>
    <w:rsid w:val="00D2793C"/>
    <w:rsid w:val="00D37C32"/>
    <w:rsid w:val="00D42C80"/>
    <w:rsid w:val="00D50492"/>
    <w:rsid w:val="00D523D6"/>
    <w:rsid w:val="00D54888"/>
    <w:rsid w:val="00D54CCA"/>
    <w:rsid w:val="00D57623"/>
    <w:rsid w:val="00D77EE9"/>
    <w:rsid w:val="00D81B1D"/>
    <w:rsid w:val="00D917CF"/>
    <w:rsid w:val="00D96AE9"/>
    <w:rsid w:val="00DA0456"/>
    <w:rsid w:val="00DB4700"/>
    <w:rsid w:val="00DB5442"/>
    <w:rsid w:val="00DB7907"/>
    <w:rsid w:val="00DC10F5"/>
    <w:rsid w:val="00DD1EB3"/>
    <w:rsid w:val="00DD7EFE"/>
    <w:rsid w:val="00DF1C77"/>
    <w:rsid w:val="00E142CB"/>
    <w:rsid w:val="00E241DC"/>
    <w:rsid w:val="00E3477D"/>
    <w:rsid w:val="00E35E48"/>
    <w:rsid w:val="00E40ED6"/>
    <w:rsid w:val="00E4198B"/>
    <w:rsid w:val="00E63914"/>
    <w:rsid w:val="00E95B71"/>
    <w:rsid w:val="00EA0DC4"/>
    <w:rsid w:val="00EB35F4"/>
    <w:rsid w:val="00EC2083"/>
    <w:rsid w:val="00EC40AF"/>
    <w:rsid w:val="00EC4115"/>
    <w:rsid w:val="00EC6E79"/>
    <w:rsid w:val="00EC6F27"/>
    <w:rsid w:val="00ED7ACA"/>
    <w:rsid w:val="00EE315F"/>
    <w:rsid w:val="00EE67E1"/>
    <w:rsid w:val="00F30C63"/>
    <w:rsid w:val="00F32262"/>
    <w:rsid w:val="00F435F8"/>
    <w:rsid w:val="00F46C79"/>
    <w:rsid w:val="00F60EC8"/>
    <w:rsid w:val="00F61205"/>
    <w:rsid w:val="00F766DE"/>
    <w:rsid w:val="00F81CBB"/>
    <w:rsid w:val="00F947E3"/>
    <w:rsid w:val="00F9527E"/>
    <w:rsid w:val="00F95E89"/>
    <w:rsid w:val="00FA6EE7"/>
    <w:rsid w:val="00FB16AF"/>
    <w:rsid w:val="00FB1B08"/>
    <w:rsid w:val="00FB2BA1"/>
    <w:rsid w:val="00FD21C0"/>
    <w:rsid w:val="00FD640B"/>
    <w:rsid w:val="00FD640E"/>
    <w:rsid w:val="00FD708D"/>
    <w:rsid w:val="00FF2D16"/>
    <w:rsid w:val="00FF3258"/>
    <w:rsid w:val="00FF541B"/>
    <w:rsid w:val="00FF605E"/>
    <w:rsid w:val="0118167C"/>
    <w:rsid w:val="08724EF8"/>
    <w:rsid w:val="09612FEB"/>
    <w:rsid w:val="0C0A42B0"/>
    <w:rsid w:val="0C816BCA"/>
    <w:rsid w:val="0D2E1133"/>
    <w:rsid w:val="0D59372F"/>
    <w:rsid w:val="0DDC7AB4"/>
    <w:rsid w:val="120345BF"/>
    <w:rsid w:val="12BD0462"/>
    <w:rsid w:val="13D14802"/>
    <w:rsid w:val="1E91399D"/>
    <w:rsid w:val="218E2416"/>
    <w:rsid w:val="231F6615"/>
    <w:rsid w:val="23EA4FC7"/>
    <w:rsid w:val="2F090E05"/>
    <w:rsid w:val="30C970B9"/>
    <w:rsid w:val="32AD175A"/>
    <w:rsid w:val="34607C42"/>
    <w:rsid w:val="3BB645EB"/>
    <w:rsid w:val="3E1201FF"/>
    <w:rsid w:val="40212C13"/>
    <w:rsid w:val="46CD67B1"/>
    <w:rsid w:val="482644BA"/>
    <w:rsid w:val="4C3C1F60"/>
    <w:rsid w:val="4EB70692"/>
    <w:rsid w:val="4EE20642"/>
    <w:rsid w:val="547D6660"/>
    <w:rsid w:val="569E7770"/>
    <w:rsid w:val="58806554"/>
    <w:rsid w:val="5CC84698"/>
    <w:rsid w:val="63930623"/>
    <w:rsid w:val="647911E3"/>
    <w:rsid w:val="6B364C7D"/>
    <w:rsid w:val="6D4641BE"/>
    <w:rsid w:val="6EED4FF7"/>
    <w:rsid w:val="6FBE7937"/>
    <w:rsid w:val="6FED3976"/>
    <w:rsid w:val="72323CC5"/>
    <w:rsid w:val="72376DD1"/>
    <w:rsid w:val="725E4C39"/>
    <w:rsid w:val="72C37759"/>
    <w:rsid w:val="73AB42EF"/>
    <w:rsid w:val="75B20967"/>
    <w:rsid w:val="78055032"/>
    <w:rsid w:val="797B7842"/>
    <w:rsid w:val="79873CA8"/>
    <w:rsid w:val="7B762E74"/>
    <w:rsid w:val="7BEE1267"/>
    <w:rsid w:val="7C22291F"/>
    <w:rsid w:val="7C4C461D"/>
    <w:rsid w:val="7CD51E1C"/>
    <w:rsid w:val="7D1B1B51"/>
    <w:rsid w:val="7DAF7934"/>
    <w:rsid w:val="7DC75005"/>
    <w:rsid w:val="7DCF1645"/>
    <w:rsid w:val="7E603E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iPriority w:val="99"/>
    <w:pPr>
      <w:ind w:left="100" w:leftChars="2500"/>
    </w:pPr>
  </w:style>
  <w:style w:type="paragraph" w:styleId="3">
    <w:name w:val="Body Text Indent 2"/>
    <w:basedOn w:val="1"/>
    <w:link w:val="17"/>
    <w:semiHidden/>
    <w:qFormat/>
    <w:uiPriority w:val="99"/>
    <w:pPr>
      <w:ind w:firstLine="588" w:firstLineChars="200"/>
    </w:pPr>
    <w:rPr>
      <w:rFonts w:ascii="仿宋_GB2312" w:hAnsi="Calibri" w:eastAsia="仿宋_GB2312"/>
      <w:sz w:val="32"/>
    </w:rPr>
  </w:style>
  <w:style w:type="paragraph" w:styleId="4">
    <w:name w:val="footer"/>
    <w:basedOn w:val="1"/>
    <w:link w:val="15"/>
    <w:semiHidden/>
    <w:uiPriority w:val="99"/>
    <w:pPr>
      <w:tabs>
        <w:tab w:val="center" w:pos="4153"/>
        <w:tab w:val="right" w:pos="8306"/>
      </w:tabs>
      <w:snapToGrid w:val="0"/>
      <w:jc w:val="left"/>
    </w:pPr>
    <w:rPr>
      <w:kern w:val="0"/>
      <w:sz w:val="18"/>
      <w:szCs w:val="18"/>
    </w:rPr>
  </w:style>
  <w:style w:type="paragraph" w:styleId="5">
    <w:name w:val="header"/>
    <w:basedOn w:val="1"/>
    <w:link w:val="13"/>
    <w:semiHidden/>
    <w:uiPriority w:val="99"/>
    <w:pP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locked/>
    <w:uiPriority w:val="99"/>
    <w:rPr>
      <w:rFonts w:cs="Times New Roman"/>
      <w:b/>
    </w:rPr>
  </w:style>
  <w:style w:type="character" w:styleId="10">
    <w:name w:val="page number"/>
    <w:qFormat/>
    <w:uiPriority w:val="0"/>
  </w:style>
  <w:style w:type="character" w:styleId="11">
    <w:name w:val="FollowedHyperlink"/>
    <w:basedOn w:val="8"/>
    <w:semiHidden/>
    <w:qFormat/>
    <w:uiPriority w:val="99"/>
    <w:rPr>
      <w:rFonts w:cs="Times New Roman"/>
      <w:color w:val="800080"/>
      <w:u w:val="single"/>
    </w:rPr>
  </w:style>
  <w:style w:type="character" w:styleId="12">
    <w:name w:val="Hyperlink"/>
    <w:basedOn w:val="8"/>
    <w:semiHidden/>
    <w:qFormat/>
    <w:uiPriority w:val="99"/>
    <w:rPr>
      <w:rFonts w:cs="Times New Roman"/>
      <w:color w:val="0000FF"/>
      <w:u w:val="single"/>
    </w:rPr>
  </w:style>
  <w:style w:type="character" w:customStyle="1" w:styleId="13">
    <w:name w:val="页眉 Char"/>
    <w:basedOn w:val="8"/>
    <w:link w:val="5"/>
    <w:semiHidden/>
    <w:qFormat/>
    <w:locked/>
    <w:uiPriority w:val="99"/>
    <w:rPr>
      <w:rFonts w:ascii="Times New Roman" w:hAnsi="Times New Roman" w:eastAsia="宋体" w:cs="Times New Roman"/>
      <w:sz w:val="18"/>
      <w:szCs w:val="18"/>
    </w:rPr>
  </w:style>
  <w:style w:type="character" w:customStyle="1" w:styleId="14">
    <w:name w:val="Footer Char"/>
    <w:basedOn w:val="8"/>
    <w:link w:val="4"/>
    <w:semiHidden/>
    <w:qFormat/>
    <w:locked/>
    <w:uiPriority w:val="99"/>
    <w:rPr>
      <w:rFonts w:ascii="Times New Roman" w:hAnsi="Times New Roman" w:eastAsia="宋体" w:cs="Times New Roman"/>
      <w:kern w:val="0"/>
      <w:sz w:val="18"/>
      <w:szCs w:val="18"/>
    </w:rPr>
  </w:style>
  <w:style w:type="character" w:customStyle="1" w:styleId="15">
    <w:name w:val="页脚 Char"/>
    <w:basedOn w:val="8"/>
    <w:link w:val="4"/>
    <w:semiHidden/>
    <w:qFormat/>
    <w:locked/>
    <w:uiPriority w:val="99"/>
    <w:rPr>
      <w:rFonts w:ascii="Times New Roman" w:hAnsi="Times New Roman" w:eastAsia="宋体" w:cs="Times New Roman"/>
      <w:sz w:val="18"/>
      <w:szCs w:val="18"/>
    </w:rPr>
  </w:style>
  <w:style w:type="character" w:customStyle="1" w:styleId="16">
    <w:name w:val="日期 Char"/>
    <w:basedOn w:val="8"/>
    <w:link w:val="2"/>
    <w:semiHidden/>
    <w:qFormat/>
    <w:locked/>
    <w:uiPriority w:val="99"/>
    <w:rPr>
      <w:rFonts w:ascii="Times New Roman" w:hAnsi="Times New Roman" w:eastAsia="宋体" w:cs="Times New Roman"/>
      <w:sz w:val="24"/>
      <w:szCs w:val="24"/>
    </w:rPr>
  </w:style>
  <w:style w:type="character" w:customStyle="1" w:styleId="17">
    <w:name w:val="正文文本缩进 2 Char"/>
    <w:basedOn w:val="8"/>
    <w:link w:val="3"/>
    <w:semiHidden/>
    <w:qFormat/>
    <w:locked/>
    <w:uiPriority w:val="99"/>
    <w:rPr>
      <w:rFonts w:ascii="仿宋_GB2312" w:hAnsi="Calibri" w:eastAsia="仿宋_GB2312" w:cs="Times New Roman"/>
      <w:sz w:val="24"/>
      <w:szCs w:val="24"/>
    </w:rPr>
  </w:style>
  <w:style w:type="paragraph" w:customStyle="1" w:styleId="18">
    <w:name w:val="Char"/>
    <w:basedOn w:val="1"/>
    <w:qFormat/>
    <w:uiPriority w:val="99"/>
    <w:pPr>
      <w:autoSpaceDE w:val="0"/>
      <w:autoSpaceDN w:val="0"/>
      <w:adjustRightInd w:val="0"/>
    </w:pPr>
    <w:rPr>
      <w:rFonts w:ascii="宋体" w:cs="宋体"/>
      <w:kern w:val="0"/>
      <w:sz w:val="20"/>
      <w:szCs w:val="20"/>
      <w:lang w:val="zh-CN"/>
    </w:rPr>
  </w:style>
  <w:style w:type="paragraph" w:customStyle="1" w:styleId="19">
    <w:name w:val="Char1"/>
    <w:basedOn w:val="1"/>
    <w:qFormat/>
    <w:uiPriority w:val="99"/>
    <w:rPr>
      <w:rFonts w:ascii="仿宋_GB2312" w:eastAsia="仿宋_GB2312"/>
      <w:sz w:val="32"/>
    </w:rPr>
  </w:style>
  <w:style w:type="paragraph" w:customStyle="1" w:styleId="20">
    <w:name w:val="Char Char Char Char Char Char Char Char Char Char Char Char1 Char Char Char Char"/>
    <w:basedOn w:val="1"/>
    <w:uiPriority w:val="99"/>
    <w:pPr>
      <w:numPr>
        <w:ilvl w:val="0"/>
        <w:numId w:val="1"/>
      </w:numPr>
      <w:tabs>
        <w:tab w:val="left" w:pos="720"/>
      </w:tabs>
    </w:pPr>
    <w:rPr>
      <w:szCs w:val="20"/>
    </w:rPr>
  </w:style>
  <w:style w:type="character" w:customStyle="1" w:styleId="21">
    <w:name w:val="标题 3 Char Char"/>
    <w:qFormat/>
    <w:uiPriority w:val="99"/>
    <w:rPr>
      <w:rFonts w:ascii="楷体_GB2312" w:eastAsia="楷体_GB2312"/>
      <w:b/>
      <w:kern w:val="2"/>
      <w:sz w:val="24"/>
      <w:lang w:val="en-US" w:eastAsia="zh-CN"/>
    </w:rPr>
  </w:style>
  <w:style w:type="paragraph" w:customStyle="1" w:styleId="22">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4472</Words>
  <Characters>1617</Characters>
  <Lines>13</Lines>
  <Paragraphs>12</Paragraphs>
  <TotalTime>187</TotalTime>
  <ScaleCrop>false</ScaleCrop>
  <LinksUpToDate>false</LinksUpToDate>
  <CharactersWithSpaces>6077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WPS_1542158703</cp:lastModifiedBy>
  <dcterms:modified xsi:type="dcterms:W3CDTF">2023-10-04T03:14:06Z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21D13AECFA1440B286FC796AF24FD136</vt:lpwstr>
  </property>
</Properties>
</file>