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附件1-1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岳阳县2022年度整体支出绩效</w:t>
      </w:r>
    </w:p>
    <w:p>
      <w:pPr>
        <w:spacing w:line="800" w:lineRule="exact"/>
        <w:jc w:val="center"/>
        <w:rPr>
          <w:rFonts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u w:val="single"/>
        </w:rPr>
      </w:pPr>
      <w:r>
        <w:rPr>
          <w:rFonts w:hint="eastAsia" w:eastAsia="仿宋_GB2312"/>
          <w:sz w:val="32"/>
        </w:rPr>
        <w:t>部门(单位)名称</w:t>
      </w:r>
      <w:r>
        <w:rPr>
          <w:rFonts w:hint="eastAsia" w:eastAsia="仿宋_GB2312"/>
          <w:sz w:val="32"/>
          <w:u w:val="single"/>
        </w:rPr>
        <w:t xml:space="preserve">    岳阳县东洞庭湖渔政监察执法局     </w:t>
      </w:r>
    </w:p>
    <w:p>
      <w:pPr>
        <w:spacing w:beforeLines="50" w:line="348" w:lineRule="auto"/>
        <w:ind w:firstLine="476" w:firstLineChars="150"/>
        <w:rPr>
          <w:rFonts w:eastAsia="仿宋_GB2312"/>
          <w:sz w:val="32"/>
        </w:rPr>
      </w:pPr>
      <w:r>
        <w:rPr>
          <w:rFonts w:hint="eastAsia" w:eastAsia="仿宋_GB2312"/>
          <w:sz w:val="32"/>
        </w:rPr>
        <w:t>预  算 编  码</w:t>
      </w:r>
      <w:r>
        <w:rPr>
          <w:rFonts w:hint="eastAsia" w:eastAsia="仿宋_GB2312"/>
          <w:sz w:val="32"/>
          <w:u w:val="single"/>
        </w:rPr>
        <w:t xml:space="preserve">               428001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ind w:firstLine="2219" w:firstLineChars="700"/>
        <w:rPr>
          <w:rFonts w:eastAsia="仿宋_GB2312"/>
          <w:sz w:val="32"/>
        </w:rPr>
      </w:pPr>
      <w:r>
        <w:rPr>
          <w:rFonts w:hint="eastAsia" w:eastAsia="仿宋_GB2312"/>
          <w:sz w:val="32"/>
        </w:rPr>
        <w:t>报告日期：2023年 6月 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岳阳县财政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448"/>
        <w:gridCol w:w="7"/>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李斌玮</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8345760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81</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3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有效修复我县东洞庭湖等重点水域水生生物资源；</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有力促进水域生态环境修复；</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建立健全长效监管机制，巩固东洞庭湖水域禁捕退捕工作成果；</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依法查处违反法律、法规的行为。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任务1：确保资金按财务制度、年初预算规定拨付；</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任务2：确保机构正常运转，工资、福利及时足额发放；</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任务3：确保建立健全长效监管机制，巩固东洞庭湖水域禁捕退捕工作成果；</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任务4：确保洞庭湖水上生物资源持续增长；</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任务5：确保专项基础设施建设强力推进。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snapToGrid w:val="0"/>
              <w:spacing w:line="400" w:lineRule="exact"/>
              <w:ind w:firstLine="480" w:firstLineChars="200"/>
              <w:rPr>
                <w:rFonts w:ascii="仿宋_GB2312" w:hAnsi="仿宋_GB2312" w:eastAsia="仿宋_GB2312" w:cs="仿宋_GB2312"/>
                <w:color w:val="000000"/>
                <w:sz w:val="24"/>
              </w:rPr>
            </w:pPr>
            <w:r>
              <w:rPr>
                <w:rFonts w:hint="eastAsia" w:ascii="仿宋" w:hAnsi="仿宋" w:eastAsia="仿宋" w:cs="仿宋"/>
                <w:color w:val="000000"/>
                <w:sz w:val="24"/>
              </w:rPr>
              <w:t>我局2022年度收入总计</w:t>
            </w:r>
            <w:r>
              <w:rPr>
                <w:rFonts w:hint="eastAsia" w:ascii="仿宋" w:hAnsi="仿宋" w:eastAsia="仿宋" w:cs="仿宋"/>
                <w:bCs/>
                <w:sz w:val="24"/>
              </w:rPr>
              <w:t>3126.22</w:t>
            </w:r>
            <w:r>
              <w:rPr>
                <w:rFonts w:hint="eastAsia" w:ascii="仿宋" w:hAnsi="仿宋" w:eastAsia="仿宋" w:cs="仿宋"/>
                <w:color w:val="000000"/>
                <w:sz w:val="24"/>
              </w:rPr>
              <w:t>万元（含年初结转和结余资金0.65万元），其中，财政拨款收入合计3029.77万元（不含年初财政拨款结转和结余资金），其他收入68.8万元。2022年度支出总计</w:t>
            </w:r>
            <w:r>
              <w:rPr>
                <w:rFonts w:hint="eastAsia" w:ascii="仿宋" w:hAnsi="仿宋" w:eastAsia="仿宋" w:cs="仿宋"/>
                <w:bCs/>
                <w:sz w:val="24"/>
              </w:rPr>
              <w:t>3126.22</w:t>
            </w:r>
            <w:r>
              <w:rPr>
                <w:rFonts w:hint="eastAsia" w:ascii="仿宋" w:hAnsi="仿宋" w:eastAsia="仿宋" w:cs="仿宋"/>
                <w:color w:val="000000"/>
                <w:sz w:val="24"/>
              </w:rPr>
              <w:t>万元，其中基本支出1175.69万元，项目支出1950.53万元。2022年农业部、长江办、省、市以及市局领导高度重视，多次下湖督查指导，对我局工作高度肯定。我局多方施策，以党建为牵引，以党风廉政建设为抓手，严格管理，打牢基层基础，推进了“洞庭清波”“百日攻坚”“夏季攻势”“冬季攻势”等一系列打击非法捕捞专项行动。“十年禁渔”工作成效获得了中央、省、市、县的一致认可，被评为年度绩效考核优秀单位，并荣获省政府长江禁渔真抓实干督查激励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6"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 w:hAnsi="仿宋" w:eastAsia="仿宋" w:cs="仿宋"/>
                <w:bCs/>
                <w:sz w:val="24"/>
              </w:rPr>
              <w:t>3126.22</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0.65</w:t>
            </w:r>
          </w:p>
        </w:tc>
        <w:tc>
          <w:tcPr>
            <w:tcW w:w="1080" w:type="dxa"/>
            <w:gridSpan w:val="2"/>
            <w:vAlign w:val="center"/>
          </w:tcPr>
          <w:p>
            <w:pPr>
              <w:autoSpaceDN w:val="0"/>
              <w:spacing w:line="400" w:lineRule="exact"/>
              <w:jc w:val="center"/>
              <w:textAlignment w:val="center"/>
              <w:rPr>
                <w:rFonts w:ascii="宋体" w:hAnsi="宋体" w:cs="宋体"/>
                <w:color w:val="000000"/>
                <w:sz w:val="24"/>
              </w:rPr>
            </w:pPr>
            <w:r>
              <w:rPr>
                <w:rFonts w:hint="eastAsia" w:ascii="仿宋_GB2312" w:hAnsi="仿宋_GB2312" w:eastAsia="仿宋_GB2312" w:cs="仿宋_GB2312"/>
                <w:color w:val="000000"/>
                <w:sz w:val="24"/>
              </w:rPr>
              <w:t>3029</w:t>
            </w:r>
            <w:r>
              <w:rPr>
                <w:rFonts w:hint="eastAsia" w:ascii="宋体" w:hAnsi="宋体" w:cs="宋体"/>
                <w:color w:val="000000"/>
                <w:sz w:val="24"/>
              </w:rPr>
              <w:t>.77</w:t>
            </w:r>
          </w:p>
        </w:tc>
        <w:tc>
          <w:tcPr>
            <w:tcW w:w="1705"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w:t>
            </w:r>
          </w:p>
        </w:tc>
        <w:tc>
          <w:tcPr>
            <w:tcW w:w="1080" w:type="dxa"/>
            <w:gridSpan w:val="3"/>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 w:hAnsi="仿宋" w:eastAsia="仿宋" w:cs="仿宋"/>
                <w:bCs/>
                <w:sz w:val="24"/>
              </w:rPr>
              <w:t>3126.22</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0.65</w:t>
            </w:r>
          </w:p>
        </w:tc>
        <w:tc>
          <w:tcPr>
            <w:tcW w:w="1080" w:type="dxa"/>
            <w:gridSpan w:val="2"/>
            <w:vAlign w:val="center"/>
          </w:tcPr>
          <w:p>
            <w:pPr>
              <w:autoSpaceDN w:val="0"/>
              <w:spacing w:line="400" w:lineRule="exact"/>
              <w:jc w:val="center"/>
              <w:textAlignment w:val="center"/>
              <w:rPr>
                <w:rFonts w:ascii="宋体" w:hAnsi="宋体" w:cs="宋体"/>
                <w:color w:val="000000"/>
                <w:sz w:val="24"/>
              </w:rPr>
            </w:pPr>
            <w:r>
              <w:rPr>
                <w:rFonts w:hint="eastAsia" w:ascii="仿宋_GB2312" w:hAnsi="仿宋_GB2312" w:eastAsia="仿宋_GB2312" w:cs="仿宋_GB2312"/>
                <w:color w:val="000000"/>
                <w:sz w:val="24"/>
              </w:rPr>
              <w:t>3029</w:t>
            </w:r>
            <w:r>
              <w:rPr>
                <w:rFonts w:hint="eastAsia" w:ascii="宋体" w:hAnsi="宋体" w:cs="宋体"/>
                <w:color w:val="000000"/>
                <w:sz w:val="24"/>
              </w:rPr>
              <w:t>.77</w:t>
            </w:r>
          </w:p>
        </w:tc>
        <w:tc>
          <w:tcPr>
            <w:tcW w:w="1705"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w:t>
            </w:r>
          </w:p>
        </w:tc>
        <w:tc>
          <w:tcPr>
            <w:tcW w:w="1080" w:type="dxa"/>
            <w:gridSpan w:val="3"/>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 w:hAnsi="仿宋" w:eastAsia="仿宋" w:cs="仿宋"/>
                <w:bCs/>
                <w:sz w:val="24"/>
              </w:rPr>
              <w:t>3126.22</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1175.69</w:t>
            </w:r>
          </w:p>
        </w:tc>
        <w:tc>
          <w:tcPr>
            <w:tcW w:w="1080"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949.92</w:t>
            </w:r>
          </w:p>
        </w:tc>
        <w:tc>
          <w:tcPr>
            <w:tcW w:w="2160" w:type="dxa"/>
            <w:gridSpan w:val="4"/>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225.77</w:t>
            </w:r>
          </w:p>
        </w:tc>
        <w:tc>
          <w:tcPr>
            <w:tcW w:w="1080" w:type="dxa"/>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1950.53</w:t>
            </w:r>
          </w:p>
        </w:tc>
        <w:tc>
          <w:tcPr>
            <w:tcW w:w="720" w:type="dxa"/>
            <w:gridSpan w:val="3"/>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 w:hAnsi="仿宋" w:eastAsia="仿宋" w:cs="仿宋"/>
                <w:bCs/>
                <w:sz w:val="24"/>
              </w:rPr>
              <w:t>3126.22</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1175.69</w:t>
            </w:r>
          </w:p>
        </w:tc>
        <w:tc>
          <w:tcPr>
            <w:tcW w:w="1080"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949.92</w:t>
            </w:r>
          </w:p>
        </w:tc>
        <w:tc>
          <w:tcPr>
            <w:tcW w:w="2160" w:type="dxa"/>
            <w:gridSpan w:val="4"/>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225.77</w:t>
            </w:r>
          </w:p>
        </w:tc>
        <w:tc>
          <w:tcPr>
            <w:tcW w:w="1080" w:type="dxa"/>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1950.53</w:t>
            </w:r>
          </w:p>
        </w:tc>
        <w:tc>
          <w:tcPr>
            <w:tcW w:w="720" w:type="dxa"/>
            <w:gridSpan w:val="3"/>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4.96</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4.96</w:t>
            </w:r>
          </w:p>
        </w:tc>
        <w:tc>
          <w:tcPr>
            <w:tcW w:w="1080"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4.96</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4.96</w:t>
            </w:r>
          </w:p>
        </w:tc>
        <w:tc>
          <w:tcPr>
            <w:tcW w:w="1080"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1286.07</w:t>
            </w:r>
          </w:p>
        </w:tc>
        <w:tc>
          <w:tcPr>
            <w:tcW w:w="2435" w:type="dxa"/>
            <w:gridSpan w:val="4"/>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1286.07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1286.07</w:t>
            </w:r>
          </w:p>
        </w:tc>
        <w:tc>
          <w:tcPr>
            <w:tcW w:w="2435" w:type="dxa"/>
            <w:gridSpan w:val="4"/>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1286.07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5393" w:type="dxa"/>
            <w:gridSpan w:val="1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2966" w:type="dxa"/>
            <w:gridSpan w:val="6"/>
            <w:vAlign w:val="center"/>
          </w:tcPr>
          <w:p>
            <w:pPr>
              <w:autoSpaceDN w:val="0"/>
              <w:spacing w:line="340" w:lineRule="exact"/>
              <w:jc w:val="left"/>
              <w:textAlignment w:val="center"/>
              <w:rPr>
                <w:rFonts w:ascii="仿宋" w:hAnsi="仿宋" w:eastAsia="仿宋" w:cs="仿宋"/>
                <w:color w:val="000000"/>
                <w:sz w:val="24"/>
              </w:rPr>
            </w:pPr>
            <w:r>
              <w:rPr>
                <w:rFonts w:hint="eastAsia" w:ascii="仿宋" w:hAnsi="仿宋" w:eastAsia="仿宋" w:cs="仿宋"/>
                <w:color w:val="000000"/>
                <w:sz w:val="24"/>
              </w:rPr>
              <w:t>目标1：确保资金按财务制度、年初预算规定拨付；</w:t>
            </w:r>
          </w:p>
          <w:p>
            <w:pPr>
              <w:autoSpaceDN w:val="0"/>
              <w:spacing w:line="340" w:lineRule="exact"/>
              <w:jc w:val="left"/>
              <w:textAlignment w:val="center"/>
              <w:rPr>
                <w:rFonts w:ascii="仿宋" w:hAnsi="仿宋" w:eastAsia="仿宋" w:cs="仿宋"/>
                <w:color w:val="000000"/>
                <w:sz w:val="24"/>
              </w:rPr>
            </w:pPr>
            <w:r>
              <w:rPr>
                <w:rFonts w:hint="eastAsia" w:ascii="仿宋" w:hAnsi="仿宋" w:eastAsia="仿宋" w:cs="仿宋"/>
                <w:color w:val="000000"/>
                <w:sz w:val="24"/>
              </w:rPr>
              <w:t>目标2：确保机构正常运转，工资、福利及时足额发放；</w:t>
            </w:r>
          </w:p>
          <w:p>
            <w:pPr>
              <w:autoSpaceDN w:val="0"/>
              <w:spacing w:line="340" w:lineRule="exact"/>
              <w:jc w:val="left"/>
              <w:textAlignment w:val="center"/>
              <w:rPr>
                <w:rFonts w:ascii="仿宋" w:hAnsi="仿宋" w:eastAsia="仿宋" w:cs="仿宋"/>
                <w:color w:val="000000"/>
                <w:sz w:val="24"/>
              </w:rPr>
            </w:pPr>
            <w:r>
              <w:rPr>
                <w:rFonts w:hint="eastAsia" w:ascii="仿宋" w:hAnsi="仿宋" w:eastAsia="仿宋" w:cs="仿宋"/>
                <w:color w:val="000000"/>
                <w:sz w:val="24"/>
              </w:rPr>
              <w:t>目标3：确保建立健全长效监管机制，巩固东洞庭湖水域禁捕退捕工作成果；</w:t>
            </w:r>
          </w:p>
          <w:p>
            <w:pPr>
              <w:autoSpaceDN w:val="0"/>
              <w:spacing w:line="340" w:lineRule="exact"/>
              <w:jc w:val="left"/>
              <w:textAlignment w:val="center"/>
              <w:rPr>
                <w:rFonts w:ascii="仿宋" w:hAnsi="仿宋" w:eastAsia="仿宋" w:cs="仿宋"/>
                <w:color w:val="000000"/>
                <w:sz w:val="24"/>
              </w:rPr>
            </w:pPr>
            <w:r>
              <w:rPr>
                <w:rFonts w:hint="eastAsia" w:ascii="仿宋" w:hAnsi="仿宋" w:eastAsia="仿宋" w:cs="仿宋"/>
                <w:color w:val="000000"/>
                <w:sz w:val="24"/>
              </w:rPr>
              <w:t>目标4：确保洞庭湖水上生物资源持续增长；</w:t>
            </w:r>
          </w:p>
          <w:p>
            <w:pPr>
              <w:autoSpaceDN w:val="0"/>
              <w:spacing w:line="340" w:lineRule="exact"/>
              <w:jc w:val="left"/>
              <w:textAlignment w:val="center"/>
              <w:rPr>
                <w:rFonts w:ascii="仿宋" w:hAnsi="仿宋" w:eastAsia="仿宋" w:cs="仿宋"/>
                <w:color w:val="000000"/>
                <w:sz w:val="24"/>
              </w:rPr>
            </w:pPr>
            <w:r>
              <w:rPr>
                <w:rFonts w:hint="eastAsia" w:ascii="仿宋" w:hAnsi="仿宋" w:eastAsia="仿宋" w:cs="仿宋"/>
                <w:color w:val="000000"/>
                <w:sz w:val="24"/>
              </w:rPr>
              <w:t>目标5：确保专项基础设施建设强力推进。</w:t>
            </w:r>
          </w:p>
          <w:p>
            <w:pPr>
              <w:autoSpaceDN w:val="0"/>
              <w:spacing w:line="400" w:lineRule="exact"/>
              <w:jc w:val="left"/>
              <w:textAlignment w:val="center"/>
              <w:rPr>
                <w:rFonts w:ascii="仿宋_GB2312" w:hAnsi="仿宋_GB2312" w:eastAsia="仿宋_GB2312" w:cs="仿宋_GB2312"/>
                <w:color w:val="000000"/>
                <w:sz w:val="24"/>
              </w:rPr>
            </w:pPr>
          </w:p>
        </w:tc>
        <w:tc>
          <w:tcPr>
            <w:tcW w:w="5393" w:type="dxa"/>
            <w:gridSpan w:val="10"/>
            <w:vAlign w:val="center"/>
          </w:tcPr>
          <w:p>
            <w:pPr>
              <w:autoSpaceDN w:val="0"/>
              <w:spacing w:line="340" w:lineRule="exact"/>
              <w:jc w:val="left"/>
              <w:textAlignment w:val="center"/>
              <w:rPr>
                <w:rFonts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单位全年平稳运行，资金使用安全，收支平衡。</w:t>
            </w:r>
          </w:p>
          <w:p>
            <w:pPr>
              <w:autoSpaceDN w:val="0"/>
              <w:spacing w:line="340" w:lineRule="exact"/>
              <w:jc w:val="left"/>
              <w:textAlignment w:val="center"/>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坚持集中攻坚，渔政执法取得新成效。2022年，我们相继开展了“冬春攻势”“洞庭清波”“百日攻坚”“夏季攻势”“冬季攻势”等专项行动，重点打击整治违规垂钓、“三无”船舶、非法捕捞等顽瘴痼疾，累计办理渔业案件174起，其中刑事移送案件74起，行政处罚案件100起，形成了有效震慑效应。3、坚持服务为民，渔民生计得到新保障。严格落实中央、省、市渔民退捕保障政策，严格落实《岳阳县退捕渔民转产就业与生活保障工作实施方案》，积极与县直职能部门和涉湖乡镇对接，实行整体联动，全心全意解决渔民后期生活就业保障，2022年未发生任何一起渔民上访事件。4、坚持强基固本，执法能力实现新提升。加大对执法能力建设的投入，</w:t>
            </w:r>
            <w:r>
              <w:rPr>
                <w:rFonts w:hint="eastAsia" w:ascii="仿宋" w:hAnsi="仿宋" w:eastAsia="仿宋" w:cs="仿宋"/>
                <w:color w:val="000000"/>
                <w:sz w:val="24"/>
                <w:lang w:eastAsia="zh-CN"/>
              </w:rPr>
              <w:t>添置了执法船艇、装备，</w:t>
            </w:r>
            <w:r>
              <w:rPr>
                <w:rFonts w:hint="eastAsia" w:ascii="仿宋" w:hAnsi="仿宋" w:eastAsia="仿宋" w:cs="仿宋"/>
                <w:color w:val="000000"/>
                <w:sz w:val="24"/>
              </w:rPr>
              <w:t>扎实推进</w:t>
            </w:r>
            <w:r>
              <w:rPr>
                <w:rFonts w:hint="eastAsia" w:ascii="仿宋" w:hAnsi="仿宋" w:eastAsia="仿宋" w:cs="仿宋"/>
                <w:color w:val="000000"/>
                <w:sz w:val="24"/>
                <w:lang w:eastAsia="zh-CN"/>
              </w:rPr>
              <w:t>了</w:t>
            </w:r>
            <w:r>
              <w:rPr>
                <w:rFonts w:hint="eastAsia" w:ascii="仿宋" w:hAnsi="仿宋" w:eastAsia="仿宋" w:cs="仿宋"/>
                <w:color w:val="000000"/>
                <w:sz w:val="24"/>
              </w:rPr>
              <w:t>东洞庭湖“电子围栏+雷达视频监控+联合执法基地”智慧渔政项目建设，</w:t>
            </w:r>
            <w:r>
              <w:rPr>
                <w:rFonts w:hint="eastAsia" w:ascii="仿宋" w:hAnsi="仿宋" w:eastAsia="仿宋" w:cs="仿宋"/>
                <w:color w:val="000000"/>
                <w:sz w:val="24"/>
                <w:lang w:eastAsia="zh-CN"/>
              </w:rPr>
              <w:t>着力补齐渔政综合执法能力短板，对我县东洞庭湖1328平方千米水域做到了无死角、无盲区的监控。</w:t>
            </w:r>
            <w:r>
              <w:rPr>
                <w:rFonts w:hint="eastAsia" w:ascii="仿宋" w:hAnsi="仿宋" w:eastAsia="仿宋" w:cs="仿宋"/>
                <w:color w:val="000000"/>
                <w:sz w:val="24"/>
                <w:lang w:val="en-US" w:eastAsia="zh-CN"/>
              </w:rPr>
              <w:t>5、坚持广泛宣教，禁渔氛围上升新高度。我县禁捕退捕工作被相关媒体报道85次，其中县、市45次，省级34次，央视新闻6次，为我县禁捕退捕工作营造了良好的舆论环境。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96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4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961" w:type="dxa"/>
            <w:gridSpan w:val="4"/>
            <w:vAlign w:val="bottom"/>
          </w:tcPr>
          <w:p>
            <w:pPr>
              <w:jc w:val="center"/>
              <w:rPr>
                <w:rFonts w:ascii="仿宋_GB2312" w:hAnsi="仿宋_GB2312" w:eastAsia="仿宋_GB2312" w:cs="仿宋_GB2312"/>
                <w:color w:val="000000"/>
                <w:sz w:val="24"/>
              </w:rPr>
            </w:pPr>
            <w:r>
              <w:rPr>
                <w:rFonts w:hint="eastAsia" w:ascii="仿宋_GB2312" w:eastAsia="仿宋_GB2312"/>
                <w:sz w:val="22"/>
                <w:szCs w:val="22"/>
              </w:rPr>
              <w:t>三公经费控制率100%</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961" w:type="dxa"/>
            <w:gridSpan w:val="4"/>
            <w:vAlign w:val="center"/>
          </w:tcPr>
          <w:p>
            <w:pPr>
              <w:jc w:val="center"/>
              <w:rPr>
                <w:rFonts w:ascii="仿宋_GB2312" w:hAnsi="仿宋_GB2312" w:eastAsia="仿宋_GB2312" w:cs="仿宋_GB2312"/>
                <w:color w:val="000000"/>
                <w:sz w:val="24"/>
              </w:rPr>
            </w:pPr>
            <w:r>
              <w:rPr>
                <w:rFonts w:hint="eastAsia" w:ascii="仿宋_GB2312" w:eastAsia="仿宋_GB2312"/>
                <w:sz w:val="22"/>
                <w:szCs w:val="22"/>
              </w:rPr>
              <w:t>固定资产利用率100%　</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961" w:type="dxa"/>
            <w:gridSpan w:val="4"/>
            <w:vAlign w:val="center"/>
          </w:tcPr>
          <w:p>
            <w:pPr>
              <w:jc w:val="center"/>
              <w:rPr>
                <w:rFonts w:ascii="仿宋_GB2312" w:hAnsi="仿宋_GB2312" w:eastAsia="仿宋_GB2312" w:cs="仿宋_GB2312"/>
                <w:color w:val="000000"/>
                <w:sz w:val="24"/>
              </w:rPr>
            </w:pPr>
            <w:r>
              <w:rPr>
                <w:rFonts w:hint="eastAsia" w:ascii="仿宋_GB2312" w:eastAsia="仿宋_GB2312"/>
                <w:sz w:val="22"/>
                <w:szCs w:val="22"/>
              </w:rPr>
              <w:t>重点支出安排率95%</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961" w:type="dxa"/>
            <w:gridSpan w:val="4"/>
            <w:vAlign w:val="center"/>
          </w:tcPr>
          <w:p>
            <w:pPr>
              <w:jc w:val="center"/>
              <w:rPr>
                <w:rFonts w:ascii="仿宋_GB2312" w:hAnsi="仿宋_GB2312" w:eastAsia="仿宋_GB2312" w:cs="仿宋_GB2312"/>
                <w:color w:val="000000"/>
                <w:sz w:val="24"/>
              </w:rPr>
            </w:pPr>
            <w:r>
              <w:rPr>
                <w:rFonts w:hint="eastAsia" w:ascii="仿宋_GB2312" w:eastAsia="仿宋_GB2312"/>
                <w:sz w:val="22"/>
                <w:szCs w:val="22"/>
              </w:rPr>
              <w:t>禁捕退捕巡查覆盖面100%</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961" w:type="dxa"/>
            <w:gridSpan w:val="4"/>
            <w:vAlign w:val="center"/>
          </w:tcPr>
          <w:p>
            <w:pPr>
              <w:jc w:val="center"/>
              <w:rPr>
                <w:rFonts w:ascii="仿宋_GB2312" w:hAnsi="仿宋_GB2312" w:eastAsia="仿宋_GB2312" w:cs="仿宋_GB2312"/>
                <w:color w:val="000000"/>
                <w:sz w:val="24"/>
              </w:rPr>
            </w:pPr>
            <w:r>
              <w:rPr>
                <w:rFonts w:hint="eastAsia" w:ascii="仿宋_GB2312" w:eastAsia="仿宋_GB2312"/>
                <w:sz w:val="22"/>
                <w:szCs w:val="22"/>
              </w:rPr>
              <w:t>打击非法捕捞巡查覆盖面100%</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961" w:type="dxa"/>
            <w:gridSpan w:val="4"/>
            <w:vAlign w:val="center"/>
          </w:tcPr>
          <w:p>
            <w:pPr>
              <w:jc w:val="center"/>
              <w:rPr>
                <w:rFonts w:ascii="仿宋_GB2312" w:hAnsi="仿宋_GB2312" w:eastAsia="仿宋_GB2312" w:cs="仿宋_GB2312"/>
                <w:color w:val="000000"/>
                <w:sz w:val="24"/>
              </w:rPr>
            </w:pPr>
            <w:r>
              <w:rPr>
                <w:rFonts w:hint="eastAsia" w:ascii="仿宋_GB2312" w:eastAsia="仿宋_GB2312"/>
              </w:rPr>
              <w:t>财政供养人员控制率100%</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1" w:type="dxa"/>
            <w:gridSpan w:val="4"/>
            <w:vAlign w:val="center"/>
          </w:tcPr>
          <w:p>
            <w:pPr>
              <w:jc w:val="center"/>
              <w:rPr>
                <w:rFonts w:ascii="仿宋_GB2312" w:hAnsi="仿宋_GB2312" w:eastAsia="仿宋_GB2312" w:cs="仿宋_GB2312"/>
                <w:color w:val="000000"/>
                <w:sz w:val="24"/>
              </w:rPr>
            </w:pPr>
            <w:r>
              <w:rPr>
                <w:rFonts w:hint="eastAsia" w:ascii="仿宋_GB2312" w:eastAsia="仿宋_GB2312"/>
                <w:sz w:val="22"/>
                <w:szCs w:val="22"/>
              </w:rPr>
              <w:t>“三公经费”变动率≤0</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961" w:type="dxa"/>
            <w:gridSpan w:val="4"/>
            <w:vAlign w:val="center"/>
          </w:tcPr>
          <w:p>
            <w:pPr>
              <w:jc w:val="center"/>
              <w:rPr>
                <w:rFonts w:ascii="仿宋_GB2312" w:hAnsi="仿宋_GB2312" w:eastAsia="仿宋_GB2312" w:cs="仿宋_GB2312"/>
                <w:color w:val="000000"/>
                <w:sz w:val="24"/>
              </w:rPr>
            </w:pPr>
            <w:r>
              <w:rPr>
                <w:rFonts w:hint="eastAsia" w:ascii="仿宋_GB2312" w:eastAsia="仿宋_GB2312"/>
                <w:sz w:val="22"/>
                <w:szCs w:val="22"/>
              </w:rPr>
              <w:t>人工</w:t>
            </w:r>
            <w:r>
              <w:rPr>
                <w:rFonts w:hint="eastAsia" w:ascii="宋体" w:hAnsi="宋体" w:cs="宋体"/>
                <w:sz w:val="22"/>
                <w:szCs w:val="22"/>
              </w:rPr>
              <w:t>放流鱼苗</w:t>
            </w:r>
            <w:r>
              <w:rPr>
                <w:rFonts w:hint="eastAsia" w:ascii="仿宋_GB2312" w:eastAsia="仿宋_GB2312"/>
                <w:sz w:val="22"/>
                <w:szCs w:val="22"/>
              </w:rPr>
              <w:t>840</w:t>
            </w:r>
            <w:r>
              <w:rPr>
                <w:rFonts w:hint="eastAsia" w:ascii="宋体" w:hAnsi="宋体" w:cs="宋体"/>
                <w:sz w:val="22"/>
                <w:szCs w:val="22"/>
              </w:rPr>
              <w:t>万尾</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840</w:t>
            </w:r>
            <w:r>
              <w:rPr>
                <w:rFonts w:hint="eastAsia" w:ascii="宋体" w:hAnsi="宋体" w:cs="宋体"/>
                <w:sz w:val="22"/>
                <w:szCs w:val="22"/>
              </w:rPr>
              <w:t>万尾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961" w:type="dxa"/>
            <w:gridSpan w:val="4"/>
            <w:vAlign w:val="center"/>
          </w:tcPr>
          <w:p>
            <w:pPr>
              <w:jc w:val="center"/>
              <w:rPr>
                <w:rFonts w:ascii="仿宋_GB2312" w:eastAsia="仿宋_GB2312"/>
                <w:sz w:val="22"/>
                <w:szCs w:val="22"/>
              </w:rPr>
            </w:pPr>
            <w:r>
              <w:rPr>
                <w:rFonts w:hint="eastAsia" w:ascii="仿宋_GB2312" w:eastAsia="仿宋_GB2312"/>
                <w:sz w:val="22"/>
                <w:szCs w:val="22"/>
              </w:rPr>
              <w:t>水上生物资源持续增长</w:t>
            </w:r>
          </w:p>
        </w:tc>
        <w:tc>
          <w:tcPr>
            <w:tcW w:w="2432" w:type="dxa"/>
            <w:gridSpan w:val="6"/>
            <w:vAlign w:val="center"/>
          </w:tcPr>
          <w:p>
            <w:pPr>
              <w:jc w:val="center"/>
              <w:rPr>
                <w:rFonts w:ascii="仿宋_GB2312" w:hAnsi="Calibri" w:eastAsia="仿宋_GB2312"/>
                <w:sz w:val="22"/>
                <w:szCs w:val="22"/>
              </w:rPr>
            </w:pPr>
            <w:r>
              <w:rPr>
                <w:rFonts w:hint="eastAsia" w:ascii="仿宋_GB2312" w:eastAsia="仿宋_GB2312"/>
                <w:sz w:val="22"/>
                <w:szCs w:val="22"/>
              </w:rPr>
              <w:t>持续增长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961" w:type="dxa"/>
            <w:gridSpan w:val="4"/>
            <w:vAlign w:val="center"/>
          </w:tcPr>
          <w:p>
            <w:pPr>
              <w:jc w:val="center"/>
              <w:rPr>
                <w:rFonts w:ascii="仿宋_GB2312" w:hAnsi="仿宋_GB2312" w:eastAsia="仿宋_GB2312" w:cs="仿宋_GB2312"/>
                <w:color w:val="000000"/>
                <w:sz w:val="24"/>
              </w:rPr>
            </w:pPr>
            <w:r>
              <w:rPr>
                <w:rFonts w:hint="eastAsia" w:ascii="仿宋_GB2312" w:eastAsia="仿宋_GB2312"/>
                <w:sz w:val="22"/>
                <w:szCs w:val="22"/>
              </w:rPr>
              <w:t>项目资金指标进度100%</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1" w:type="dxa"/>
            <w:gridSpan w:val="4"/>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全年打击非法捕捞巡查</w:t>
            </w:r>
            <w:r>
              <w:rPr>
                <w:rFonts w:hint="eastAsia" w:ascii="仿宋_GB2312" w:eastAsia="仿宋_GB2312"/>
                <w:sz w:val="22"/>
                <w:szCs w:val="22"/>
              </w:rPr>
              <w:t>100%</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96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sz w:val="22"/>
                <w:szCs w:val="22"/>
              </w:rPr>
              <w:t>财政支出绩效目标</w:t>
            </w:r>
            <w:r>
              <w:rPr>
                <w:rFonts w:hint="eastAsia" w:ascii="仿宋" w:hAnsi="仿宋" w:eastAsia="仿宋" w:cs="仿宋"/>
                <w:bCs/>
                <w:sz w:val="24"/>
              </w:rPr>
              <w:t>100%</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961" w:type="dxa"/>
            <w:gridSpan w:val="4"/>
            <w:vAlign w:val="center"/>
          </w:tcPr>
          <w:p>
            <w:pPr>
              <w:spacing w:line="420" w:lineRule="exact"/>
              <w:rPr>
                <w:rFonts w:ascii="仿宋_GB2312" w:hAnsi="仿宋_GB2312" w:eastAsia="仿宋_GB2312" w:cs="仿宋_GB2312"/>
                <w:color w:val="000000"/>
                <w:sz w:val="24"/>
              </w:rPr>
            </w:pPr>
            <w:r>
              <w:rPr>
                <w:rFonts w:hint="eastAsia" w:ascii="仿宋_GB2312" w:eastAsia="仿宋_GB2312"/>
                <w:sz w:val="22"/>
                <w:szCs w:val="22"/>
              </w:rPr>
              <w:t>改善东洞庭湖捕捞秩序，树立依法治湖理念效益明显</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961" w:type="dxa"/>
            <w:gridSpan w:val="4"/>
            <w:vAlign w:val="center"/>
          </w:tcPr>
          <w:p>
            <w:pPr>
              <w:spacing w:line="420" w:lineRule="exact"/>
              <w:rPr>
                <w:rFonts w:ascii="仿宋_GB2312" w:hAnsi="仿宋_GB2312" w:eastAsia="仿宋_GB2312" w:cs="仿宋_GB2312"/>
                <w:color w:val="000000"/>
                <w:sz w:val="24"/>
              </w:rPr>
            </w:pPr>
            <w:r>
              <w:rPr>
                <w:rFonts w:hint="eastAsia" w:ascii="仿宋_GB2312" w:eastAsia="仿宋_GB2312"/>
                <w:sz w:val="22"/>
                <w:szCs w:val="22"/>
              </w:rPr>
              <w:t>通过有效管理，扩充水上生物物种，丰富渔业资源，增加渔民捕捞收入效益明显</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961" w:type="dxa"/>
            <w:gridSpan w:val="4"/>
            <w:vAlign w:val="center"/>
          </w:tcPr>
          <w:p>
            <w:pPr>
              <w:spacing w:line="380" w:lineRule="exact"/>
              <w:rPr>
                <w:rFonts w:ascii="仿宋_GB2312" w:hAnsi="仿宋_GB2312" w:eastAsia="仿宋_GB2312" w:cs="仿宋_GB2312"/>
                <w:color w:val="000000"/>
                <w:sz w:val="24"/>
              </w:rPr>
            </w:pPr>
            <w:r>
              <w:rPr>
                <w:rFonts w:hint="eastAsia" w:ascii="仿宋_GB2312" w:eastAsia="仿宋_GB2312"/>
                <w:sz w:val="22"/>
                <w:szCs w:val="22"/>
              </w:rPr>
              <w:t>东洞庭湖水上生物资源明显改善，渔业资源形成良性循环局面效益明显</w:t>
            </w:r>
          </w:p>
        </w:tc>
        <w:tc>
          <w:tcPr>
            <w:tcW w:w="2432" w:type="dxa"/>
            <w:gridSpan w:val="6"/>
            <w:vAlign w:val="center"/>
          </w:tcPr>
          <w:p>
            <w:pPr>
              <w:jc w:val="center"/>
              <w:rPr>
                <w:rFonts w:ascii="仿宋_GB2312" w:hAnsi="仿宋_GB2312" w:eastAsia="仿宋_GB2312" w:cs="仿宋_GB2312"/>
                <w:b/>
                <w:color w:val="000000"/>
                <w:sz w:val="24"/>
              </w:rPr>
            </w:pPr>
            <w:r>
              <w:rPr>
                <w:rFonts w:hint="eastAsia" w:ascii="仿宋_GB2312" w:eastAsia="仿宋_GB2312"/>
                <w:sz w:val="22"/>
                <w:szCs w:val="22"/>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961" w:type="dxa"/>
            <w:gridSpan w:val="4"/>
            <w:vAlign w:val="center"/>
          </w:tcPr>
          <w:p>
            <w:pPr>
              <w:spacing w:line="420" w:lineRule="exact"/>
              <w:rPr>
                <w:rFonts w:ascii="仿宋_GB2312" w:hAnsi="仿宋_GB2312" w:eastAsia="仿宋_GB2312" w:cs="仿宋_GB2312"/>
                <w:color w:val="000000"/>
                <w:sz w:val="24"/>
              </w:rPr>
            </w:pPr>
            <w:r>
              <w:rPr>
                <w:rFonts w:hint="eastAsia" w:ascii="仿宋_GB2312" w:eastAsia="仿宋_GB2312"/>
                <w:sz w:val="22"/>
                <w:szCs w:val="22"/>
              </w:rPr>
              <w:t>广大群众大力支持渔政管理工作，群众满意度高92%</w:t>
            </w:r>
          </w:p>
        </w:tc>
        <w:tc>
          <w:tcPr>
            <w:tcW w:w="2432" w:type="dxa"/>
            <w:gridSpan w:val="6"/>
            <w:vAlign w:val="center"/>
          </w:tcPr>
          <w:p>
            <w:pPr>
              <w:jc w:val="center"/>
              <w:rPr>
                <w:rFonts w:ascii="仿宋_GB2312" w:hAnsi="仿宋_GB2312" w:eastAsia="仿宋_GB2312" w:cs="仿宋_GB2312"/>
                <w:color w:val="000000"/>
                <w:sz w:val="24"/>
              </w:rPr>
            </w:pPr>
            <w:r>
              <w:rPr>
                <w:rFonts w:hint="eastAsia" w:ascii="仿宋_GB2312" w:eastAsia="仿宋_GB2312"/>
                <w:sz w:val="22"/>
                <w:szCs w:val="22"/>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何辉</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党组成员</w:t>
            </w:r>
          </w:p>
        </w:tc>
        <w:tc>
          <w:tcPr>
            <w:tcW w:w="1479" w:type="dxa"/>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县渔政局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李斌玮</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计财股长</w:t>
            </w:r>
          </w:p>
        </w:tc>
        <w:tc>
          <w:tcPr>
            <w:tcW w:w="1479" w:type="dxa"/>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县渔政局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陈思思</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县渔政局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0"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
                <w:bCs/>
                <w:sz w:val="28"/>
                <w:szCs w:val="28"/>
              </w:rPr>
            </w:pPr>
            <w:r>
              <w:rPr>
                <w:rFonts w:hint="eastAsia" w:ascii="黑体" w:hAnsi="黑体" w:eastAsia="黑体" w:cs="黑体"/>
                <w:b/>
                <w:bCs/>
                <w:sz w:val="28"/>
                <w:szCs w:val="28"/>
              </w:rPr>
              <w:t>五、评价报告综述</w:t>
            </w:r>
          </w:p>
          <w:p>
            <w:pPr>
              <w:snapToGrid w:val="0"/>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一、我局基本情况概况</w:t>
            </w:r>
          </w:p>
          <w:p>
            <w:pPr>
              <w:snapToGrid w:val="0"/>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（一）我局基本情况</w:t>
            </w:r>
          </w:p>
          <w:p>
            <w:pPr>
              <w:spacing w:line="44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岳阳县东洞庭湖渔政监察执法局是湖南省唯一成局建制正科级渔政执法事业单位，是东洞庭湖渔政执法主体.机关内设办公室、政工人事、财计、法规、安全、装备、工会、渔民退捕服务中心等股室；湖场执法下设1个渔政指挥中心，5个渔政中队（麻塘、城陵矶、北洲、鹿角、红旗湖），有50吨级公务船3艘，120执法船3艘，冲锋舟6艘。现有在职执法人员81人，其中机关23人，湖场一线58人。固定资产年末总值1</w:t>
            </w:r>
            <w:r>
              <w:rPr>
                <w:rFonts w:hint="eastAsia" w:ascii="仿宋" w:hAnsi="仿宋" w:eastAsia="仿宋" w:cs="仿宋"/>
                <w:bCs/>
                <w:sz w:val="28"/>
                <w:szCs w:val="28"/>
                <w:lang w:val="en-US" w:eastAsia="zh-CN"/>
              </w:rPr>
              <w:t>286.07</w:t>
            </w:r>
            <w:r>
              <w:rPr>
                <w:rFonts w:hint="eastAsia" w:ascii="仿宋" w:hAnsi="仿宋" w:eastAsia="仿宋" w:cs="仿宋"/>
                <w:bCs/>
                <w:sz w:val="28"/>
                <w:szCs w:val="28"/>
              </w:rPr>
              <w:t>万元。202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年县渔政局以党建为平台，以党风廉政建设为抓手，充分履职，攻坚克难，认真做好了以禁捕退捕为中心的各项工作，较好的完成了县委、县政府赋予的各项任务。202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年我县禁捕退捕</w:t>
            </w:r>
            <w:r>
              <w:rPr>
                <w:rFonts w:hint="eastAsia" w:ascii="仿宋" w:hAnsi="仿宋" w:eastAsia="仿宋" w:cs="仿宋"/>
                <w:bCs/>
                <w:sz w:val="28"/>
                <w:szCs w:val="28"/>
                <w:lang w:val="en-US" w:eastAsia="zh-CN"/>
              </w:rPr>
              <w:t>工作</w:t>
            </w:r>
            <w:r>
              <w:rPr>
                <w:rFonts w:hint="eastAsia" w:ascii="仿宋" w:hAnsi="仿宋" w:eastAsia="仿宋" w:cs="仿宋"/>
                <w:bCs/>
                <w:sz w:val="28"/>
                <w:szCs w:val="28"/>
              </w:rPr>
              <w:t>受到了省长江禁捕退捕工作专班的充分肯定，获得了湖南省长江禁捕退捕工作先进县荣誉称号。</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（二）我局整体支出规模、使用方向和主要内容、涉及范围等</w:t>
            </w:r>
          </w:p>
          <w:p>
            <w:pPr>
              <w:spacing w:line="440" w:lineRule="exact"/>
              <w:ind w:firstLine="560" w:firstLineChars="200"/>
              <w:rPr>
                <w:rFonts w:ascii="仿宋" w:hAnsi="仿宋" w:eastAsia="仿宋" w:cs="仿宋"/>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年全年支出</w:t>
            </w:r>
            <w:r>
              <w:rPr>
                <w:rFonts w:hint="eastAsia" w:ascii="仿宋" w:hAnsi="仿宋" w:eastAsia="仿宋" w:cs="仿宋"/>
                <w:bCs/>
                <w:sz w:val="28"/>
                <w:szCs w:val="28"/>
                <w:lang w:val="en-US" w:eastAsia="zh-CN"/>
              </w:rPr>
              <w:t>3126.22</w:t>
            </w:r>
            <w:r>
              <w:rPr>
                <w:rFonts w:hint="eastAsia" w:ascii="仿宋" w:hAnsi="仿宋" w:eastAsia="仿宋" w:cs="仿宋"/>
                <w:bCs/>
                <w:sz w:val="28"/>
                <w:szCs w:val="28"/>
              </w:rPr>
              <w:t>万元，其中：基本支出共计</w:t>
            </w:r>
            <w:r>
              <w:rPr>
                <w:rFonts w:hint="eastAsia" w:ascii="仿宋" w:hAnsi="仿宋" w:eastAsia="仿宋" w:cs="仿宋"/>
                <w:bCs/>
                <w:sz w:val="28"/>
                <w:szCs w:val="28"/>
                <w:lang w:val="en-US" w:eastAsia="zh-CN"/>
              </w:rPr>
              <w:t>1175.69</w:t>
            </w:r>
            <w:r>
              <w:rPr>
                <w:rFonts w:hint="eastAsia" w:ascii="仿宋" w:hAnsi="仿宋" w:eastAsia="仿宋" w:cs="仿宋"/>
                <w:bCs/>
                <w:sz w:val="28"/>
                <w:szCs w:val="28"/>
              </w:rPr>
              <w:t>万元，系保障我局一般公共服务、社会保障和就业及医疗卫生与生态保护等各项支出，用于事业运行、执法监管、机关服务等日常公用经费；项目支出1</w:t>
            </w:r>
            <w:r>
              <w:rPr>
                <w:rFonts w:hint="eastAsia" w:ascii="仿宋" w:hAnsi="仿宋" w:eastAsia="仿宋" w:cs="仿宋"/>
                <w:bCs/>
                <w:sz w:val="28"/>
                <w:szCs w:val="28"/>
                <w:lang w:val="en-US" w:eastAsia="zh-CN"/>
              </w:rPr>
              <w:t>950.53</w:t>
            </w:r>
            <w:r>
              <w:rPr>
                <w:rFonts w:hint="eastAsia" w:ascii="仿宋" w:hAnsi="仿宋" w:eastAsia="仿宋" w:cs="仿宋"/>
                <w:bCs/>
                <w:sz w:val="28"/>
                <w:szCs w:val="28"/>
              </w:rPr>
              <w:t>万元，是我局为完成</w:t>
            </w:r>
            <w:r>
              <w:rPr>
                <w:rFonts w:hint="eastAsia" w:ascii="仿宋" w:hAnsi="仿宋" w:eastAsia="仿宋" w:cs="仿宋"/>
                <w:sz w:val="28"/>
                <w:szCs w:val="28"/>
              </w:rPr>
              <w:t>禁捕退捕、</w:t>
            </w:r>
            <w:r>
              <w:rPr>
                <w:rFonts w:hint="eastAsia" w:ascii="仿宋" w:hAnsi="仿宋" w:eastAsia="仿宋" w:cs="仿宋"/>
                <w:sz w:val="28"/>
                <w:szCs w:val="28"/>
                <w:lang w:val="en-US" w:eastAsia="zh-CN"/>
              </w:rPr>
              <w:t>执法能力建设、</w:t>
            </w:r>
            <w:r>
              <w:rPr>
                <w:rFonts w:hint="eastAsia" w:ascii="仿宋" w:hAnsi="仿宋" w:eastAsia="仿宋" w:cs="仿宋"/>
                <w:bCs/>
                <w:sz w:val="28"/>
                <w:szCs w:val="28"/>
              </w:rPr>
              <w:t>打击非法捕捞、</w:t>
            </w:r>
            <w:r>
              <w:rPr>
                <w:rFonts w:hint="eastAsia" w:ascii="仿宋" w:hAnsi="仿宋" w:eastAsia="仿宋" w:cs="仿宋"/>
                <w:sz w:val="28"/>
                <w:szCs w:val="28"/>
              </w:rPr>
              <w:t>渔业资源保护、人工放流等工作发生的支出。</w:t>
            </w:r>
          </w:p>
          <w:p>
            <w:pPr>
              <w:snapToGrid w:val="0"/>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二、我局整体支出管理及使用情况</w:t>
            </w:r>
          </w:p>
          <w:p>
            <w:pPr>
              <w:snapToGrid w:val="0"/>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（一）基本支出</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年岳阳县渔政局基本支出共计</w:t>
            </w:r>
            <w:r>
              <w:rPr>
                <w:rFonts w:hint="eastAsia" w:ascii="仿宋" w:hAnsi="仿宋" w:eastAsia="仿宋" w:cs="仿宋"/>
                <w:bCs/>
                <w:sz w:val="28"/>
                <w:szCs w:val="28"/>
                <w:lang w:val="en-US" w:eastAsia="zh-CN"/>
              </w:rPr>
              <w:t>1175.69</w:t>
            </w:r>
            <w:r>
              <w:rPr>
                <w:rFonts w:hint="eastAsia" w:ascii="仿宋" w:hAnsi="仿宋" w:eastAsia="仿宋" w:cs="仿宋"/>
                <w:bCs/>
                <w:sz w:val="28"/>
                <w:szCs w:val="28"/>
              </w:rPr>
              <w:t>万元，主要用于人员经费支出和公用支出。202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年“三公”经费支出合计</w:t>
            </w:r>
            <w:r>
              <w:rPr>
                <w:rFonts w:hint="eastAsia" w:ascii="仿宋" w:hAnsi="仿宋" w:eastAsia="仿宋" w:cs="仿宋"/>
                <w:bCs/>
                <w:sz w:val="28"/>
                <w:szCs w:val="28"/>
                <w:lang w:val="en-US" w:eastAsia="zh-CN"/>
              </w:rPr>
              <w:t>4.96</w:t>
            </w:r>
            <w:r>
              <w:rPr>
                <w:rFonts w:hint="eastAsia" w:ascii="仿宋" w:hAnsi="仿宋" w:eastAsia="仿宋" w:cs="仿宋"/>
                <w:bCs/>
                <w:sz w:val="28"/>
                <w:szCs w:val="28"/>
              </w:rPr>
              <w:t>万元，分项为：因公出国(境)费支出0元；公务接待费支出</w:t>
            </w:r>
            <w:r>
              <w:rPr>
                <w:rFonts w:hint="eastAsia" w:ascii="仿宋" w:hAnsi="仿宋" w:eastAsia="仿宋" w:cs="仿宋"/>
                <w:bCs/>
                <w:sz w:val="28"/>
                <w:szCs w:val="28"/>
                <w:lang w:val="en-US" w:eastAsia="zh-CN"/>
              </w:rPr>
              <w:t>4.96</w:t>
            </w:r>
            <w:r>
              <w:rPr>
                <w:rFonts w:hint="eastAsia" w:ascii="仿宋" w:hAnsi="仿宋" w:eastAsia="仿宋" w:cs="仿宋"/>
                <w:bCs/>
                <w:sz w:val="28"/>
                <w:szCs w:val="28"/>
              </w:rPr>
              <w:t>万元，我局通过加强内部管理，采取规范财务报账制度、公务接待程序，严格控制接待标准、陪餐人数等措施，从而有效地控制了非必要公务开支的发生；公务用车购置及运行维护费支出</w:t>
            </w:r>
            <w:r>
              <w:rPr>
                <w:rFonts w:hint="eastAsia" w:ascii="仿宋" w:hAnsi="仿宋" w:eastAsia="仿宋" w:cs="仿宋"/>
                <w:bCs/>
                <w:sz w:val="28"/>
                <w:szCs w:val="28"/>
                <w:lang w:val="en-US" w:eastAsia="zh-CN"/>
              </w:rPr>
              <w:t>0</w:t>
            </w:r>
            <w:r>
              <w:rPr>
                <w:rFonts w:hint="eastAsia" w:ascii="仿宋" w:hAnsi="仿宋" w:eastAsia="仿宋" w:cs="仿宋"/>
                <w:bCs/>
                <w:sz w:val="28"/>
                <w:szCs w:val="28"/>
              </w:rPr>
              <w:t>元。</w:t>
            </w:r>
          </w:p>
          <w:p>
            <w:pPr>
              <w:snapToGrid w:val="0"/>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（二）专项支出</w:t>
            </w:r>
          </w:p>
          <w:p>
            <w:pPr>
              <w:snapToGrid w:val="0"/>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1、专项资金安排落实、总投入及使用情况情况分析</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年度县渔政局项目支出共计1</w:t>
            </w:r>
            <w:r>
              <w:rPr>
                <w:rFonts w:hint="eastAsia" w:ascii="仿宋" w:hAnsi="仿宋" w:eastAsia="仿宋" w:cs="仿宋"/>
                <w:bCs/>
                <w:sz w:val="28"/>
                <w:szCs w:val="28"/>
                <w:lang w:val="en-US" w:eastAsia="zh-CN"/>
              </w:rPr>
              <w:t>950.53</w:t>
            </w:r>
            <w:r>
              <w:rPr>
                <w:rFonts w:hint="eastAsia" w:ascii="仿宋" w:hAnsi="仿宋" w:eastAsia="仿宋" w:cs="仿宋"/>
                <w:bCs/>
                <w:sz w:val="28"/>
                <w:szCs w:val="28"/>
              </w:rPr>
              <w:t>万元。</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rPr>
              <w:t>一年来，单位全年平稳运行，资金使用安全，收支平衡。</w:t>
            </w:r>
            <w:r>
              <w:rPr>
                <w:rFonts w:hint="eastAsia" w:ascii="仿宋" w:hAnsi="仿宋" w:eastAsia="仿宋" w:cs="仿宋"/>
                <w:b/>
                <w:bCs w:val="0"/>
                <w:sz w:val="28"/>
                <w:szCs w:val="28"/>
                <w:lang w:val="en-US" w:eastAsia="zh-CN"/>
              </w:rPr>
              <w:t>一是强化政策宣传，营造护渔氛围。</w:t>
            </w:r>
            <w:r>
              <w:rPr>
                <w:rFonts w:hint="eastAsia" w:ascii="仿宋" w:hAnsi="仿宋" w:eastAsia="仿宋" w:cs="仿宋"/>
                <w:bCs/>
                <w:sz w:val="28"/>
                <w:szCs w:val="28"/>
                <w:lang w:val="en-US" w:eastAsia="zh-CN"/>
              </w:rPr>
              <w:t>今年来，中央、省、市新闻媒体多次来局采访调研，推介我县退捕禁捕经验、做法，讲述渔政故事，传播渔政正能量。2022年我局禁捕退捕工作被相关媒体报道85次，其中市县级45次，省级34次，央视新闻6次。</w:t>
            </w:r>
            <w:r>
              <w:rPr>
                <w:rFonts w:hint="eastAsia" w:ascii="仿宋" w:hAnsi="仿宋" w:eastAsia="仿宋" w:cs="仿宋"/>
                <w:b/>
                <w:bCs w:val="0"/>
                <w:sz w:val="28"/>
                <w:szCs w:val="28"/>
                <w:lang w:val="en-US" w:eastAsia="zh-CN"/>
              </w:rPr>
              <w:t>二是强化打击治理，保护水域环境。</w:t>
            </w:r>
            <w:r>
              <w:rPr>
                <w:rFonts w:hint="eastAsia" w:ascii="仿宋" w:hAnsi="仿宋" w:eastAsia="仿宋" w:cs="仿宋"/>
                <w:bCs/>
                <w:sz w:val="28"/>
                <w:szCs w:val="28"/>
              </w:rPr>
              <w:t>今年相继开展了“洞庭清波”“百日攻坚”“夏季攻势”“冬季攻势”等专项行动，与岳阳市各县市区签订了联合执法协作协议，重点打击“三无”船舶、离岸垂钓，严格落实“一案双查”制度，彻底斩断非法载客离岸垂钓、非法捕捞地下利益链。累计吊离上岸定点存放“三无”船舶11艘，扣押没收皮划艇、排筏90余艘，收缴钓具5700余根、网具500余条，成功办理渔业案件174起，刑事拘留74人，禁捕水域“四清四无”成效得到全面巩固。</w:t>
            </w:r>
            <w:r>
              <w:rPr>
                <w:rFonts w:hint="eastAsia" w:ascii="仿宋" w:hAnsi="仿宋" w:eastAsia="仿宋" w:cs="仿宋"/>
                <w:b/>
                <w:bCs w:val="0"/>
                <w:sz w:val="28"/>
                <w:szCs w:val="28"/>
                <w:lang w:val="en-US" w:eastAsia="zh-CN"/>
              </w:rPr>
              <w:t>三是强化政策落实，保障渔民生计</w:t>
            </w:r>
            <w:r>
              <w:rPr>
                <w:rFonts w:hint="eastAsia" w:ascii="仿宋" w:hAnsi="仿宋" w:eastAsia="仿宋" w:cs="仿宋"/>
                <w:b/>
                <w:bCs w:val="0"/>
                <w:sz w:val="28"/>
                <w:szCs w:val="28"/>
              </w:rPr>
              <w:t>。</w:t>
            </w:r>
            <w:r>
              <w:rPr>
                <w:rFonts w:hint="eastAsia" w:ascii="仿宋" w:hAnsi="仿宋" w:eastAsia="仿宋" w:cs="仿宋"/>
                <w:bCs/>
                <w:sz w:val="28"/>
                <w:szCs w:val="28"/>
              </w:rPr>
              <w:t>今年共召开退捕保障工作推进会7次，配合人社局为1238名渔民购买了养老保险。组织技能培训13期，123名退捕渔民通过培训实现就业；深入渔民社区开展大走访2次，建立了“一对一”帮扶机制，结对帮扶684户建档立卡退捕渔民；完成了3户危房户住房实施改造以及麻塘“渔民驿站”扩建准备工作；完成了月山社区安全饮水工程改造；将86户135名因病、因残等丧失劳动能力的生活困难渔民全部纳入城市低保救助范围；将127户无房户退捕渔民全部纳入住房租赁补贴发放对象，实现了上岸渔民住有所居。</w:t>
            </w:r>
            <w:r>
              <w:rPr>
                <w:rFonts w:hint="eastAsia" w:ascii="仿宋" w:hAnsi="仿宋" w:eastAsia="仿宋" w:cs="仿宋"/>
                <w:b/>
                <w:bCs w:val="0"/>
                <w:sz w:val="28"/>
                <w:szCs w:val="28"/>
                <w:lang w:val="en-US" w:eastAsia="zh-CN"/>
              </w:rPr>
              <w:t>四是强化执法保障，健全监管体系</w:t>
            </w:r>
            <w:r>
              <w:rPr>
                <w:rFonts w:hint="eastAsia" w:ascii="仿宋" w:hAnsi="仿宋" w:eastAsia="仿宋" w:cs="仿宋"/>
                <w:b/>
                <w:bCs w:val="0"/>
                <w:sz w:val="28"/>
                <w:szCs w:val="28"/>
              </w:rPr>
              <w:t>。</w:t>
            </w:r>
            <w:r>
              <w:rPr>
                <w:rFonts w:hint="eastAsia" w:ascii="仿宋" w:hAnsi="仿宋" w:eastAsia="仿宋" w:cs="仿宋"/>
                <w:bCs/>
                <w:sz w:val="28"/>
                <w:szCs w:val="28"/>
              </w:rPr>
              <w:t>建成东洞庭湖渔政监控指挥中心，24小时专人专班值守。建成东洞庭湖39公里岸线20套视频监控系统、覆盖1328平方公里的电子围栏和4套雷达监控系统。</w:t>
            </w:r>
            <w:r>
              <w:rPr>
                <w:rFonts w:hint="eastAsia" w:ascii="仿宋" w:hAnsi="仿宋" w:eastAsia="仿宋" w:cs="仿宋"/>
                <w:bCs/>
                <w:sz w:val="28"/>
                <w:szCs w:val="28"/>
                <w:lang w:val="en-US" w:eastAsia="zh-CN"/>
              </w:rPr>
              <w:t>今年新添置执法记录仪10台、夜视仪3台、冲锋舟2艘、12米长执法快艇1艘，另1艘100吨级、50吨级以及60米长渔政指挥船已完成政府采购程序，目前正在建造中，预计2023年交付使用。</w:t>
            </w:r>
            <w:r>
              <w:rPr>
                <w:rFonts w:hint="eastAsia" w:ascii="仿宋" w:hAnsi="仿宋" w:eastAsia="仿宋" w:cs="仿宋"/>
                <w:b/>
                <w:bCs w:val="0"/>
                <w:sz w:val="28"/>
                <w:szCs w:val="28"/>
                <w:lang w:val="en-US" w:eastAsia="zh-CN"/>
              </w:rPr>
              <w:t>五是强化资源保护，涵养水生生物。</w:t>
            </w:r>
            <w:r>
              <w:rPr>
                <w:rFonts w:hint="eastAsia" w:ascii="仿宋" w:hAnsi="仿宋" w:eastAsia="仿宋" w:cs="仿宋"/>
                <w:bCs/>
                <w:sz w:val="28"/>
                <w:szCs w:val="28"/>
              </w:rPr>
              <w:t>为做好东洞庭湖水生生物养护，今年在东洞庭湖七里山码头水域人工增殖放流“四大家鱼”鱼苗840万尾。今年来受低水位影响，鱼类生活环境不容乐观，在红旗湖、注滋口、春风湖等水域开展护渔专项行动3次，分别采取挖沟放水，拉网放生、增氧机补氧等方式救助各种鱼类近7万斤，尽最大努力帮助鱼类度过枯水期。</w:t>
            </w:r>
            <w:r>
              <w:rPr>
                <w:rFonts w:hint="eastAsia" w:ascii="仿宋" w:hAnsi="仿宋" w:eastAsia="仿宋" w:cs="仿宋"/>
                <w:b/>
                <w:bCs w:val="0"/>
                <w:sz w:val="28"/>
                <w:szCs w:val="28"/>
                <w:lang w:val="en-US" w:eastAsia="zh-CN"/>
              </w:rPr>
              <w:t>六是强化统筹兼顾，夯实基层基础。</w:t>
            </w:r>
            <w:r>
              <w:rPr>
                <w:rFonts w:hint="eastAsia" w:ascii="仿宋" w:hAnsi="仿宋" w:eastAsia="仿宋" w:cs="仿宋"/>
                <w:bCs/>
                <w:sz w:val="28"/>
                <w:szCs w:val="28"/>
                <w:lang w:val="en-US" w:eastAsia="zh-CN"/>
              </w:rPr>
              <w:t>年初制定了意识形态工作方案，加强了新闻媒体以及协会团体的有效对接，有效防止了不良负面舆情的炒作。今年共回复12345热线26件，回复执法整治、禁捕退捕、洞庭清波交办函销号2件，办结人大、政协提案2件，处理抖音舆论4件，有力回应了社会关切。开展主题党日活动。前往怀化芷江开展主题教育活动2次，前往禁毒基地开展禁毒教育1次，邀请县委党校老师上专题党课4次，通过活动开展，进一步提升了党员党性意识。开展乡村振兴走访。先后11次前往溪源村入户走访、结对帮扶，共解决乡村振兴资金20万元。深入开展安全生产大宣教、大排查、大整治行动。全年共召开渔业安全生产专题会议6次，组织观看安全生产专题警示片3次，张贴安全警示牌15处，悬挂横幅18条，有效提高了渔政工作人员的安全生产防患意识，未发生安全事故。</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ascii="仿宋" w:hAnsi="仿宋" w:eastAsia="仿宋" w:cs="仿宋"/>
                <w:bCs/>
                <w:sz w:val="28"/>
                <w:szCs w:val="28"/>
              </w:rPr>
            </w:pPr>
            <w:r>
              <w:rPr>
                <w:rFonts w:hint="eastAsia" w:ascii="仿宋" w:hAnsi="仿宋" w:eastAsia="仿宋" w:cs="仿宋"/>
                <w:bCs/>
                <w:sz w:val="28"/>
                <w:szCs w:val="28"/>
              </w:rPr>
              <w:t>2、专项资金管理情况分析</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制订落实了年度目标管理责任制，建立了巡湖巡查制度、打击非法捕捞制度、督查讲评制度，落实了区域包干、责任连坐、整体联动执法、打时间差执法、驻点蹲守执法、流动执法、情报员举报执法、激励奖惩执法等一系列制度建设，同时加强执法监督认证力度，落实了安全生产责任制，开展安全生产大排查、大整治、大整改，全年未发生安全生产事故，同时积极做好12345热线的承办回复和矛盾纠纷的处理。</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三、我局整体支出绩效情况</w:t>
            </w:r>
          </w:p>
          <w:p>
            <w:pPr>
              <w:spacing w:line="44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渔政执法与管理工作任务艰巨,一直以来，东洞庭湖渔业生态保护备受社会各届和新闻媒体高度关注，为此我局付出了巨大努力，也取得了一定成效。2022年农业部、长江办、省、市以及市局领导高度重视，多次下湖督查指导，对我局工作高度肯定。我局多方施策，以党建为牵引，以党风廉政建设为抓手，严格管理，打牢基层基础，推进了“洞庭清波”“百日攻坚”“夏季攻势”“冬季攻势”等一系列打击非法捕捞专项行动。“十年禁渔”工作成效获得了中央、省、市、县的一致认可，被评为年度绩效考核优秀单位，并荣获省政府长江禁渔真抓实干督查激励先进.</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四、存在的主要问题</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（一）财务工作是一个单位的命脉，创新机制正在逐步加强，要求财务工作水平逐步提高。</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（二）会计基础工作还需要不断完善，报表数据与实际情况存在小误差。</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（三）监督管理机制还有待加强。</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五、改进措施和有关建议</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（一)渔政执法工作涉及范围广,水上作业难度大,周边执法环境复杂,建议县政府进一步加大预算投入力度，加大渔政执法保障投入；</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（二）严格执行中央、省、市、县关于作风建设的各项要求，履行主责，狠抓管理，促进队伍建设规范化；</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（三）加强监管，做到监管机制环环相扣，不出现断层、漏洞，坚决把权力关进制度的笼子；</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（四）继续健全完善创新管理工作机制，以机制创新，融入洞庭湖生态经济区建设；</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（五）强化财务、扣押罚没物、执法船等管理制度，实现财政管理有序，财政收支平衡；</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（六）进一步完善财务制度，规范财经纪律。</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eastAsia="楷体_GB2312"/>
                <w:bCs/>
                <w:sz w:val="28"/>
                <w:szCs w:val="28"/>
              </w:rPr>
            </w:pPr>
            <w:r>
              <w:rPr>
                <w:rFonts w:hint="eastAsia" w:ascii="仿宋" w:hAnsi="仿宋" w:eastAsia="仿宋" w:cs="仿宋"/>
                <w:bCs/>
                <w:sz w:val="28"/>
                <w:szCs w:val="28"/>
              </w:rPr>
              <w:t>预算绩效管理是一项综合性很强的工作，也是一项技术水平要求比较高的工作。通过开展绩效评价工作，我们也发现了在资金管理中所存在的问题，以后将不断的改进和完善。但由于我局财务人员的业务水平还有待提高，同时在分析手段和技术水平上还有待完善。希望县财政局多组织业务培训，对我局多加强业务指导，促进我局不断提升预算管理水平。下一步，我局将根据年度预算要求，按照“科学、规范、统一、高效”的原则，量入为出，强化事前预算，事中控制，事后监督；提高资金的使用效率，切实降低资金的使用成本；进一步完善机关公用经费定额管理办法，不断提高依法理财能力，为渔政工作顺利开展提供资金保障。</w:t>
            </w:r>
          </w:p>
        </w:tc>
      </w:tr>
    </w:tbl>
    <w:p>
      <w:pPr>
        <w:adjustRightInd w:val="0"/>
        <w:snapToGrid w:val="0"/>
        <w:spacing w:line="200" w:lineRule="exact"/>
        <w:contextualSpacing/>
        <w:rPr>
          <w:rFonts w:eastAsia="仿宋_GB2312"/>
          <w:sz w:val="32"/>
        </w:rPr>
      </w:pP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4FA94D-6DB4-46CC-A82F-530B864AFD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371F0772-F169-43C2-9EB9-D99AF41E42DF}"/>
  </w:font>
  <w:font w:name="仿宋_GB2312">
    <w:altName w:val="仿宋"/>
    <w:panose1 w:val="00000000000000000000"/>
    <w:charset w:val="86"/>
    <w:family w:val="modern"/>
    <w:pitch w:val="default"/>
    <w:sig w:usb0="00000000" w:usb1="00000000" w:usb2="00000010" w:usb3="00000000" w:csb0="00040000" w:csb1="00000000"/>
    <w:embedRegular r:id="rId3" w:fontKey="{E5200481-47BF-4933-A092-2E38D1B6DD56}"/>
  </w:font>
  <w:font w:name="楷体_GB2312">
    <w:altName w:val="楷体"/>
    <w:panose1 w:val="00000000000000000000"/>
    <w:charset w:val="86"/>
    <w:family w:val="modern"/>
    <w:pitch w:val="default"/>
    <w:sig w:usb0="00000000" w:usb1="00000000" w:usb2="00000010" w:usb3="00000000" w:csb0="00040000" w:csb1="00000000"/>
    <w:embedRegular r:id="rId4" w:fontKey="{8AEB6657-7AB0-4ADD-99FB-AF46CF5FA310}"/>
  </w:font>
  <w:font w:name="方正小标宋简体">
    <w:altName w:val="Arial Unicode MS"/>
    <w:panose1 w:val="00000000000000000000"/>
    <w:charset w:val="86"/>
    <w:family w:val="script"/>
    <w:pitch w:val="default"/>
    <w:sig w:usb0="00000000" w:usb1="00000000" w:usb2="00000000" w:usb3="00000000" w:csb0="00040000" w:csb1="00000000"/>
    <w:embedRegular r:id="rId5" w:fontKey="{64790EA6-5C39-4323-85B3-32DCF57CA953}"/>
  </w:font>
  <w:font w:name="仿宋">
    <w:panose1 w:val="02010609060101010101"/>
    <w:charset w:val="86"/>
    <w:family w:val="modern"/>
    <w:pitch w:val="default"/>
    <w:sig w:usb0="800002BF" w:usb1="38CF7CFA" w:usb2="00000016" w:usb3="00000000" w:csb0="00040001" w:csb1="00000000"/>
    <w:embedRegular r:id="rId6" w:fontKey="{62D27A6E-C765-45DD-ACF2-CB52E0BB83D6}"/>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2</w:t>
    </w:r>
    <w:r>
      <w:rPr>
        <w:sz w:val="24"/>
        <w:szCs w:val="24"/>
      </w:rPr>
      <w:fldChar w:fldCharType="end"/>
    </w:r>
    <w:r>
      <w:rPr>
        <w:rStyle w:val="9"/>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YzNmNmJlMmM0ODI4MDAxZDRiMDFhYTQyMGJmNjEifQ=="/>
  </w:docVars>
  <w:rsids>
    <w:rsidRoot w:val="002841F0"/>
    <w:rsid w:val="000171EF"/>
    <w:rsid w:val="000322FE"/>
    <w:rsid w:val="00041845"/>
    <w:rsid w:val="00083A84"/>
    <w:rsid w:val="00095FBA"/>
    <w:rsid w:val="000975B6"/>
    <w:rsid w:val="000A7A67"/>
    <w:rsid w:val="000B0058"/>
    <w:rsid w:val="000B0F8D"/>
    <w:rsid w:val="000B6746"/>
    <w:rsid w:val="000F5FF6"/>
    <w:rsid w:val="001029EE"/>
    <w:rsid w:val="001059D9"/>
    <w:rsid w:val="00126B92"/>
    <w:rsid w:val="00132E1F"/>
    <w:rsid w:val="00135886"/>
    <w:rsid w:val="0014174B"/>
    <w:rsid w:val="0015161A"/>
    <w:rsid w:val="001726A1"/>
    <w:rsid w:val="0019041E"/>
    <w:rsid w:val="001A521A"/>
    <w:rsid w:val="001B66BC"/>
    <w:rsid w:val="001B7CED"/>
    <w:rsid w:val="001F7AE5"/>
    <w:rsid w:val="00201EA0"/>
    <w:rsid w:val="002166D9"/>
    <w:rsid w:val="00217F43"/>
    <w:rsid w:val="00245DD6"/>
    <w:rsid w:val="00253BA0"/>
    <w:rsid w:val="00255A91"/>
    <w:rsid w:val="00257A15"/>
    <w:rsid w:val="00264D13"/>
    <w:rsid w:val="002841F0"/>
    <w:rsid w:val="00284693"/>
    <w:rsid w:val="002A26C5"/>
    <w:rsid w:val="002B0015"/>
    <w:rsid w:val="002C29C8"/>
    <w:rsid w:val="002C379A"/>
    <w:rsid w:val="002C79A1"/>
    <w:rsid w:val="002D39E9"/>
    <w:rsid w:val="002D7154"/>
    <w:rsid w:val="002E2754"/>
    <w:rsid w:val="002F4BCE"/>
    <w:rsid w:val="00323747"/>
    <w:rsid w:val="00324A6F"/>
    <w:rsid w:val="00374E3D"/>
    <w:rsid w:val="00381C01"/>
    <w:rsid w:val="003848E5"/>
    <w:rsid w:val="00392E52"/>
    <w:rsid w:val="003C184A"/>
    <w:rsid w:val="003C18A0"/>
    <w:rsid w:val="00403204"/>
    <w:rsid w:val="00403BCF"/>
    <w:rsid w:val="00447DD2"/>
    <w:rsid w:val="004518F7"/>
    <w:rsid w:val="00475C30"/>
    <w:rsid w:val="004765CE"/>
    <w:rsid w:val="00477D46"/>
    <w:rsid w:val="00490286"/>
    <w:rsid w:val="004D6EF5"/>
    <w:rsid w:val="004F2396"/>
    <w:rsid w:val="005045C9"/>
    <w:rsid w:val="005137A9"/>
    <w:rsid w:val="00535F6B"/>
    <w:rsid w:val="00537758"/>
    <w:rsid w:val="0054339F"/>
    <w:rsid w:val="00555362"/>
    <w:rsid w:val="00572696"/>
    <w:rsid w:val="005755B7"/>
    <w:rsid w:val="005820E4"/>
    <w:rsid w:val="005938EF"/>
    <w:rsid w:val="005A6614"/>
    <w:rsid w:val="005C1369"/>
    <w:rsid w:val="005C3239"/>
    <w:rsid w:val="005E19CE"/>
    <w:rsid w:val="0060466A"/>
    <w:rsid w:val="00605269"/>
    <w:rsid w:val="00616942"/>
    <w:rsid w:val="00641ABF"/>
    <w:rsid w:val="006622CD"/>
    <w:rsid w:val="00680C7E"/>
    <w:rsid w:val="00692C38"/>
    <w:rsid w:val="006A60B6"/>
    <w:rsid w:val="006D40DF"/>
    <w:rsid w:val="006F51BC"/>
    <w:rsid w:val="00732F87"/>
    <w:rsid w:val="00736F10"/>
    <w:rsid w:val="0074439A"/>
    <w:rsid w:val="00780DF4"/>
    <w:rsid w:val="007924B3"/>
    <w:rsid w:val="007D6ADE"/>
    <w:rsid w:val="007F5622"/>
    <w:rsid w:val="0080259B"/>
    <w:rsid w:val="008073F2"/>
    <w:rsid w:val="00811826"/>
    <w:rsid w:val="00814665"/>
    <w:rsid w:val="008556AF"/>
    <w:rsid w:val="00873763"/>
    <w:rsid w:val="00876A73"/>
    <w:rsid w:val="008936D4"/>
    <w:rsid w:val="008C29B1"/>
    <w:rsid w:val="008C3555"/>
    <w:rsid w:val="008F4A69"/>
    <w:rsid w:val="009267BE"/>
    <w:rsid w:val="00960AAE"/>
    <w:rsid w:val="00982010"/>
    <w:rsid w:val="009A5CC9"/>
    <w:rsid w:val="009C5E9C"/>
    <w:rsid w:val="009C65BA"/>
    <w:rsid w:val="009E0207"/>
    <w:rsid w:val="009E0802"/>
    <w:rsid w:val="009E65BD"/>
    <w:rsid w:val="009E6E31"/>
    <w:rsid w:val="009F66B1"/>
    <w:rsid w:val="00A01665"/>
    <w:rsid w:val="00A02C2D"/>
    <w:rsid w:val="00A06744"/>
    <w:rsid w:val="00A10203"/>
    <w:rsid w:val="00A44677"/>
    <w:rsid w:val="00A60759"/>
    <w:rsid w:val="00A62C5E"/>
    <w:rsid w:val="00A73867"/>
    <w:rsid w:val="00A82A31"/>
    <w:rsid w:val="00A87601"/>
    <w:rsid w:val="00A922CD"/>
    <w:rsid w:val="00AA29CB"/>
    <w:rsid w:val="00AB276B"/>
    <w:rsid w:val="00AB37A2"/>
    <w:rsid w:val="00AC0196"/>
    <w:rsid w:val="00AC1544"/>
    <w:rsid w:val="00AD2412"/>
    <w:rsid w:val="00AE4FE5"/>
    <w:rsid w:val="00B07287"/>
    <w:rsid w:val="00B33C67"/>
    <w:rsid w:val="00B455CE"/>
    <w:rsid w:val="00B92F93"/>
    <w:rsid w:val="00B95583"/>
    <w:rsid w:val="00B95CAE"/>
    <w:rsid w:val="00BA3499"/>
    <w:rsid w:val="00BB6D29"/>
    <w:rsid w:val="00BC604F"/>
    <w:rsid w:val="00BE62A1"/>
    <w:rsid w:val="00BF4297"/>
    <w:rsid w:val="00C069BD"/>
    <w:rsid w:val="00C119F7"/>
    <w:rsid w:val="00C44F64"/>
    <w:rsid w:val="00CA33A0"/>
    <w:rsid w:val="00CA40F2"/>
    <w:rsid w:val="00CD072C"/>
    <w:rsid w:val="00CD7AF8"/>
    <w:rsid w:val="00CE58F7"/>
    <w:rsid w:val="00D1035F"/>
    <w:rsid w:val="00D21183"/>
    <w:rsid w:val="00D35885"/>
    <w:rsid w:val="00D43EDF"/>
    <w:rsid w:val="00D51716"/>
    <w:rsid w:val="00D6084C"/>
    <w:rsid w:val="00D72006"/>
    <w:rsid w:val="00D80550"/>
    <w:rsid w:val="00DC607B"/>
    <w:rsid w:val="00E243FA"/>
    <w:rsid w:val="00E315F0"/>
    <w:rsid w:val="00E3574A"/>
    <w:rsid w:val="00E67A42"/>
    <w:rsid w:val="00E80693"/>
    <w:rsid w:val="00E86313"/>
    <w:rsid w:val="00EA0819"/>
    <w:rsid w:val="00EA79DC"/>
    <w:rsid w:val="00EB12C3"/>
    <w:rsid w:val="00EB48FC"/>
    <w:rsid w:val="00EB4CC6"/>
    <w:rsid w:val="00ED5EAE"/>
    <w:rsid w:val="00ED6520"/>
    <w:rsid w:val="00EF30CB"/>
    <w:rsid w:val="00EF7C52"/>
    <w:rsid w:val="00F070B1"/>
    <w:rsid w:val="00F32610"/>
    <w:rsid w:val="00F569C8"/>
    <w:rsid w:val="00F90F2E"/>
    <w:rsid w:val="00FD08C2"/>
    <w:rsid w:val="00FF408B"/>
    <w:rsid w:val="00FF57FC"/>
    <w:rsid w:val="021F06A4"/>
    <w:rsid w:val="04D8694F"/>
    <w:rsid w:val="053E1139"/>
    <w:rsid w:val="08B15D3C"/>
    <w:rsid w:val="09736C45"/>
    <w:rsid w:val="09E34732"/>
    <w:rsid w:val="0A054FBF"/>
    <w:rsid w:val="13722809"/>
    <w:rsid w:val="154929C8"/>
    <w:rsid w:val="16955178"/>
    <w:rsid w:val="17A511FB"/>
    <w:rsid w:val="190F698A"/>
    <w:rsid w:val="1D431E42"/>
    <w:rsid w:val="1DBF068A"/>
    <w:rsid w:val="1EB3600A"/>
    <w:rsid w:val="1F5B5C21"/>
    <w:rsid w:val="1FA76AF2"/>
    <w:rsid w:val="1FBC3841"/>
    <w:rsid w:val="21A36A89"/>
    <w:rsid w:val="22340E19"/>
    <w:rsid w:val="23FB366C"/>
    <w:rsid w:val="24674AC7"/>
    <w:rsid w:val="24D00020"/>
    <w:rsid w:val="275B4BCB"/>
    <w:rsid w:val="28625A0D"/>
    <w:rsid w:val="293B7F15"/>
    <w:rsid w:val="2BD276B6"/>
    <w:rsid w:val="2C9E5410"/>
    <w:rsid w:val="2CAC47F4"/>
    <w:rsid w:val="2DA546A4"/>
    <w:rsid w:val="2DAE7C41"/>
    <w:rsid w:val="2DCA5C57"/>
    <w:rsid w:val="2EA94167"/>
    <w:rsid w:val="32180206"/>
    <w:rsid w:val="323B18AB"/>
    <w:rsid w:val="37217FA0"/>
    <w:rsid w:val="39652EF4"/>
    <w:rsid w:val="3B0A0908"/>
    <w:rsid w:val="3C026F27"/>
    <w:rsid w:val="3D864B4F"/>
    <w:rsid w:val="3E175815"/>
    <w:rsid w:val="3EE31485"/>
    <w:rsid w:val="412F1D91"/>
    <w:rsid w:val="43551D15"/>
    <w:rsid w:val="46C422B2"/>
    <w:rsid w:val="4A2E6699"/>
    <w:rsid w:val="4AF31B98"/>
    <w:rsid w:val="4B3C4F88"/>
    <w:rsid w:val="4C486305"/>
    <w:rsid w:val="4CBD57DA"/>
    <w:rsid w:val="4EF9129F"/>
    <w:rsid w:val="535B3F9E"/>
    <w:rsid w:val="57902EB6"/>
    <w:rsid w:val="57E8396F"/>
    <w:rsid w:val="57FE314A"/>
    <w:rsid w:val="5AAA6AD5"/>
    <w:rsid w:val="5C845860"/>
    <w:rsid w:val="60FD3DAA"/>
    <w:rsid w:val="61433E01"/>
    <w:rsid w:val="66B01740"/>
    <w:rsid w:val="6C211F6D"/>
    <w:rsid w:val="6CE9355C"/>
    <w:rsid w:val="6F264A5F"/>
    <w:rsid w:val="6F723270"/>
    <w:rsid w:val="71C54BAD"/>
    <w:rsid w:val="757000BF"/>
    <w:rsid w:val="7B8E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Times New Roman" w:hAnsi="Times New Roman"/>
      <w:szCs w:val="20"/>
    </w:rPr>
  </w:style>
  <w:style w:type="paragraph" w:styleId="3">
    <w:name w:val="Date"/>
    <w:basedOn w:val="1"/>
    <w:next w:val="1"/>
    <w:link w:val="11"/>
    <w:qFormat/>
    <w:uiPriority w:val="0"/>
    <w:pPr>
      <w:ind w:left="100" w:leftChars="2500"/>
    </w:pPr>
  </w:style>
  <w:style w:type="paragraph" w:styleId="4">
    <w:name w:val="Body Text Indent 2"/>
    <w:basedOn w:val="1"/>
    <w:link w:val="12"/>
    <w:unhideWhenUsed/>
    <w:qFormat/>
    <w:uiPriority w:val="0"/>
    <w:pPr>
      <w:ind w:firstLine="588" w:firstLineChars="200"/>
    </w:pPr>
    <w:rPr>
      <w:rFonts w:ascii="仿宋_GB2312" w:hAnsi="Calibri" w:eastAsia="仿宋_GB2312"/>
      <w:sz w:val="32"/>
    </w:rPr>
  </w:style>
  <w:style w:type="paragraph" w:styleId="5">
    <w:name w:val="footer"/>
    <w:basedOn w:val="1"/>
    <w:link w:val="13"/>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character" w:styleId="9">
    <w:name w:val="page number"/>
    <w:qFormat/>
    <w:uiPriority w:val="0"/>
  </w:style>
  <w:style w:type="character" w:styleId="10">
    <w:name w:val="Hyperlink"/>
    <w:basedOn w:val="8"/>
    <w:qFormat/>
    <w:uiPriority w:val="0"/>
    <w:rPr>
      <w:color w:val="0000FF"/>
      <w:u w:val="single"/>
    </w:rPr>
  </w:style>
  <w:style w:type="character" w:customStyle="1" w:styleId="11">
    <w:name w:val="日期 Char"/>
    <w:basedOn w:val="8"/>
    <w:link w:val="3"/>
    <w:qFormat/>
    <w:uiPriority w:val="0"/>
    <w:rPr>
      <w:kern w:val="2"/>
      <w:sz w:val="21"/>
      <w:szCs w:val="24"/>
    </w:rPr>
  </w:style>
  <w:style w:type="character" w:customStyle="1" w:styleId="12">
    <w:name w:val="正文文本缩进 2 Char"/>
    <w:basedOn w:val="8"/>
    <w:link w:val="4"/>
    <w:qFormat/>
    <w:uiPriority w:val="0"/>
    <w:rPr>
      <w:rFonts w:ascii="仿宋_GB2312" w:hAnsi="Calibri" w:eastAsia="仿宋_GB2312"/>
      <w:kern w:val="2"/>
      <w:sz w:val="32"/>
      <w:szCs w:val="24"/>
    </w:rPr>
  </w:style>
  <w:style w:type="character" w:customStyle="1" w:styleId="13">
    <w:name w:val="页脚 Char"/>
    <w:link w:val="5"/>
    <w:qFormat/>
    <w:uiPriority w:val="0"/>
    <w:rPr>
      <w:rFonts w:eastAsia="宋体"/>
      <w:sz w:val="18"/>
      <w:szCs w:val="18"/>
      <w:lang w:bidi="ar-SA"/>
    </w:rPr>
  </w:style>
  <w:style w:type="character" w:customStyle="1" w:styleId="14">
    <w:name w:val="标题 3 Char Char"/>
    <w:qFormat/>
    <w:uiPriority w:val="0"/>
    <w:rPr>
      <w:rFonts w:eastAsia="楷体_GB2312"/>
      <w:b/>
      <w:kern w:val="2"/>
      <w:sz w:val="32"/>
      <w:szCs w:val="24"/>
      <w:lang w:val="en-US" w:eastAsia="zh-CN" w:bidi="ar-SA"/>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18</Pages>
  <Words>8882</Words>
  <Characters>9516</Characters>
  <Lines>24</Lines>
  <Paragraphs>23</Paragraphs>
  <TotalTime>6</TotalTime>
  <ScaleCrop>false</ScaleCrop>
  <LinksUpToDate>false</LinksUpToDate>
  <CharactersWithSpaces>10386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2023-04-19T03:36:00Z</dcterms:created>
  <dc:creator>吴川 10.105.113.190</dc:creator>
  <cp:lastModifiedBy>大眼睛</cp:lastModifiedBy>
  <cp:lastPrinted>2023-06-30T05:51:00Z</cp:lastPrinted>
  <dcterms:modified xsi:type="dcterms:W3CDTF">2023-06-30T06:42:31Z</dcterms:modified>
  <dc:title>岳阳市财政局文件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D8D2C20409EF48999C5A40DA8D4E6A02_13</vt:lpwstr>
  </property>
</Properties>
</file>