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A63" w:rsidRDefault="0027330D">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113A63" w:rsidRDefault="00113A63">
      <w:pPr>
        <w:spacing w:line="348" w:lineRule="auto"/>
        <w:jc w:val="center"/>
        <w:rPr>
          <w:rFonts w:eastAsia="方正小标宋简体"/>
          <w:bCs/>
          <w:sz w:val="42"/>
          <w:szCs w:val="42"/>
        </w:rPr>
      </w:pPr>
    </w:p>
    <w:p w:rsidR="00113A63" w:rsidRDefault="0027330D">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Pr>
          <w:rFonts w:eastAsia="方正小标宋简体" w:hint="eastAsia"/>
          <w:bCs/>
          <w:sz w:val="46"/>
          <w:szCs w:val="46"/>
          <w:u w:val="single"/>
        </w:rPr>
        <w:t>21</w:t>
      </w:r>
      <w:r>
        <w:rPr>
          <w:rFonts w:eastAsia="方正小标宋简体" w:hint="eastAsia"/>
          <w:bCs/>
          <w:sz w:val="46"/>
          <w:szCs w:val="46"/>
        </w:rPr>
        <w:t>年度部门整体支出</w:t>
      </w:r>
    </w:p>
    <w:p w:rsidR="00113A63" w:rsidRDefault="0027330D">
      <w:pPr>
        <w:spacing w:line="800" w:lineRule="exact"/>
        <w:jc w:val="center"/>
        <w:rPr>
          <w:rFonts w:eastAsia="方正小标宋简体"/>
          <w:bCs/>
          <w:sz w:val="46"/>
          <w:szCs w:val="46"/>
        </w:rPr>
      </w:pPr>
      <w:r>
        <w:rPr>
          <w:rFonts w:eastAsia="方正小标宋简体" w:hint="eastAsia"/>
          <w:bCs/>
          <w:sz w:val="46"/>
          <w:szCs w:val="46"/>
        </w:rPr>
        <w:t>绩效评价自评报告</w:t>
      </w:r>
    </w:p>
    <w:p w:rsidR="00113A63" w:rsidRDefault="00113A63">
      <w:pPr>
        <w:rPr>
          <w:rFonts w:eastAsia="仿宋_GB2312"/>
          <w:b/>
          <w:sz w:val="32"/>
        </w:rPr>
      </w:pPr>
    </w:p>
    <w:p w:rsidR="00113A63" w:rsidRDefault="00113A63">
      <w:pPr>
        <w:rPr>
          <w:rFonts w:eastAsia="仿宋_GB2312"/>
          <w:b/>
          <w:sz w:val="32"/>
        </w:rPr>
      </w:pPr>
    </w:p>
    <w:p w:rsidR="00113A63" w:rsidRDefault="00113A63">
      <w:pPr>
        <w:rPr>
          <w:rFonts w:eastAsia="仿宋_GB2312"/>
          <w:b/>
          <w:sz w:val="32"/>
        </w:rPr>
      </w:pPr>
    </w:p>
    <w:p w:rsidR="00113A63" w:rsidRDefault="0027330D" w:rsidP="007415B2">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hint="eastAsia"/>
          <w:sz w:val="32"/>
          <w:szCs w:val="32"/>
          <w:u w:val="single"/>
        </w:rPr>
        <w:t>岳阳县建筑市场服务中心</w:t>
      </w:r>
    </w:p>
    <w:p w:rsidR="00113A63" w:rsidRDefault="0027330D" w:rsidP="007415B2">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Pr>
          <w:rFonts w:eastAsia="仿宋_GB2312" w:hint="eastAsia"/>
          <w:spacing w:val="30"/>
          <w:sz w:val="32"/>
          <w:szCs w:val="32"/>
        </w:rPr>
        <w:t xml:space="preserve">  </w:t>
      </w:r>
      <w:r>
        <w:rPr>
          <w:rFonts w:eastAsia="仿宋_GB2312" w:hint="eastAsia"/>
          <w:spacing w:val="30"/>
          <w:sz w:val="32"/>
          <w:szCs w:val="32"/>
          <w:u w:val="single"/>
        </w:rPr>
        <w:t>412002</w:t>
      </w:r>
    </w:p>
    <w:p w:rsidR="00113A63" w:rsidRDefault="0027330D" w:rsidP="007415B2">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113A63" w:rsidRDefault="0027330D" w:rsidP="007415B2">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113A63" w:rsidRDefault="00113A63" w:rsidP="0027330D">
      <w:pPr>
        <w:spacing w:line="720" w:lineRule="exact"/>
        <w:ind w:firstLineChars="690" w:firstLine="2182"/>
        <w:rPr>
          <w:rFonts w:eastAsia="仿宋_GB2312"/>
          <w:sz w:val="32"/>
        </w:rPr>
      </w:pPr>
    </w:p>
    <w:p w:rsidR="00113A63" w:rsidRDefault="00113A63" w:rsidP="0027330D">
      <w:pPr>
        <w:spacing w:line="720" w:lineRule="exact"/>
        <w:ind w:firstLineChars="690" w:firstLine="2182"/>
        <w:rPr>
          <w:rFonts w:eastAsia="仿宋_GB2312"/>
          <w:sz w:val="32"/>
        </w:rPr>
      </w:pPr>
    </w:p>
    <w:p w:rsidR="00113A63" w:rsidRDefault="00113A63" w:rsidP="0027330D">
      <w:pPr>
        <w:spacing w:line="720" w:lineRule="exact"/>
        <w:ind w:firstLineChars="690" w:firstLine="2182"/>
        <w:rPr>
          <w:rFonts w:eastAsia="仿宋_GB2312"/>
          <w:sz w:val="32"/>
        </w:rPr>
      </w:pPr>
    </w:p>
    <w:p w:rsidR="00113A63" w:rsidRDefault="0027330D">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6</w:t>
      </w:r>
      <w:r>
        <w:rPr>
          <w:rFonts w:eastAsia="仿宋_GB2312" w:hint="eastAsia"/>
          <w:sz w:val="32"/>
        </w:rPr>
        <w:t>月</w:t>
      </w:r>
      <w:r>
        <w:rPr>
          <w:rFonts w:eastAsia="仿宋_GB2312" w:hint="eastAsia"/>
          <w:sz w:val="32"/>
        </w:rPr>
        <w:t>1</w:t>
      </w:r>
      <w:r>
        <w:rPr>
          <w:rFonts w:eastAsia="仿宋_GB2312" w:hint="eastAsia"/>
          <w:sz w:val="32"/>
        </w:rPr>
        <w:t>日</w:t>
      </w:r>
    </w:p>
    <w:p w:rsidR="00113A63" w:rsidRDefault="00113A63">
      <w:pPr>
        <w:autoSpaceDN w:val="0"/>
        <w:jc w:val="center"/>
        <w:textAlignment w:val="center"/>
        <w:rPr>
          <w:rFonts w:eastAsia="仿宋_GB2312"/>
          <w:sz w:val="32"/>
          <w:szCs w:val="32"/>
        </w:rPr>
      </w:pPr>
    </w:p>
    <w:p w:rsidR="00113A63" w:rsidRDefault="00113A63">
      <w:pPr>
        <w:widowControl/>
        <w:jc w:val="left"/>
        <w:rPr>
          <w:rFonts w:eastAsia="仿宋_GB2312"/>
          <w:sz w:val="32"/>
          <w:szCs w:val="32"/>
        </w:rPr>
        <w:sectPr w:rsidR="00113A63">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46"/>
        <w:gridCol w:w="1080"/>
        <w:gridCol w:w="210"/>
        <w:gridCol w:w="1145"/>
        <w:gridCol w:w="272"/>
        <w:gridCol w:w="808"/>
        <w:gridCol w:w="1330"/>
        <w:gridCol w:w="149"/>
        <w:gridCol w:w="226"/>
        <w:gridCol w:w="196"/>
        <w:gridCol w:w="705"/>
        <w:gridCol w:w="899"/>
        <w:gridCol w:w="93"/>
        <w:gridCol w:w="46"/>
        <w:gridCol w:w="941"/>
      </w:tblGrid>
      <w:tr w:rsidR="00113A63">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一、部门（单位）基本概况</w:t>
            </w:r>
          </w:p>
        </w:tc>
      </w:tr>
      <w:tr w:rsidR="00113A63">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联系人</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李颖</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联络电话</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7622128</w:t>
            </w:r>
          </w:p>
        </w:tc>
      </w:tr>
      <w:tr w:rsidR="00113A63">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人员编制</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23</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实有人数</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40</w:t>
            </w:r>
          </w:p>
        </w:tc>
      </w:tr>
      <w:tr w:rsidR="00113A63">
        <w:trPr>
          <w:trHeight w:val="2092"/>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职能职责概述</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主要负责全县建筑市场施工企业管理，建筑工程报建、建筑施工安全监督，施工企业劳保基金行业管理。</w:t>
            </w:r>
          </w:p>
        </w:tc>
      </w:tr>
      <w:tr w:rsidR="00113A63" w:rsidRPr="0027330D">
        <w:trPr>
          <w:trHeight w:val="4659"/>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年度主要</w:t>
            </w:r>
          </w:p>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工作内容</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Pr="0027330D" w:rsidRDefault="0027330D">
            <w:pPr>
              <w:autoSpaceDN w:val="0"/>
              <w:spacing w:line="320" w:lineRule="exact"/>
              <w:jc w:val="left"/>
              <w:textAlignment w:val="center"/>
              <w:rPr>
                <w:rFonts w:asciiTheme="minorEastAsia" w:eastAsiaTheme="minorEastAsia" w:hAnsiTheme="minorEastAsia" w:cs="仿宋_GB2312"/>
                <w:color w:val="000000"/>
                <w:sz w:val="24"/>
              </w:rPr>
            </w:pPr>
            <w:r w:rsidRPr="0027330D">
              <w:rPr>
                <w:rFonts w:asciiTheme="minorEastAsia" w:eastAsiaTheme="minorEastAsia" w:hAnsiTheme="minorEastAsia" w:cs="仿宋_GB2312" w:hint="eastAsia"/>
                <w:color w:val="000000"/>
                <w:sz w:val="24"/>
              </w:rPr>
              <w:t>任务1：完满完成</w:t>
            </w:r>
            <w:r w:rsidRPr="0027330D">
              <w:rPr>
                <w:rFonts w:asciiTheme="minorEastAsia" w:eastAsiaTheme="minorEastAsia" w:hAnsiTheme="minorEastAsia" w:cs="仿宋_GB2312"/>
                <w:color w:val="000000"/>
                <w:sz w:val="24"/>
              </w:rPr>
              <w:t>年度建筑工程安全管理目标</w:t>
            </w:r>
            <w:r w:rsidRPr="0027330D">
              <w:rPr>
                <w:rFonts w:asciiTheme="minorEastAsia" w:eastAsiaTheme="minorEastAsia" w:hAnsiTheme="minorEastAsia" w:cs="仿宋_GB2312" w:hint="eastAsia"/>
                <w:color w:val="000000"/>
                <w:sz w:val="24"/>
              </w:rPr>
              <w:t>任务。；</w:t>
            </w:r>
          </w:p>
          <w:p w:rsidR="00113A63" w:rsidRPr="0027330D" w:rsidRDefault="0027330D">
            <w:pPr>
              <w:autoSpaceDN w:val="0"/>
              <w:spacing w:line="320" w:lineRule="exact"/>
              <w:jc w:val="left"/>
              <w:textAlignment w:val="center"/>
              <w:rPr>
                <w:rFonts w:asciiTheme="minorEastAsia" w:eastAsiaTheme="minorEastAsia" w:hAnsiTheme="minorEastAsia" w:cs="仿宋_GB2312"/>
                <w:color w:val="000000"/>
                <w:sz w:val="24"/>
              </w:rPr>
            </w:pPr>
            <w:r w:rsidRPr="0027330D">
              <w:rPr>
                <w:rFonts w:asciiTheme="minorEastAsia" w:eastAsiaTheme="minorEastAsia" w:hAnsiTheme="minorEastAsia" w:cs="仿宋_GB2312" w:hint="eastAsia"/>
                <w:color w:val="000000"/>
                <w:sz w:val="24"/>
              </w:rPr>
              <w:t>任务2：深入开展安全隐患排查和各项安全整治执法行动。</w:t>
            </w:r>
          </w:p>
          <w:p w:rsidR="00113A63" w:rsidRPr="0027330D" w:rsidRDefault="0027330D">
            <w:pPr>
              <w:autoSpaceDN w:val="0"/>
              <w:spacing w:line="320" w:lineRule="exact"/>
              <w:jc w:val="left"/>
              <w:textAlignment w:val="center"/>
              <w:rPr>
                <w:rFonts w:asciiTheme="minorEastAsia" w:eastAsiaTheme="minorEastAsia" w:hAnsiTheme="minorEastAsia" w:cs="仿宋_GB2312"/>
                <w:color w:val="000000"/>
                <w:sz w:val="24"/>
              </w:rPr>
            </w:pPr>
            <w:r w:rsidRPr="0027330D">
              <w:rPr>
                <w:rFonts w:asciiTheme="minorEastAsia" w:eastAsiaTheme="minorEastAsia" w:hAnsiTheme="minorEastAsia" w:cs="仿宋_GB2312" w:hint="eastAsia"/>
                <w:color w:val="000000"/>
                <w:sz w:val="24"/>
              </w:rPr>
              <w:t>任务3</w:t>
            </w:r>
            <w:r>
              <w:rPr>
                <w:rFonts w:asciiTheme="minorEastAsia" w:eastAsiaTheme="minorEastAsia" w:hAnsiTheme="minorEastAsia" w:cs="仿宋_GB2312" w:hint="eastAsia"/>
                <w:color w:val="000000"/>
                <w:sz w:val="24"/>
              </w:rPr>
              <w:t>:</w:t>
            </w:r>
            <w:r w:rsidRPr="0027330D">
              <w:rPr>
                <w:rFonts w:asciiTheme="minorEastAsia" w:eastAsiaTheme="minorEastAsia" w:hAnsiTheme="minorEastAsia" w:cs="仿宋_GB2312" w:hint="eastAsia"/>
                <w:color w:val="000000"/>
                <w:sz w:val="24"/>
              </w:rPr>
              <w:t>加强安全宣传教育，提升全员安全意识。</w:t>
            </w:r>
          </w:p>
          <w:p w:rsidR="00113A63" w:rsidRPr="0027330D" w:rsidRDefault="0027330D" w:rsidP="0027330D">
            <w:pPr>
              <w:autoSpaceDN w:val="0"/>
              <w:spacing w:line="320" w:lineRule="exact"/>
              <w:jc w:val="left"/>
              <w:textAlignment w:val="center"/>
              <w:rPr>
                <w:rFonts w:asciiTheme="minorEastAsia" w:eastAsiaTheme="minorEastAsia" w:hAnsiTheme="minorEastAsia" w:cs="仿宋_GB2312"/>
                <w:color w:val="000000"/>
                <w:sz w:val="24"/>
              </w:rPr>
            </w:pPr>
            <w:r w:rsidRPr="0027330D">
              <w:rPr>
                <w:rFonts w:asciiTheme="minorEastAsia" w:eastAsiaTheme="minorEastAsia" w:hAnsiTheme="minorEastAsia" w:cs="仿宋_GB2312" w:hint="eastAsia"/>
                <w:color w:val="000000"/>
                <w:sz w:val="24"/>
              </w:rPr>
              <w:t>任务4：</w:t>
            </w:r>
            <w:r w:rsidRPr="0027330D">
              <w:rPr>
                <w:rFonts w:asciiTheme="minorEastAsia" w:eastAsiaTheme="minorEastAsia" w:hAnsiTheme="minorEastAsia" w:cs="仿宋_GB2312"/>
                <w:color w:val="000000"/>
                <w:sz w:val="24"/>
              </w:rPr>
              <w:t>突出重点保障农民工工资支付</w:t>
            </w:r>
            <w:r w:rsidRPr="0027330D">
              <w:rPr>
                <w:rFonts w:asciiTheme="minorEastAsia" w:eastAsiaTheme="minorEastAsia" w:hAnsiTheme="minorEastAsia" w:cs="仿宋_GB2312" w:hint="eastAsia"/>
                <w:color w:val="000000"/>
                <w:sz w:val="24"/>
              </w:rPr>
              <w:t>及加强农民工实名制管理工作</w:t>
            </w:r>
            <w:r w:rsidRPr="0027330D">
              <w:rPr>
                <w:rFonts w:asciiTheme="minorEastAsia" w:eastAsiaTheme="minorEastAsia" w:hAnsiTheme="minorEastAsia" w:cs="仿宋_GB2312"/>
                <w:color w:val="000000"/>
                <w:sz w:val="24"/>
              </w:rPr>
              <w:t>、强力推进施工现场安全标准化</w:t>
            </w:r>
            <w:r w:rsidRPr="0027330D">
              <w:rPr>
                <w:rFonts w:asciiTheme="minorEastAsia" w:eastAsiaTheme="minorEastAsia" w:hAnsiTheme="minorEastAsia" w:cs="仿宋_GB2312" w:hint="eastAsia"/>
                <w:color w:val="000000"/>
                <w:sz w:val="24"/>
              </w:rPr>
              <w:t>考评</w:t>
            </w:r>
            <w:r w:rsidRPr="0027330D">
              <w:rPr>
                <w:rFonts w:asciiTheme="minorEastAsia" w:eastAsiaTheme="minorEastAsia" w:hAnsiTheme="minorEastAsia" w:cs="仿宋_GB2312"/>
                <w:color w:val="000000"/>
                <w:sz w:val="24"/>
              </w:rPr>
              <w:t>工作、</w:t>
            </w:r>
            <w:r w:rsidRPr="0027330D">
              <w:rPr>
                <w:rFonts w:asciiTheme="minorEastAsia" w:eastAsiaTheme="minorEastAsia" w:hAnsiTheme="minorEastAsia" w:cs="仿宋_GB2312" w:hint="eastAsia"/>
                <w:color w:val="000000"/>
                <w:sz w:val="24"/>
              </w:rPr>
              <w:t>强化工程安全监管，加强施工过程中安全风险隐患管控。</w:t>
            </w:r>
          </w:p>
        </w:tc>
      </w:tr>
      <w:tr w:rsidR="00113A63">
        <w:trPr>
          <w:trHeight w:val="552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年度部门（单位）总体运行情况及</w:t>
            </w:r>
          </w:p>
          <w:p w:rsidR="00113A63" w:rsidRDefault="0027330D">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取得的成绩</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rPr>
                <w:rFonts w:asciiTheme="minorEastAsia" w:eastAsiaTheme="minorEastAsia" w:hAnsiTheme="minorEastAsia" w:cs="仿宋_GB2312"/>
                <w:color w:val="000000"/>
                <w:sz w:val="24"/>
              </w:rPr>
            </w:pPr>
          </w:p>
          <w:p w:rsidR="00113A63" w:rsidRDefault="0027330D">
            <w:pPr>
              <w:rPr>
                <w:rFonts w:asciiTheme="minorEastAsia" w:eastAsiaTheme="minorEastAsia" w:hAnsiTheme="minorEastAsia" w:cs="仿宋_GB2312"/>
                <w:color w:val="000000"/>
                <w:sz w:val="24"/>
              </w:rPr>
            </w:pPr>
            <w:r w:rsidRPr="0027330D">
              <w:rPr>
                <w:rFonts w:asciiTheme="minorEastAsia" w:eastAsiaTheme="minorEastAsia" w:hAnsiTheme="minorEastAsia" w:cs="仿宋_GB2312" w:hint="eastAsia"/>
                <w:color w:val="000000"/>
                <w:sz w:val="24"/>
              </w:rPr>
              <w:t>安全生产方面：</w:t>
            </w:r>
            <w:r>
              <w:rPr>
                <w:rFonts w:asciiTheme="minorEastAsia" w:eastAsiaTheme="minorEastAsia" w:hAnsiTheme="minorEastAsia" w:cs="仿宋_GB2312" w:hint="eastAsia"/>
                <w:color w:val="000000"/>
                <w:sz w:val="24"/>
              </w:rPr>
              <w:t>开展“安全生产专项整治三年行动”“打非治违”“岁末年初安全生产百日大会战”等专项整治行动，确保建筑市政领域安全生产无事故。</w:t>
            </w:r>
          </w:p>
          <w:p w:rsidR="00113A63" w:rsidRDefault="00113A63">
            <w:pPr>
              <w:rPr>
                <w:rFonts w:asciiTheme="minorEastAsia" w:eastAsiaTheme="minorEastAsia" w:hAnsiTheme="minorEastAsia" w:cs="仿宋_GB2312"/>
                <w:color w:val="000000"/>
                <w:sz w:val="24"/>
              </w:rPr>
            </w:pPr>
          </w:p>
        </w:tc>
      </w:tr>
      <w:tr w:rsidR="00113A63">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二、部门（单位）收支情况</w:t>
            </w:r>
          </w:p>
        </w:tc>
      </w:tr>
      <w:tr w:rsidR="00113A63">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年度收入情况（万元）</w:t>
            </w:r>
          </w:p>
        </w:tc>
      </w:tr>
      <w:tr w:rsidR="00113A63">
        <w:trPr>
          <w:trHeight w:val="567"/>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收入合计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r>
      <w:tr w:rsidR="00113A63">
        <w:trPr>
          <w:trHeight w:val="101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上年结转</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公共财</w:t>
            </w:r>
          </w:p>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政拨款</w:t>
            </w: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政府基金拨款</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纳入专户管理的非税收入拨款</w:t>
            </w: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其他</w:t>
            </w:r>
          </w:p>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收入</w:t>
            </w:r>
          </w:p>
        </w:tc>
      </w:tr>
      <w:tr w:rsidR="00113A63">
        <w:trPr>
          <w:trHeight w:val="772"/>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建筑市场服务中心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376.86</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27330D" w:rsidP="0027330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85.14</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291.72</w:t>
            </w: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r>
      <w:tr w:rsidR="00113A63">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spacing w:line="320" w:lineRule="exac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r>
      <w:tr w:rsidR="00113A63">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spacing w:line="320" w:lineRule="exac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tc>
      </w:tr>
      <w:tr w:rsidR="00113A63">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spacing w:line="320" w:lineRule="exac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tc>
      </w:tr>
      <w:tr w:rsidR="00113A63">
        <w:trPr>
          <w:trHeight w:val="624"/>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部门（单位）年度支出和结余情况（万元）</w:t>
            </w:r>
          </w:p>
        </w:tc>
      </w:tr>
      <w:tr w:rsidR="00113A63">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snapToGrid w:val="0"/>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支出合计</w:t>
            </w:r>
          </w:p>
        </w:tc>
        <w:tc>
          <w:tcPr>
            <w:tcW w:w="5041" w:type="dxa"/>
            <w:gridSpan w:val="9"/>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979"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结余</w:t>
            </w:r>
          </w:p>
        </w:tc>
      </w:tr>
      <w:tr w:rsidR="00113A63">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355"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基本支出</w:t>
            </w:r>
          </w:p>
        </w:tc>
        <w:tc>
          <w:tcPr>
            <w:tcW w:w="2410" w:type="dxa"/>
            <w:gridSpan w:val="3"/>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276" w:type="dxa"/>
            <w:gridSpan w:val="4"/>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项目支出</w:t>
            </w:r>
          </w:p>
        </w:tc>
        <w:tc>
          <w:tcPr>
            <w:tcW w:w="992" w:type="dxa"/>
            <w:gridSpan w:val="2"/>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当年结余</w:t>
            </w:r>
          </w:p>
        </w:tc>
        <w:tc>
          <w:tcPr>
            <w:tcW w:w="987"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累计结余</w:t>
            </w:r>
          </w:p>
        </w:tc>
      </w:tr>
      <w:tr w:rsidR="00113A63">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355" w:type="dxa"/>
            <w:gridSpan w:val="2"/>
            <w:vMerge/>
            <w:tcBorders>
              <w:top w:val="single" w:sz="4" w:space="0" w:color="auto"/>
              <w:left w:val="single" w:sz="4" w:space="0" w:color="auto"/>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人员支出</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公用支出</w:t>
            </w:r>
          </w:p>
        </w:tc>
        <w:tc>
          <w:tcPr>
            <w:tcW w:w="1276" w:type="dxa"/>
            <w:gridSpan w:val="4"/>
            <w:vMerge/>
            <w:tcBorders>
              <w:top w:val="single" w:sz="4" w:space="0" w:color="auto"/>
              <w:left w:val="single" w:sz="4" w:space="0" w:color="000000"/>
              <w:bottom w:val="single" w:sz="4" w:space="0" w:color="000000"/>
              <w:right w:val="single" w:sz="4" w:space="0" w:color="auto"/>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987" w:type="dxa"/>
            <w:gridSpan w:val="2"/>
            <w:vMerge/>
            <w:tcBorders>
              <w:top w:val="single" w:sz="4" w:space="0" w:color="auto"/>
              <w:left w:val="single" w:sz="4" w:space="0" w:color="auto"/>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r>
      <w:tr w:rsidR="00113A63">
        <w:trPr>
          <w:trHeight w:val="87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建筑市场服务中心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376.86</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376.86</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240.79</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48.24</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c>
          <w:tcPr>
            <w:tcW w:w="992"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c>
          <w:tcPr>
            <w:tcW w:w="98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r>
      <w:tr w:rsidR="00113A63">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spacing w:line="320" w:lineRule="exact"/>
              <w:jc w:val="left"/>
              <w:rPr>
                <w:rFonts w:asciiTheme="minorEastAsia" w:eastAsiaTheme="minorEastAsia" w:hAnsiTheme="minorEastAsia" w:cs="仿宋_GB2312"/>
                <w:color w:val="000000"/>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c>
          <w:tcPr>
            <w:tcW w:w="992"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c>
          <w:tcPr>
            <w:tcW w:w="98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olor w:val="000000"/>
                <w:sz w:val="24"/>
              </w:rPr>
            </w:pPr>
          </w:p>
        </w:tc>
      </w:tr>
      <w:tr w:rsidR="00113A63">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spacing w:line="320" w:lineRule="exact"/>
              <w:jc w:val="left"/>
              <w:rPr>
                <w:rFonts w:asciiTheme="minorEastAsia" w:eastAsiaTheme="minorEastAsia" w:hAnsiTheme="minorEastAsia" w:cs="仿宋_GB2312"/>
                <w:color w:val="000000"/>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992"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98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r>
      <w:tr w:rsidR="00113A63">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三公经费</w:t>
            </w:r>
          </w:p>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r>
      <w:tr w:rsidR="00113A63">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公务接待费</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公务用车运维费</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公务用车购置费</w:t>
            </w: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因公出国费</w:t>
            </w:r>
          </w:p>
        </w:tc>
      </w:tr>
      <w:tr w:rsidR="00113A63">
        <w:trPr>
          <w:trHeight w:val="858"/>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建筑市场服务中心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r>
      <w:tr w:rsidR="00113A63">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spacing w:line="320" w:lineRule="exact"/>
              <w:jc w:val="lef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r>
      <w:tr w:rsidR="00113A63">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spacing w:line="320" w:lineRule="exact"/>
              <w:jc w:val="lef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r>
      <w:tr w:rsidR="00113A63">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spacing w:line="320" w:lineRule="exact"/>
              <w:jc w:val="lef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r>
      <w:tr w:rsidR="00113A63">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固定资产</w:t>
            </w:r>
          </w:p>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合计</w:t>
            </w:r>
          </w:p>
        </w:tc>
        <w:tc>
          <w:tcPr>
            <w:tcW w:w="6079" w:type="dxa"/>
            <w:gridSpan w:val="12"/>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941" w:type="dxa"/>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其他</w:t>
            </w:r>
          </w:p>
        </w:tc>
      </w:tr>
      <w:tr w:rsidR="00113A63">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在用固定资产</w:t>
            </w:r>
          </w:p>
        </w:tc>
        <w:tc>
          <w:tcPr>
            <w:tcW w:w="3644" w:type="dxa"/>
            <w:gridSpan w:val="8"/>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出租固定资产</w:t>
            </w:r>
          </w:p>
        </w:tc>
        <w:tc>
          <w:tcPr>
            <w:tcW w:w="941" w:type="dxa"/>
            <w:vMerge/>
            <w:tcBorders>
              <w:top w:val="single" w:sz="4" w:space="0" w:color="000000"/>
              <w:left w:val="single" w:sz="4" w:space="0" w:color="auto"/>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r>
      <w:tr w:rsidR="00113A63">
        <w:trPr>
          <w:trHeight w:val="855"/>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建筑市场服务中心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60.78</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60.78</w:t>
            </w:r>
          </w:p>
        </w:tc>
        <w:tc>
          <w:tcPr>
            <w:tcW w:w="3644"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94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r>
      <w:tr w:rsidR="00113A63">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spacing w:line="320" w:lineRule="exact"/>
              <w:jc w:val="lef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3644"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94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r>
      <w:tr w:rsidR="00113A63">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spacing w:line="320" w:lineRule="exact"/>
              <w:jc w:val="lef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3644"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c>
          <w:tcPr>
            <w:tcW w:w="94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r>
      <w:tr w:rsidR="00113A63">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t>三、部门（单位）整体支出绩效自评情况</w:t>
            </w:r>
          </w:p>
        </w:tc>
      </w:tr>
      <w:tr w:rsidR="00113A63">
        <w:trPr>
          <w:trHeight w:val="693"/>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整体支出绩效定性目标及实施计划完成情况</w:t>
            </w: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预期目标</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实际完成</w:t>
            </w:r>
          </w:p>
        </w:tc>
      </w:tr>
      <w:tr w:rsidR="00113A63">
        <w:trPr>
          <w:trHeight w:val="413"/>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w:t>
            </w:r>
          </w:p>
          <w:p w:rsidR="00113A63" w:rsidRDefault="0027330D">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目标1：推进建筑工地专项整治行动，确保安全事故零发生；</w:t>
            </w:r>
          </w:p>
          <w:p w:rsidR="00113A63" w:rsidRDefault="0027330D">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目标2：及时完成省、市、县下达的各项任务。</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rPr>
                <w:rFonts w:asciiTheme="minorEastAsia" w:eastAsiaTheme="minorEastAsia" w:hAnsiTheme="minorEastAsia" w:cs="仿宋_GB2312"/>
                <w:color w:val="000000"/>
                <w:sz w:val="24"/>
              </w:rPr>
            </w:pPr>
          </w:p>
          <w:p w:rsidR="00113A63" w:rsidRDefault="0027330D">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1.安全生产方面：</w:t>
            </w:r>
            <w:r>
              <w:rPr>
                <w:rFonts w:asciiTheme="minorEastAsia" w:eastAsiaTheme="minorEastAsia" w:hAnsiTheme="minorEastAsia" w:cs="仿宋_GB2312" w:hint="eastAsia"/>
                <w:color w:val="000000"/>
                <w:sz w:val="24"/>
              </w:rPr>
              <w:t>严格质量安全监管，认真开展安全检查，狠抓安全隐患排查治理。结合“安全生产专项整治三年行动”“打非治违”“岁末年初安全生产百日大会战”等专项整治行动，排查出230处隐患，封停起重设备2台。全年建筑市政领域安全生产无事故。</w:t>
            </w:r>
          </w:p>
          <w:p w:rsidR="00113A63" w:rsidRDefault="00113A63">
            <w:pPr>
              <w:rPr>
                <w:rFonts w:asciiTheme="minorEastAsia" w:eastAsiaTheme="minorEastAsia" w:hAnsiTheme="minorEastAsia" w:cs="仿宋_GB2312"/>
                <w:color w:val="000000"/>
                <w:sz w:val="24"/>
              </w:rPr>
            </w:pPr>
          </w:p>
          <w:p w:rsidR="00113A63" w:rsidRDefault="0027330D">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2文明创建、档案管理、扫黑除恶、禁毒、工青妇、食品安全等工作均较好的完成了年度任务目标。</w:t>
            </w:r>
          </w:p>
        </w:tc>
      </w:tr>
      <w:tr w:rsidR="00113A63">
        <w:trPr>
          <w:trHeight w:val="567"/>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整体支出</w:t>
            </w:r>
          </w:p>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绩效定量目标及实施计划完成情况</w:t>
            </w:r>
          </w:p>
        </w:tc>
        <w:tc>
          <w:tcPr>
            <w:tcW w:w="296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评价内容</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绩效目标</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完成情况</w:t>
            </w:r>
          </w:p>
        </w:tc>
      </w:tr>
      <w:tr w:rsidR="00113A63">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产出目标</w:t>
            </w:r>
          </w:p>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（部门工作实绩，包含上级部门和市委市政府布置的重点工作、实事任务等，根据部门实际进行调整细化）</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质量指标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指标1：审批服务机制</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优化</w:t>
            </w:r>
          </w:p>
        </w:tc>
      </w:tr>
      <w:tr w:rsidR="00113A63">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center"/>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指标2：工程质量安全</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严格质量安全监管，全年建筑领域安全生产无事故。</w:t>
            </w:r>
          </w:p>
        </w:tc>
      </w:tr>
      <w:tr w:rsidR="00113A63">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指标3：水质检测</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水质综合检测合格</w:t>
            </w:r>
          </w:p>
        </w:tc>
      </w:tr>
      <w:tr w:rsidR="00113A63">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417" w:type="dxa"/>
            <w:gridSpan w:val="2"/>
            <w:vMerge w:val="restart"/>
            <w:tcBorders>
              <w:top w:val="single" w:sz="4" w:space="0" w:color="000000"/>
              <w:left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数量指标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指标1：基础设施建设</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textAlignment w:val="center"/>
              <w:rPr>
                <w:rFonts w:asciiTheme="minorEastAsia" w:eastAsiaTheme="minorEastAsia" w:hAnsiTheme="minorEastAsia" w:cs="仿宋_GB2312"/>
                <w:color w:val="000000"/>
                <w:sz w:val="24"/>
              </w:rPr>
            </w:pPr>
          </w:p>
        </w:tc>
      </w:tr>
      <w:tr w:rsidR="00113A63">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417" w:type="dxa"/>
            <w:gridSpan w:val="2"/>
            <w:vMerge/>
            <w:tcBorders>
              <w:left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指标2：质量安全监管</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textAlignment w:val="center"/>
              <w:rPr>
                <w:rFonts w:asciiTheme="minorEastAsia" w:eastAsiaTheme="minorEastAsia" w:hAnsiTheme="minorEastAsia" w:cs="仿宋_GB2312"/>
                <w:color w:val="000000"/>
                <w:sz w:val="24"/>
              </w:rPr>
            </w:pPr>
          </w:p>
        </w:tc>
      </w:tr>
      <w:tr w:rsidR="00113A63">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417" w:type="dxa"/>
            <w:gridSpan w:val="2"/>
            <w:vMerge/>
            <w:tcBorders>
              <w:left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指标3：房地产市场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textAlignment w:val="center"/>
              <w:rPr>
                <w:rFonts w:asciiTheme="minorEastAsia" w:eastAsiaTheme="minorEastAsia" w:hAnsiTheme="minorEastAsia" w:cs="仿宋_GB2312"/>
                <w:color w:val="000000"/>
                <w:sz w:val="24"/>
              </w:rPr>
            </w:pPr>
          </w:p>
        </w:tc>
      </w:tr>
      <w:tr w:rsidR="00113A63">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417" w:type="dxa"/>
            <w:gridSpan w:val="2"/>
            <w:vMerge/>
            <w:tcBorders>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指标4：人防建设</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textAlignment w:val="center"/>
              <w:rPr>
                <w:rFonts w:asciiTheme="minorEastAsia" w:eastAsiaTheme="minorEastAsia" w:hAnsiTheme="minorEastAsia" w:cs="仿宋_GB2312"/>
                <w:b/>
                <w:color w:val="000000"/>
                <w:sz w:val="24"/>
              </w:rPr>
            </w:pPr>
          </w:p>
        </w:tc>
      </w:tr>
      <w:tr w:rsidR="00113A63">
        <w:trPr>
          <w:trHeight w:val="74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时效指标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指标1：2021年度</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2021年1月-2021年12月</w:t>
            </w:r>
          </w:p>
        </w:tc>
      </w:tr>
      <w:tr w:rsidR="00113A63">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成本指标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指标1：基本支出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严格预算执行</w:t>
            </w:r>
          </w:p>
        </w:tc>
      </w:tr>
      <w:tr w:rsidR="00113A63">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指标2：项目支出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严格预算执行</w:t>
            </w:r>
          </w:p>
        </w:tc>
      </w:tr>
      <w:tr w:rsidR="00113A63">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效益目标</w:t>
            </w:r>
          </w:p>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（预期实现的效益）</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社会效益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指标1：提高人居生活质量，改善民居环境</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市基础设施逐步完善、城市发展呈新风貌</w:t>
            </w:r>
          </w:p>
        </w:tc>
      </w:tr>
      <w:tr w:rsidR="00113A63">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经济效益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指标1：节约社会资源，减少管理成本</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b/>
                <w:color w:val="000000"/>
                <w:sz w:val="24"/>
              </w:rPr>
            </w:pPr>
          </w:p>
        </w:tc>
      </w:tr>
      <w:tr w:rsidR="00113A63">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生态效益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指标1：保护环境、减少污染</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积极推动落实洞庭清波专项行动，城市环境承载能力持续提升</w:t>
            </w:r>
          </w:p>
        </w:tc>
      </w:tr>
      <w:tr w:rsidR="00113A63">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113A63" w:rsidRDefault="00113A63">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社会公众或服务对象满意度</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指标1：社会公众满意度</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rsidP="00833B3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w:t>
            </w:r>
            <w:r w:rsidR="00833B37">
              <w:rPr>
                <w:rFonts w:asciiTheme="minorEastAsia" w:eastAsiaTheme="minorEastAsia" w:hAnsiTheme="minorEastAsia" w:cs="仿宋_GB2312" w:hint="eastAsia"/>
                <w:color w:val="000000"/>
                <w:sz w:val="24"/>
              </w:rPr>
              <w:t>7%</w:t>
            </w:r>
          </w:p>
        </w:tc>
      </w:tr>
      <w:tr w:rsidR="00113A63">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绩效自评综合得分</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97.5</w:t>
            </w:r>
          </w:p>
        </w:tc>
      </w:tr>
      <w:tr w:rsidR="00113A63">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评价等次</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优秀</w:t>
            </w:r>
          </w:p>
        </w:tc>
      </w:tr>
      <w:tr w:rsidR="00113A63">
        <w:trPr>
          <w:trHeight w:val="680"/>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t>四、评价人员</w:t>
            </w:r>
          </w:p>
        </w:tc>
      </w:tr>
      <w:tr w:rsidR="00113A63">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姓  名</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职务/职称</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单  位</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签  字</w:t>
            </w:r>
          </w:p>
        </w:tc>
      </w:tr>
      <w:tr w:rsidR="00113A63">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周铮</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建筑市场</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r>
      <w:tr w:rsidR="00113A63">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高烨</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书记</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建筑市场</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r>
      <w:tr w:rsidR="00113A63">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方华</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建筑市场</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r>
      <w:tr w:rsidR="00113A63">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许露星</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建筑市场</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r>
      <w:tr w:rsidR="00113A63">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赵中林</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建筑市场</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113A63">
            <w:pPr>
              <w:autoSpaceDN w:val="0"/>
              <w:spacing w:line="320" w:lineRule="exact"/>
              <w:jc w:val="center"/>
              <w:textAlignment w:val="center"/>
              <w:rPr>
                <w:rFonts w:asciiTheme="minorEastAsia" w:eastAsiaTheme="minorEastAsia" w:hAnsiTheme="minorEastAsia" w:cs="仿宋_GB2312"/>
                <w:color w:val="000000"/>
                <w:sz w:val="24"/>
              </w:rPr>
            </w:pPr>
          </w:p>
        </w:tc>
      </w:tr>
      <w:tr w:rsidR="00113A63">
        <w:trPr>
          <w:trHeight w:val="2443"/>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评价组组长（签字）：</w:t>
            </w:r>
          </w:p>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p w:rsidR="00113A63" w:rsidRDefault="0027330D">
            <w:pPr>
              <w:spacing w:line="440" w:lineRule="exact"/>
              <w:jc w:val="center"/>
              <w:rPr>
                <w:rFonts w:eastAsia="仿宋_GB2312"/>
                <w:sz w:val="24"/>
              </w:rPr>
            </w:pPr>
            <w:r>
              <w:rPr>
                <w:rFonts w:eastAsia="仿宋_GB2312" w:hint="eastAsia"/>
                <w:sz w:val="24"/>
              </w:rPr>
              <w:t>同意自评考核。</w:t>
            </w:r>
          </w:p>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p w:rsidR="00113A63" w:rsidRDefault="0027330D">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2022 年 6 月 1日</w:t>
            </w:r>
          </w:p>
        </w:tc>
      </w:tr>
      <w:tr w:rsidR="00113A63">
        <w:trPr>
          <w:trHeight w:val="319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13A63" w:rsidRDefault="0027330D">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lastRenderedPageBreak/>
              <w:t>部门（单位）意见：</w:t>
            </w:r>
          </w:p>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p w:rsidR="00113A63" w:rsidRDefault="0027330D">
            <w:pPr>
              <w:spacing w:line="440" w:lineRule="exact"/>
              <w:jc w:val="center"/>
              <w:rPr>
                <w:rFonts w:eastAsia="仿宋_GB2312"/>
                <w:sz w:val="24"/>
              </w:rPr>
            </w:pPr>
            <w:r>
              <w:rPr>
                <w:rFonts w:eastAsia="仿宋_GB2312" w:hint="eastAsia"/>
                <w:sz w:val="24"/>
              </w:rPr>
              <w:t>同意自评考核。</w:t>
            </w:r>
          </w:p>
          <w:p w:rsidR="00113A63" w:rsidRDefault="00113A63">
            <w:pPr>
              <w:spacing w:line="440" w:lineRule="exact"/>
              <w:rPr>
                <w:rFonts w:eastAsia="仿宋_GB2312"/>
                <w:sz w:val="24"/>
              </w:rPr>
            </w:pPr>
          </w:p>
          <w:p w:rsidR="00113A63" w:rsidRDefault="0027330D">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部门（单位）负责人（签章）：</w:t>
            </w:r>
          </w:p>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p w:rsidR="00113A63" w:rsidRDefault="0027330D">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2022 年 6 月 1日</w:t>
            </w:r>
          </w:p>
          <w:p w:rsidR="00113A63" w:rsidRDefault="00113A63">
            <w:pPr>
              <w:autoSpaceDN w:val="0"/>
              <w:spacing w:line="320" w:lineRule="exact"/>
              <w:jc w:val="left"/>
              <w:textAlignment w:val="center"/>
              <w:rPr>
                <w:rFonts w:asciiTheme="minorEastAsia" w:eastAsiaTheme="minorEastAsia" w:hAnsiTheme="minorEastAsia" w:cs="仿宋_GB2312"/>
                <w:color w:val="000000"/>
                <w:sz w:val="24"/>
              </w:rPr>
            </w:pPr>
          </w:p>
        </w:tc>
      </w:tr>
    </w:tbl>
    <w:p w:rsidR="00113A63" w:rsidRDefault="0027330D">
      <w:pPr>
        <w:rPr>
          <w:rFonts w:eastAsia="仿宋_GB2312" w:cs="仿宋_GB2312"/>
          <w:bCs/>
          <w:sz w:val="28"/>
          <w:szCs w:val="28"/>
        </w:rPr>
      </w:pPr>
      <w:r>
        <w:rPr>
          <w:rFonts w:eastAsia="仿宋_GB2312" w:cs="仿宋_GB2312" w:hint="eastAsia"/>
          <w:bCs/>
          <w:sz w:val="28"/>
          <w:szCs w:val="28"/>
        </w:rPr>
        <w:t>填报人（签名）：李颖</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7622128</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113A63">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113A63" w:rsidRDefault="0027330D">
            <w:pPr>
              <w:jc w:val="center"/>
              <w:rPr>
                <w:rFonts w:asciiTheme="minorEastAsia" w:eastAsiaTheme="minorEastAsia" w:hAnsiTheme="minorEastAsia" w:cs="黑体"/>
                <w:bCs/>
                <w:sz w:val="28"/>
                <w:szCs w:val="28"/>
              </w:rPr>
            </w:pPr>
            <w:r>
              <w:rPr>
                <w:rFonts w:asciiTheme="minorEastAsia" w:eastAsiaTheme="minorEastAsia" w:hAnsiTheme="minorEastAsia" w:cs="黑体" w:hint="eastAsia"/>
                <w:bCs/>
                <w:sz w:val="28"/>
                <w:szCs w:val="28"/>
              </w:rPr>
              <w:lastRenderedPageBreak/>
              <w:t>五、评价报告综述</w:t>
            </w:r>
          </w:p>
          <w:p w:rsidR="00113A63" w:rsidRDefault="0027330D" w:rsidP="007415B2">
            <w:pPr>
              <w:spacing w:line="520" w:lineRule="exact"/>
              <w:ind w:firstLineChars="298" w:firstLine="718"/>
              <w:rPr>
                <w:rFonts w:asciiTheme="minorEastAsia" w:eastAsiaTheme="minorEastAsia" w:hAnsiTheme="minorEastAsia" w:cs="黑体"/>
                <w:b/>
                <w:bCs/>
                <w:sz w:val="24"/>
              </w:rPr>
            </w:pPr>
            <w:r>
              <w:rPr>
                <w:rFonts w:asciiTheme="minorEastAsia" w:eastAsiaTheme="minorEastAsia" w:hAnsiTheme="minorEastAsia" w:hint="eastAsia"/>
                <w:b/>
                <w:bCs/>
                <w:sz w:val="24"/>
              </w:rPr>
              <w:t>一、</w:t>
            </w:r>
            <w:r>
              <w:rPr>
                <w:rFonts w:asciiTheme="minorEastAsia" w:eastAsiaTheme="minorEastAsia" w:hAnsiTheme="minorEastAsia" w:cs="黑体" w:hint="eastAsia"/>
                <w:b/>
                <w:bCs/>
                <w:sz w:val="24"/>
              </w:rPr>
              <w:t>部门（单位）概况</w:t>
            </w:r>
          </w:p>
          <w:p w:rsidR="00113A63" w:rsidRDefault="0027330D">
            <w:pPr>
              <w:spacing w:line="52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（一）</w:t>
            </w:r>
            <w:r>
              <w:rPr>
                <w:rFonts w:asciiTheme="minorEastAsia" w:eastAsiaTheme="minorEastAsia" w:hAnsiTheme="minorEastAsia" w:hint="eastAsia"/>
                <w:bCs/>
                <w:sz w:val="24"/>
              </w:rPr>
              <w:t>、</w:t>
            </w:r>
            <w:r>
              <w:rPr>
                <w:rFonts w:asciiTheme="minorEastAsia" w:eastAsiaTheme="minorEastAsia" w:hAnsiTheme="minorEastAsia"/>
                <w:bCs/>
                <w:sz w:val="24"/>
              </w:rPr>
              <w:t>单位基本情况</w:t>
            </w:r>
          </w:p>
          <w:p w:rsidR="00113A63" w:rsidRPr="007415B2" w:rsidRDefault="0027330D">
            <w:pPr>
              <w:pStyle w:val="a6"/>
              <w:shd w:val="clear" w:color="auto" w:fill="FFFFFF"/>
              <w:spacing w:before="0" w:beforeAutospacing="0" w:after="0" w:afterAutospacing="0"/>
              <w:ind w:firstLine="420"/>
              <w:jc w:val="both"/>
              <w:rPr>
                <w:rFonts w:asciiTheme="minorEastAsia" w:eastAsiaTheme="minorEastAsia" w:hAnsiTheme="minorEastAsia" w:cs="Times New Roman"/>
                <w:kern w:val="2"/>
              </w:rPr>
            </w:pPr>
            <w:r w:rsidRPr="007415B2">
              <w:rPr>
                <w:rFonts w:asciiTheme="minorEastAsia" w:eastAsiaTheme="minorEastAsia" w:hAnsiTheme="minorEastAsia" w:cs="Times New Roman" w:hint="eastAsia"/>
                <w:kern w:val="2"/>
              </w:rPr>
              <w:t>岳阳县建筑市场服务中心属岳阳县住房和城乡建设局二级机构，副科级单位。岳阳县建设工程造价服务中心，岳阳县建筑工程安全监督站合署办公，实行一套机构、三个名称。</w:t>
            </w:r>
          </w:p>
          <w:p w:rsidR="00113A63" w:rsidRPr="007415B2" w:rsidRDefault="0027330D">
            <w:pPr>
              <w:pStyle w:val="a6"/>
              <w:shd w:val="clear" w:color="auto" w:fill="FFFFFF"/>
              <w:spacing w:before="0" w:beforeAutospacing="0" w:after="0" w:afterAutospacing="0"/>
              <w:ind w:firstLine="420"/>
              <w:jc w:val="both"/>
              <w:rPr>
                <w:rFonts w:asciiTheme="minorEastAsia" w:eastAsiaTheme="minorEastAsia" w:hAnsiTheme="minorEastAsia" w:cs="Times New Roman"/>
                <w:kern w:val="2"/>
              </w:rPr>
            </w:pPr>
            <w:r w:rsidRPr="007415B2">
              <w:rPr>
                <w:rFonts w:asciiTheme="minorEastAsia" w:eastAsiaTheme="minorEastAsia" w:hAnsiTheme="minorEastAsia" w:cs="Times New Roman" w:hint="eastAsia"/>
                <w:kern w:val="2"/>
              </w:rPr>
              <w:t>岳阳县建筑市场服务中心现实有在职人员23人。本单位内设股室7个：办公室、人事股、财务股、企管股、造价站、安全监督站及建筑市场股。</w:t>
            </w:r>
          </w:p>
          <w:p w:rsidR="00113A63" w:rsidRPr="007415B2" w:rsidRDefault="0027330D">
            <w:pPr>
              <w:pStyle w:val="a6"/>
              <w:shd w:val="clear" w:color="auto" w:fill="FFFFFF"/>
              <w:spacing w:before="0" w:beforeAutospacing="0" w:after="0" w:afterAutospacing="0"/>
              <w:ind w:firstLine="420"/>
              <w:jc w:val="both"/>
              <w:rPr>
                <w:rFonts w:asciiTheme="minorEastAsia" w:eastAsiaTheme="minorEastAsia" w:hAnsiTheme="minorEastAsia" w:cs="Times New Roman"/>
                <w:kern w:val="2"/>
              </w:rPr>
            </w:pPr>
            <w:r w:rsidRPr="007415B2">
              <w:rPr>
                <w:rFonts w:asciiTheme="minorEastAsia" w:eastAsiaTheme="minorEastAsia" w:hAnsiTheme="minorEastAsia" w:cs="Times New Roman" w:hint="eastAsia"/>
                <w:kern w:val="2"/>
              </w:rPr>
              <w:t>（二）决算单位构成。</w:t>
            </w:r>
          </w:p>
          <w:p w:rsidR="00113A63" w:rsidRPr="007415B2" w:rsidRDefault="0027330D">
            <w:pPr>
              <w:pStyle w:val="a6"/>
              <w:shd w:val="clear" w:color="auto" w:fill="FFFFFF"/>
              <w:spacing w:before="0" w:beforeAutospacing="0" w:after="0" w:afterAutospacing="0"/>
              <w:ind w:firstLine="420"/>
              <w:jc w:val="both"/>
              <w:rPr>
                <w:rFonts w:asciiTheme="minorEastAsia" w:eastAsiaTheme="minorEastAsia" w:hAnsiTheme="minorEastAsia" w:cs="Times New Roman"/>
                <w:kern w:val="2"/>
              </w:rPr>
            </w:pPr>
            <w:r w:rsidRPr="007415B2">
              <w:rPr>
                <w:rFonts w:asciiTheme="minorEastAsia" w:eastAsiaTheme="minorEastAsia" w:hAnsiTheme="minorEastAsia" w:cs="Times New Roman"/>
                <w:kern w:val="2"/>
              </w:rPr>
              <w:t>本单位没有所属二级机构，因此本年度部门预算仅为本级部门预算。</w:t>
            </w:r>
          </w:p>
          <w:p w:rsidR="00113A63" w:rsidRDefault="0027330D">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20</w:t>
            </w:r>
            <w:r>
              <w:rPr>
                <w:rFonts w:asciiTheme="minorEastAsia" w:eastAsiaTheme="minorEastAsia" w:hAnsiTheme="minorEastAsia" w:hint="eastAsia"/>
                <w:sz w:val="24"/>
              </w:rPr>
              <w:t>21</w:t>
            </w:r>
            <w:r>
              <w:rPr>
                <w:rFonts w:asciiTheme="minorEastAsia" w:eastAsiaTheme="minorEastAsia" w:hAnsiTheme="minorEastAsia"/>
                <w:sz w:val="24"/>
              </w:rPr>
              <w:t>年财政预算编制为</w:t>
            </w:r>
            <w:r>
              <w:rPr>
                <w:rFonts w:asciiTheme="minorEastAsia" w:eastAsiaTheme="minorEastAsia" w:hAnsiTheme="minorEastAsia" w:hint="eastAsia"/>
                <w:sz w:val="24"/>
              </w:rPr>
              <w:t>23</w:t>
            </w:r>
            <w:r>
              <w:rPr>
                <w:rFonts w:asciiTheme="minorEastAsia" w:eastAsiaTheme="minorEastAsia" w:hAnsiTheme="minorEastAsia"/>
                <w:sz w:val="24"/>
              </w:rPr>
              <w:t>人、年末实有编制人员为</w:t>
            </w:r>
            <w:r>
              <w:rPr>
                <w:rFonts w:asciiTheme="minorEastAsia" w:eastAsiaTheme="minorEastAsia" w:hAnsiTheme="minorEastAsia" w:hint="eastAsia"/>
                <w:sz w:val="24"/>
              </w:rPr>
              <w:t>40</w:t>
            </w:r>
            <w:r>
              <w:rPr>
                <w:rFonts w:asciiTheme="minorEastAsia" w:eastAsiaTheme="minorEastAsia" w:hAnsiTheme="minorEastAsia"/>
                <w:sz w:val="24"/>
              </w:rPr>
              <w:t>人。</w:t>
            </w:r>
          </w:p>
          <w:p w:rsidR="00113A63" w:rsidRDefault="00113A63">
            <w:pPr>
              <w:spacing w:line="520" w:lineRule="exact"/>
              <w:rPr>
                <w:rFonts w:asciiTheme="minorEastAsia" w:eastAsiaTheme="minorEastAsia" w:hAnsiTheme="minorEastAsia"/>
                <w:sz w:val="24"/>
              </w:rPr>
            </w:pPr>
          </w:p>
          <w:p w:rsidR="00113A63" w:rsidRDefault="0027330D">
            <w:pPr>
              <w:pStyle w:val="a9"/>
              <w:numPr>
                <w:ilvl w:val="0"/>
                <w:numId w:val="2"/>
              </w:numPr>
              <w:spacing w:line="520" w:lineRule="exact"/>
              <w:ind w:firstLineChars="0"/>
              <w:rPr>
                <w:rFonts w:asciiTheme="minorEastAsia" w:eastAsiaTheme="minorEastAsia" w:hAnsiTheme="minorEastAsia"/>
                <w:b/>
                <w:sz w:val="24"/>
              </w:rPr>
            </w:pPr>
            <w:r>
              <w:rPr>
                <w:rFonts w:asciiTheme="minorEastAsia" w:eastAsiaTheme="minorEastAsia" w:hAnsiTheme="minorEastAsia"/>
                <w:b/>
                <w:sz w:val="24"/>
              </w:rPr>
              <w:t>部门整体支出管理及使用情况</w:t>
            </w:r>
          </w:p>
          <w:p w:rsidR="00113A63" w:rsidRDefault="0027330D">
            <w:pPr>
              <w:spacing w:line="520" w:lineRule="exact"/>
              <w:ind w:firstLine="465"/>
              <w:rPr>
                <w:rFonts w:asciiTheme="minorEastAsia" w:eastAsiaTheme="minorEastAsia" w:hAnsiTheme="minorEastAsia"/>
                <w:sz w:val="24"/>
              </w:rPr>
            </w:pPr>
            <w:r>
              <w:rPr>
                <w:rFonts w:asciiTheme="minorEastAsia" w:eastAsiaTheme="minorEastAsia" w:hAnsiTheme="minorEastAsia"/>
                <w:sz w:val="24"/>
              </w:rPr>
              <w:t>（一）、基本支出</w:t>
            </w:r>
          </w:p>
          <w:p w:rsidR="00113A63" w:rsidRDefault="0027330D">
            <w:pPr>
              <w:spacing w:line="520" w:lineRule="exact"/>
              <w:ind w:firstLine="465"/>
              <w:rPr>
                <w:rFonts w:asciiTheme="minorEastAsia" w:eastAsiaTheme="minorEastAsia" w:hAnsiTheme="minorEastAsia"/>
                <w:sz w:val="24"/>
              </w:rPr>
            </w:pPr>
            <w:r>
              <w:rPr>
                <w:rFonts w:asciiTheme="minorEastAsia" w:eastAsiaTheme="minorEastAsia" w:hAnsiTheme="minorEastAsia" w:hint="eastAsia"/>
                <w:sz w:val="24"/>
              </w:rPr>
              <w:t>2021</w:t>
            </w:r>
            <w:r>
              <w:rPr>
                <w:rFonts w:asciiTheme="minorEastAsia" w:eastAsiaTheme="minorEastAsia" w:hAnsiTheme="minorEastAsia"/>
                <w:sz w:val="24"/>
              </w:rPr>
              <w:t>年度基本</w:t>
            </w:r>
            <w:r>
              <w:rPr>
                <w:rFonts w:asciiTheme="minorEastAsia" w:eastAsiaTheme="minorEastAsia" w:hAnsiTheme="minorEastAsia" w:hint="eastAsia"/>
                <w:sz w:val="24"/>
              </w:rPr>
              <w:t>支</w:t>
            </w:r>
            <w:r>
              <w:rPr>
                <w:rFonts w:asciiTheme="minorEastAsia" w:eastAsiaTheme="minorEastAsia" w:hAnsiTheme="minorEastAsia"/>
                <w:sz w:val="24"/>
              </w:rPr>
              <w:t>出为</w:t>
            </w:r>
            <w:r>
              <w:rPr>
                <w:rFonts w:asciiTheme="minorEastAsia" w:eastAsiaTheme="minorEastAsia" w:hAnsiTheme="minorEastAsia" w:hint="eastAsia"/>
                <w:sz w:val="24"/>
              </w:rPr>
              <w:t>376.86</w:t>
            </w:r>
            <w:r>
              <w:rPr>
                <w:rFonts w:asciiTheme="minorEastAsia" w:eastAsiaTheme="minorEastAsia" w:hAnsiTheme="minorEastAsia"/>
                <w:sz w:val="24"/>
              </w:rPr>
              <w:t>万元，包括人员经费即职工工资福利费及对个人与家庭补助开支为</w:t>
            </w:r>
            <w:r>
              <w:rPr>
                <w:rFonts w:asciiTheme="minorEastAsia" w:eastAsiaTheme="minorEastAsia" w:hAnsiTheme="minorEastAsia" w:hint="eastAsia"/>
                <w:sz w:val="24"/>
              </w:rPr>
              <w:t>328.62</w:t>
            </w:r>
            <w:r>
              <w:rPr>
                <w:rFonts w:asciiTheme="minorEastAsia" w:eastAsiaTheme="minorEastAsia" w:hAnsiTheme="minorEastAsia"/>
                <w:sz w:val="24"/>
              </w:rPr>
              <w:t>万元，公用支出为</w:t>
            </w:r>
            <w:r>
              <w:rPr>
                <w:rFonts w:asciiTheme="minorEastAsia" w:eastAsiaTheme="minorEastAsia" w:hAnsiTheme="minorEastAsia" w:hint="eastAsia"/>
                <w:sz w:val="24"/>
              </w:rPr>
              <w:t>48.24</w:t>
            </w:r>
            <w:r>
              <w:rPr>
                <w:rFonts w:asciiTheme="minorEastAsia" w:eastAsiaTheme="minorEastAsia" w:hAnsiTheme="minorEastAsia"/>
                <w:sz w:val="24"/>
              </w:rPr>
              <w:t>万元。</w:t>
            </w:r>
          </w:p>
          <w:p w:rsidR="00113A63" w:rsidRDefault="0027330D">
            <w:pPr>
              <w:spacing w:line="520" w:lineRule="exact"/>
              <w:ind w:firstLine="465"/>
              <w:rPr>
                <w:rFonts w:asciiTheme="minorEastAsia" w:eastAsiaTheme="minorEastAsia" w:hAnsiTheme="minorEastAsia"/>
              </w:rPr>
            </w:pPr>
            <w:r>
              <w:rPr>
                <w:rFonts w:asciiTheme="minorEastAsia" w:eastAsiaTheme="minorEastAsia" w:hAnsiTheme="minorEastAsia"/>
                <w:sz w:val="24"/>
              </w:rPr>
              <w:t>需要说明的是公用经费支出中“三公经费”支出为</w:t>
            </w:r>
            <w:r>
              <w:rPr>
                <w:rFonts w:asciiTheme="minorEastAsia" w:eastAsiaTheme="minorEastAsia" w:hAnsiTheme="minorEastAsia" w:hint="eastAsia"/>
                <w:sz w:val="24"/>
              </w:rPr>
              <w:t>0</w:t>
            </w:r>
            <w:r>
              <w:rPr>
                <w:rFonts w:asciiTheme="minorEastAsia" w:eastAsiaTheme="minorEastAsia" w:hAnsiTheme="minorEastAsia"/>
                <w:sz w:val="24"/>
              </w:rPr>
              <w:t>万元，主要用于项目协调公务接待开支等。</w:t>
            </w:r>
            <w:r>
              <w:rPr>
                <w:rFonts w:asciiTheme="minorEastAsia" w:eastAsiaTheme="minorEastAsia" w:hAnsiTheme="minorEastAsia" w:hint="eastAsia"/>
                <w:sz w:val="24"/>
              </w:rPr>
              <w:t>无公务用车支出、无</w:t>
            </w:r>
          </w:p>
          <w:p w:rsidR="00113A63" w:rsidRDefault="0027330D" w:rsidP="007415B2">
            <w:pPr>
              <w:spacing w:line="520" w:lineRule="exact"/>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三、部门（单位）专项组织实施情况</w:t>
            </w:r>
          </w:p>
          <w:p w:rsidR="00113A63" w:rsidRDefault="0027330D">
            <w:pPr>
              <w:spacing w:line="520" w:lineRule="exact"/>
              <w:ind w:firstLineChars="250" w:firstLine="600"/>
              <w:rPr>
                <w:rFonts w:asciiTheme="minorEastAsia" w:eastAsiaTheme="minorEastAsia" w:hAnsiTheme="minorEastAsia"/>
                <w:sz w:val="24"/>
              </w:rPr>
            </w:pPr>
            <w:r>
              <w:rPr>
                <w:rFonts w:asciiTheme="minorEastAsia" w:eastAsiaTheme="minorEastAsia" w:hAnsiTheme="minorEastAsia" w:cs="仿宋_GB2312" w:hint="eastAsia"/>
                <w:bCs/>
                <w:sz w:val="24"/>
              </w:rPr>
              <w:t>按年初政府城建计划要求，所有项目建设均按基本程序执行，即先编制可行性研究报告，报送县发改委批复立项后，按相关职能部门的勘测设计数据做出项目预算，经财政评审中心审批后按</w:t>
            </w:r>
            <w:r>
              <w:rPr>
                <w:rFonts w:asciiTheme="minorEastAsia" w:eastAsiaTheme="minorEastAsia" w:hAnsiTheme="minorEastAsia" w:hint="eastAsia"/>
                <w:sz w:val="24"/>
              </w:rPr>
              <w:t>国家有关工程建设基本程序执行，主体项目实行公开网上公开招投标、与之匹配的服务项目实行政府采购。项目在开工前先办理施工许可后方可进场施工，施工人员均实行实名打卡制。在支付工程进度款时及时向财政出具经建设单位、施工单位、监理单位共同鉴定的工程进度所需的资金报告，待工程款拨付到位后及时支付给项目施工单位。</w:t>
            </w:r>
          </w:p>
          <w:p w:rsidR="00113A63" w:rsidRDefault="0027330D" w:rsidP="007415B2">
            <w:pPr>
              <w:spacing w:line="520" w:lineRule="exact"/>
              <w:ind w:firstLineChars="195" w:firstLine="470"/>
              <w:rPr>
                <w:rFonts w:asciiTheme="minorEastAsia" w:eastAsiaTheme="minorEastAsia" w:hAnsiTheme="minorEastAsia"/>
                <w:b/>
                <w:kern w:val="0"/>
                <w:sz w:val="24"/>
              </w:rPr>
            </w:pPr>
            <w:r>
              <w:rPr>
                <w:rFonts w:asciiTheme="minorEastAsia" w:eastAsiaTheme="minorEastAsia" w:hAnsiTheme="minorEastAsia" w:hint="eastAsia"/>
                <w:b/>
                <w:kern w:val="0"/>
                <w:sz w:val="24"/>
              </w:rPr>
              <w:t>四</w:t>
            </w:r>
            <w:r>
              <w:rPr>
                <w:rFonts w:asciiTheme="minorEastAsia" w:eastAsiaTheme="minorEastAsia" w:hAnsiTheme="minorEastAsia"/>
                <w:b/>
                <w:kern w:val="0"/>
                <w:sz w:val="24"/>
              </w:rPr>
              <w:t>、部门整体支出绩效情况：</w:t>
            </w:r>
          </w:p>
          <w:p w:rsidR="00113A63" w:rsidRPr="007415B2" w:rsidRDefault="0027330D">
            <w:pPr>
              <w:pStyle w:val="a6"/>
              <w:shd w:val="clear" w:color="auto" w:fill="FFFFFF"/>
              <w:spacing w:before="0" w:beforeAutospacing="0" w:after="0" w:afterAutospacing="0"/>
              <w:ind w:firstLine="420"/>
              <w:jc w:val="both"/>
              <w:rPr>
                <w:rFonts w:asciiTheme="minorEastAsia" w:eastAsiaTheme="minorEastAsia" w:hAnsiTheme="minorEastAsia" w:cs="Times New Roman"/>
                <w:kern w:val="2"/>
              </w:rPr>
            </w:pPr>
            <w:r w:rsidRPr="007415B2">
              <w:rPr>
                <w:rFonts w:asciiTheme="minorEastAsia" w:eastAsiaTheme="minorEastAsia" w:hAnsiTheme="minorEastAsia" w:cs="Times New Roman" w:hint="eastAsia"/>
                <w:kern w:val="2"/>
              </w:rPr>
              <w:t>（一）绩效管理工作开展情况。</w:t>
            </w:r>
          </w:p>
          <w:p w:rsidR="00113A63" w:rsidRPr="007415B2" w:rsidRDefault="0027330D">
            <w:pPr>
              <w:pStyle w:val="a6"/>
              <w:shd w:val="clear" w:color="auto" w:fill="FFFFFF"/>
              <w:spacing w:before="0" w:beforeAutospacing="0" w:after="0" w:afterAutospacing="0"/>
              <w:ind w:firstLine="420"/>
              <w:jc w:val="both"/>
              <w:rPr>
                <w:rFonts w:asciiTheme="minorEastAsia" w:eastAsiaTheme="minorEastAsia" w:hAnsiTheme="minorEastAsia" w:cs="Times New Roman"/>
                <w:kern w:val="2"/>
              </w:rPr>
            </w:pPr>
            <w:r w:rsidRPr="007415B2">
              <w:rPr>
                <w:rFonts w:asciiTheme="minorEastAsia" w:eastAsiaTheme="minorEastAsia" w:hAnsiTheme="minorEastAsia" w:cs="Times New Roman" w:hint="eastAsia"/>
                <w:kern w:val="2"/>
              </w:rPr>
              <w:t>一是加强学习。深入学习贯彻习近平新时代中国特色社会主义思想和党的十九大精神，坚持学以致用、学以创业，加强专业知识学习，扩大知识涉猎范围，不断吸收新思想、新观念、新精神、新经验、新方法，并结合本职工作、勇于实践、敢于创新，切实形成了属于自身的思维模式、工作经验和群众方法。</w:t>
            </w:r>
          </w:p>
          <w:p w:rsidR="00113A63" w:rsidRPr="007415B2" w:rsidRDefault="0027330D">
            <w:pPr>
              <w:pStyle w:val="a6"/>
              <w:shd w:val="clear" w:color="auto" w:fill="FFFFFF"/>
              <w:spacing w:before="0" w:beforeAutospacing="0" w:after="0" w:afterAutospacing="0"/>
              <w:ind w:firstLine="420"/>
              <w:jc w:val="both"/>
              <w:rPr>
                <w:rFonts w:asciiTheme="minorEastAsia" w:eastAsiaTheme="minorEastAsia" w:hAnsiTheme="minorEastAsia" w:cs="Times New Roman"/>
                <w:kern w:val="2"/>
              </w:rPr>
            </w:pPr>
            <w:r w:rsidRPr="007415B2">
              <w:rPr>
                <w:rFonts w:asciiTheme="minorEastAsia" w:eastAsiaTheme="minorEastAsia" w:hAnsiTheme="minorEastAsia" w:cs="Times New Roman" w:hint="eastAsia"/>
                <w:kern w:val="2"/>
              </w:rPr>
              <w:t>二是加强管理。弘扬艰苦奋斗的优良传统，坚持量体裁衣、量力而行，合理使用各种</w:t>
            </w:r>
            <w:r w:rsidRPr="007415B2">
              <w:rPr>
                <w:rFonts w:asciiTheme="minorEastAsia" w:eastAsiaTheme="minorEastAsia" w:hAnsiTheme="minorEastAsia" w:cs="Times New Roman" w:hint="eastAsia"/>
                <w:kern w:val="2"/>
              </w:rPr>
              <w:lastRenderedPageBreak/>
              <w:t>经费，合理利用各类资源，坚决克服讲排场、比场面、轻实效的现象，严格控制非生产性开支。</w:t>
            </w:r>
          </w:p>
          <w:p w:rsidR="00113A63" w:rsidRPr="007415B2" w:rsidRDefault="0027330D">
            <w:pPr>
              <w:pStyle w:val="a6"/>
              <w:shd w:val="clear" w:color="auto" w:fill="FFFFFF"/>
              <w:spacing w:before="0" w:beforeAutospacing="0" w:after="0" w:afterAutospacing="0"/>
              <w:ind w:firstLine="420"/>
              <w:jc w:val="both"/>
              <w:rPr>
                <w:rFonts w:asciiTheme="minorEastAsia" w:eastAsiaTheme="minorEastAsia" w:hAnsiTheme="minorEastAsia" w:cs="Times New Roman"/>
                <w:kern w:val="2"/>
              </w:rPr>
            </w:pPr>
            <w:r w:rsidRPr="007415B2">
              <w:rPr>
                <w:rFonts w:asciiTheme="minorEastAsia" w:eastAsiaTheme="minorEastAsia" w:hAnsiTheme="minorEastAsia" w:cs="Times New Roman" w:hint="eastAsia"/>
                <w:kern w:val="2"/>
              </w:rPr>
              <w:t>（二）部门决算中项目绩效自评结果。</w:t>
            </w:r>
          </w:p>
          <w:p w:rsidR="00113A63" w:rsidRPr="007415B2" w:rsidRDefault="0027330D">
            <w:pPr>
              <w:pStyle w:val="a6"/>
              <w:shd w:val="clear" w:color="auto" w:fill="FFFFFF"/>
              <w:spacing w:before="0" w:beforeAutospacing="0" w:after="0" w:afterAutospacing="0"/>
              <w:ind w:firstLine="420"/>
              <w:jc w:val="both"/>
              <w:rPr>
                <w:rFonts w:asciiTheme="minorEastAsia" w:eastAsiaTheme="minorEastAsia" w:hAnsiTheme="minorEastAsia" w:cs="Times New Roman"/>
                <w:kern w:val="2"/>
              </w:rPr>
            </w:pPr>
            <w:r w:rsidRPr="007415B2">
              <w:rPr>
                <w:rFonts w:asciiTheme="minorEastAsia" w:eastAsiaTheme="minorEastAsia" w:hAnsiTheme="minorEastAsia" w:cs="Times New Roman" w:hint="eastAsia"/>
                <w:kern w:val="2"/>
              </w:rPr>
              <w:t>我单位2021年度未发生项目；无专项资金。</w:t>
            </w:r>
          </w:p>
          <w:p w:rsidR="00113A63" w:rsidRPr="007415B2" w:rsidRDefault="0027330D">
            <w:pPr>
              <w:pStyle w:val="a6"/>
              <w:shd w:val="clear" w:color="auto" w:fill="FFFFFF"/>
              <w:spacing w:before="0" w:beforeAutospacing="0" w:after="0" w:afterAutospacing="0"/>
              <w:ind w:firstLine="420"/>
              <w:jc w:val="both"/>
              <w:rPr>
                <w:rFonts w:asciiTheme="minorEastAsia" w:eastAsiaTheme="minorEastAsia" w:hAnsiTheme="minorEastAsia" w:cs="Times New Roman"/>
                <w:kern w:val="2"/>
              </w:rPr>
            </w:pPr>
            <w:r w:rsidRPr="007415B2">
              <w:rPr>
                <w:rFonts w:asciiTheme="minorEastAsia" w:eastAsiaTheme="minorEastAsia" w:hAnsiTheme="minorEastAsia" w:cs="Times New Roman" w:hint="eastAsia"/>
                <w:kern w:val="2"/>
              </w:rPr>
              <w:t>（三）以部门为主体开展的绩效评价结果</w:t>
            </w:r>
          </w:p>
          <w:p w:rsidR="00113A63" w:rsidRPr="007415B2" w:rsidRDefault="0027330D">
            <w:pPr>
              <w:pStyle w:val="a6"/>
              <w:shd w:val="clear" w:color="auto" w:fill="FFFFFF"/>
              <w:spacing w:before="0" w:beforeAutospacing="0" w:after="0" w:afterAutospacing="0"/>
              <w:ind w:firstLine="420"/>
              <w:jc w:val="both"/>
              <w:rPr>
                <w:rFonts w:asciiTheme="minorEastAsia" w:eastAsiaTheme="minorEastAsia" w:hAnsiTheme="minorEastAsia" w:cs="Times New Roman"/>
                <w:kern w:val="2"/>
              </w:rPr>
            </w:pPr>
            <w:r w:rsidRPr="007415B2">
              <w:rPr>
                <w:rFonts w:asciiTheme="minorEastAsia" w:eastAsiaTheme="minorEastAsia" w:hAnsiTheme="minorEastAsia" w:cs="Times New Roman" w:hint="eastAsia"/>
                <w:kern w:val="2"/>
              </w:rPr>
              <w:t>加强预算编制绩效管理。</w:t>
            </w:r>
          </w:p>
          <w:p w:rsidR="00113A63" w:rsidRPr="007415B2" w:rsidRDefault="0027330D">
            <w:pPr>
              <w:pStyle w:val="a6"/>
              <w:shd w:val="clear" w:color="auto" w:fill="FFFFFF"/>
              <w:spacing w:before="0" w:beforeAutospacing="0" w:after="0" w:afterAutospacing="0"/>
              <w:ind w:firstLine="420"/>
              <w:jc w:val="both"/>
              <w:rPr>
                <w:rFonts w:asciiTheme="minorEastAsia" w:eastAsiaTheme="minorEastAsia" w:hAnsiTheme="minorEastAsia" w:cs="Times New Roman"/>
                <w:kern w:val="2"/>
              </w:rPr>
            </w:pPr>
            <w:r w:rsidRPr="007415B2">
              <w:rPr>
                <w:rFonts w:asciiTheme="minorEastAsia" w:eastAsiaTheme="minorEastAsia" w:hAnsiTheme="minorEastAsia" w:cs="Times New Roman" w:hint="eastAsia"/>
                <w:kern w:val="2"/>
              </w:rPr>
              <w:t>1、加强组织领导。争取领导重视，我单位先后多次召开会议、专题研究预算资金绩效评价管理工作，明确预算绩效管理工作职能小组和职责分工，确定预算绩效管理工作联络员，并将其作为部门日常性重要工作来抓。即设立了由主任周铮任组长、分管副主任方华任副组长、股室负责人为成员的工作小组，下设办公室，由财务股李颖同志为成员，具体负责日常预算资金管理工作，确保绩效评价管理工作全面推进。</w:t>
            </w:r>
          </w:p>
          <w:p w:rsidR="00113A63" w:rsidRPr="007415B2" w:rsidRDefault="0027330D">
            <w:pPr>
              <w:pStyle w:val="a6"/>
              <w:shd w:val="clear" w:color="auto" w:fill="FFFFFF"/>
              <w:spacing w:before="0" w:beforeAutospacing="0" w:after="0" w:afterAutospacing="0"/>
              <w:ind w:firstLine="420"/>
              <w:jc w:val="both"/>
              <w:rPr>
                <w:rFonts w:asciiTheme="minorEastAsia" w:eastAsiaTheme="minorEastAsia" w:hAnsiTheme="minorEastAsia" w:cs="Times New Roman"/>
                <w:kern w:val="2"/>
              </w:rPr>
            </w:pPr>
            <w:r w:rsidRPr="007415B2">
              <w:rPr>
                <w:rFonts w:asciiTheme="minorEastAsia" w:eastAsiaTheme="minorEastAsia" w:hAnsiTheme="minorEastAsia" w:cs="Times New Roman" w:hint="eastAsia"/>
                <w:kern w:val="2"/>
              </w:rPr>
              <w:t>2、加强制度建设。根据财政局预算资金绩效评价管理办法和一系列文件精神，结合我局实际，细化考核指标，完善考核标准，修改制定了《岳阳县建筑市场服务中心预算资金绩效评价考核办法及实施细则》、《岳阳县建筑市场服务中心“三公”经费公开实施细则》等文件，进一步明确了绩效考核工作目标，明确了评价管理考核责任，使我单位的各项工作有标准、有措施的稳步开展。</w:t>
            </w:r>
          </w:p>
          <w:p w:rsidR="00113A63" w:rsidRPr="007415B2" w:rsidRDefault="0027330D">
            <w:pPr>
              <w:pStyle w:val="a6"/>
              <w:shd w:val="clear" w:color="auto" w:fill="FFFFFF"/>
              <w:spacing w:before="0" w:beforeAutospacing="0" w:after="0" w:afterAutospacing="0"/>
              <w:ind w:firstLine="420"/>
              <w:jc w:val="both"/>
              <w:rPr>
                <w:rFonts w:asciiTheme="minorEastAsia" w:eastAsiaTheme="minorEastAsia" w:hAnsiTheme="minorEastAsia" w:cs="Times New Roman"/>
                <w:kern w:val="2"/>
              </w:rPr>
            </w:pPr>
            <w:r w:rsidRPr="007415B2">
              <w:rPr>
                <w:rFonts w:asciiTheme="minorEastAsia" w:eastAsiaTheme="minorEastAsia" w:hAnsiTheme="minorEastAsia" w:cs="Times New Roman" w:hint="eastAsia"/>
                <w:kern w:val="2"/>
              </w:rPr>
              <w:t>3、确保实施到位。本单位制定出台了适合本单位特点的绩效评价和“三公”经费公开实施管理细则，将评价管理职责到岗、到人，严格执行评价管理办法，不走过场，并结合评价结果进行总结，确保预算资金绩效。</w:t>
            </w:r>
            <w:bookmarkStart w:id="0" w:name="_GoBack"/>
            <w:bookmarkEnd w:id="0"/>
          </w:p>
          <w:p w:rsidR="00113A63" w:rsidRPr="007415B2" w:rsidRDefault="00113A63" w:rsidP="007415B2">
            <w:pPr>
              <w:widowControl/>
              <w:shd w:val="clear" w:color="auto" w:fill="FFFFFF"/>
              <w:spacing w:line="480" w:lineRule="exact"/>
              <w:ind w:firstLineChars="200" w:firstLine="480"/>
              <w:rPr>
                <w:rFonts w:asciiTheme="minorEastAsia" w:eastAsiaTheme="minorEastAsia" w:hAnsiTheme="minorEastAsia"/>
                <w:sz w:val="24"/>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p w:rsidR="00113A63" w:rsidRDefault="00113A63">
            <w:pPr>
              <w:widowControl/>
              <w:shd w:val="clear" w:color="auto" w:fill="FFFFFF"/>
              <w:spacing w:line="480" w:lineRule="exact"/>
              <w:ind w:firstLineChars="200" w:firstLine="560"/>
              <w:rPr>
                <w:rFonts w:asciiTheme="minorEastAsia" w:eastAsiaTheme="minorEastAsia" w:hAnsiTheme="minorEastAsia"/>
                <w:bCs/>
                <w:sz w:val="28"/>
                <w:szCs w:val="28"/>
              </w:rPr>
            </w:pPr>
          </w:p>
        </w:tc>
      </w:tr>
    </w:tbl>
    <w:p w:rsidR="00113A63" w:rsidRDefault="0027330D">
      <w:pPr>
        <w:spacing w:line="348" w:lineRule="auto"/>
        <w:rPr>
          <w:rFonts w:ascii="黑体" w:eastAsia="黑体" w:hAnsi="黑体"/>
          <w:sz w:val="32"/>
          <w:szCs w:val="32"/>
        </w:rPr>
      </w:pPr>
      <w:r>
        <w:rPr>
          <w:rFonts w:ascii="黑体" w:eastAsia="黑体" w:hAnsi="黑体" w:hint="eastAsia"/>
          <w:sz w:val="32"/>
          <w:szCs w:val="32"/>
        </w:rPr>
        <w:lastRenderedPageBreak/>
        <w:t>附件3-1</w:t>
      </w:r>
    </w:p>
    <w:p w:rsidR="00113A63" w:rsidRDefault="0027330D" w:rsidP="007415B2">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lastRenderedPageBreak/>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113A63">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113A63">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13A63" w:rsidRDefault="00113A63">
            <w:pPr>
              <w:widowControl/>
              <w:spacing w:line="240" w:lineRule="exact"/>
              <w:jc w:val="left"/>
              <w:rPr>
                <w:rFonts w:ascii="仿宋_GB2312" w:eastAsia="仿宋_GB2312" w:hAnsi="宋体" w:cs="宋体"/>
                <w:color w:val="000000"/>
                <w:kern w:val="0"/>
                <w:sz w:val="18"/>
                <w:szCs w:val="18"/>
              </w:rPr>
            </w:pPr>
          </w:p>
        </w:tc>
      </w:tr>
      <w:tr w:rsidR="00113A63">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13A63" w:rsidRDefault="00113A63">
            <w:pPr>
              <w:widowControl/>
              <w:spacing w:line="240" w:lineRule="exact"/>
              <w:jc w:val="left"/>
              <w:rPr>
                <w:rFonts w:ascii="仿宋_GB2312" w:eastAsia="仿宋_GB2312" w:hAnsi="宋体" w:cs="宋体"/>
                <w:color w:val="000000"/>
                <w:kern w:val="0"/>
                <w:sz w:val="18"/>
                <w:szCs w:val="18"/>
              </w:rPr>
            </w:pPr>
          </w:p>
        </w:tc>
      </w:tr>
      <w:tr w:rsidR="00113A63">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13A63" w:rsidRDefault="00113A63">
            <w:pPr>
              <w:widowControl/>
              <w:spacing w:line="240" w:lineRule="exact"/>
              <w:jc w:val="left"/>
              <w:rPr>
                <w:rFonts w:ascii="仿宋_GB2312" w:eastAsia="仿宋_GB2312" w:hAnsi="宋体" w:cs="宋体"/>
                <w:color w:val="000000"/>
                <w:kern w:val="0"/>
                <w:sz w:val="18"/>
                <w:szCs w:val="18"/>
              </w:rPr>
            </w:pPr>
          </w:p>
        </w:tc>
      </w:tr>
      <w:tr w:rsidR="00113A63">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0.5</w:t>
            </w:r>
          </w:p>
        </w:tc>
        <w:tc>
          <w:tcPr>
            <w:tcW w:w="1080"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预算调整率为25%</w:t>
            </w:r>
          </w:p>
        </w:tc>
      </w:tr>
      <w:tr w:rsidR="00113A63">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13A63" w:rsidRDefault="00113A63">
            <w:pPr>
              <w:widowControl/>
              <w:spacing w:line="240" w:lineRule="exact"/>
              <w:jc w:val="center"/>
              <w:rPr>
                <w:rFonts w:ascii="仿宋_GB2312" w:eastAsia="仿宋_GB2312" w:hAnsi="宋体" w:cs="宋体"/>
                <w:color w:val="000000"/>
                <w:kern w:val="0"/>
                <w:sz w:val="18"/>
                <w:szCs w:val="18"/>
              </w:rPr>
            </w:pPr>
          </w:p>
        </w:tc>
      </w:tr>
      <w:tr w:rsidR="00113A63">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13A63" w:rsidRDefault="0027330D">
            <w:pPr>
              <w:widowControl/>
              <w:spacing w:line="240" w:lineRule="exac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工程跨年度付款</w:t>
            </w:r>
          </w:p>
        </w:tc>
      </w:tr>
      <w:tr w:rsidR="00113A63">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113A63" w:rsidRDefault="00113A63">
            <w:pPr>
              <w:widowControl/>
              <w:spacing w:line="240" w:lineRule="exact"/>
              <w:jc w:val="center"/>
              <w:rPr>
                <w:rFonts w:ascii="仿宋_GB2312" w:eastAsia="仿宋_GB2312" w:hAnsi="宋体" w:cs="宋体"/>
                <w:color w:val="000000"/>
                <w:kern w:val="0"/>
                <w:sz w:val="18"/>
                <w:szCs w:val="18"/>
              </w:rPr>
            </w:pPr>
          </w:p>
        </w:tc>
      </w:tr>
      <w:tr w:rsidR="00113A63">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13A63" w:rsidRDefault="00113A63">
            <w:pPr>
              <w:widowControl/>
              <w:spacing w:line="240" w:lineRule="exact"/>
              <w:jc w:val="center"/>
              <w:rPr>
                <w:rFonts w:ascii="仿宋_GB2312" w:eastAsia="仿宋_GB2312" w:hAnsi="宋体" w:cs="宋体"/>
                <w:color w:val="000000"/>
                <w:kern w:val="0"/>
                <w:sz w:val="18"/>
                <w:szCs w:val="18"/>
              </w:rPr>
            </w:pPr>
          </w:p>
        </w:tc>
      </w:tr>
      <w:tr w:rsidR="00113A63">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13A63" w:rsidRDefault="00113A63">
            <w:pPr>
              <w:widowControl/>
              <w:spacing w:line="240" w:lineRule="exact"/>
              <w:jc w:val="center"/>
              <w:rPr>
                <w:rFonts w:ascii="仿宋_GB2312" w:eastAsia="仿宋_GB2312" w:hAnsi="宋体" w:cs="宋体"/>
                <w:color w:val="000000"/>
                <w:kern w:val="0"/>
                <w:sz w:val="18"/>
                <w:szCs w:val="18"/>
              </w:rPr>
            </w:pPr>
          </w:p>
        </w:tc>
      </w:tr>
      <w:tr w:rsidR="00113A63">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13A63" w:rsidRDefault="00113A63">
            <w:pPr>
              <w:widowControl/>
              <w:spacing w:line="240" w:lineRule="exact"/>
              <w:jc w:val="center"/>
              <w:rPr>
                <w:rFonts w:ascii="仿宋_GB2312" w:eastAsia="仿宋_GB2312" w:hAnsi="宋体" w:cs="宋体"/>
                <w:kern w:val="0"/>
                <w:sz w:val="18"/>
                <w:szCs w:val="18"/>
              </w:rPr>
            </w:pPr>
          </w:p>
        </w:tc>
      </w:tr>
      <w:tr w:rsidR="00113A63">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13A63" w:rsidRDefault="00113A63">
            <w:pPr>
              <w:widowControl/>
              <w:spacing w:line="240" w:lineRule="exact"/>
              <w:jc w:val="center"/>
              <w:rPr>
                <w:rFonts w:ascii="仿宋_GB2312" w:eastAsia="仿宋_GB2312" w:hAnsi="宋体" w:cs="宋体"/>
                <w:kern w:val="0"/>
                <w:sz w:val="18"/>
                <w:szCs w:val="18"/>
              </w:rPr>
            </w:pPr>
          </w:p>
        </w:tc>
      </w:tr>
      <w:tr w:rsidR="00113A63">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13A63" w:rsidRDefault="00113A63">
            <w:pPr>
              <w:widowControl/>
              <w:spacing w:line="240" w:lineRule="exact"/>
              <w:jc w:val="center"/>
              <w:rPr>
                <w:rFonts w:ascii="仿宋_GB2312" w:eastAsia="仿宋_GB2312" w:hAnsi="宋体" w:cs="宋体"/>
                <w:kern w:val="0"/>
                <w:sz w:val="18"/>
                <w:szCs w:val="18"/>
              </w:rPr>
            </w:pPr>
          </w:p>
        </w:tc>
      </w:tr>
      <w:tr w:rsidR="00113A63">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13A63" w:rsidRDefault="00113A63">
            <w:pPr>
              <w:widowControl/>
              <w:spacing w:line="240" w:lineRule="exact"/>
              <w:jc w:val="center"/>
              <w:rPr>
                <w:rFonts w:ascii="仿宋_GB2312" w:eastAsia="仿宋_GB2312" w:hAnsi="宋体" w:cs="宋体"/>
                <w:kern w:val="0"/>
                <w:sz w:val="18"/>
                <w:szCs w:val="18"/>
              </w:rPr>
            </w:pPr>
          </w:p>
        </w:tc>
      </w:tr>
    </w:tbl>
    <w:p w:rsidR="00113A63" w:rsidRDefault="00113A63"/>
    <w:tbl>
      <w:tblPr>
        <w:tblW w:w="9894" w:type="dxa"/>
        <w:jc w:val="center"/>
        <w:tblLayout w:type="fixed"/>
        <w:tblLook w:val="04A0"/>
      </w:tblPr>
      <w:tblGrid>
        <w:gridCol w:w="976"/>
        <w:gridCol w:w="939"/>
        <w:gridCol w:w="1389"/>
        <w:gridCol w:w="4171"/>
        <w:gridCol w:w="619"/>
        <w:gridCol w:w="720"/>
        <w:gridCol w:w="1080"/>
      </w:tblGrid>
      <w:tr w:rsidR="00113A63">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113A63">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过  程</w:t>
            </w:r>
          </w:p>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113A63" w:rsidRDefault="00113A63">
            <w:pPr>
              <w:widowControl/>
              <w:spacing w:line="240" w:lineRule="exact"/>
              <w:jc w:val="center"/>
              <w:rPr>
                <w:rFonts w:ascii="仿宋_GB2312" w:eastAsia="仿宋_GB2312" w:hAnsi="宋体" w:cs="宋体"/>
                <w:kern w:val="0"/>
                <w:sz w:val="18"/>
                <w:szCs w:val="18"/>
              </w:rPr>
            </w:pPr>
          </w:p>
        </w:tc>
      </w:tr>
      <w:tr w:rsidR="00113A63">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13A63" w:rsidRDefault="00113A63">
            <w:pPr>
              <w:widowControl/>
              <w:spacing w:line="240" w:lineRule="exact"/>
              <w:jc w:val="center"/>
              <w:rPr>
                <w:rFonts w:ascii="仿宋_GB2312" w:eastAsia="仿宋_GB2312" w:hAnsi="宋体" w:cs="宋体"/>
                <w:kern w:val="0"/>
                <w:sz w:val="18"/>
                <w:szCs w:val="18"/>
              </w:rPr>
            </w:pPr>
          </w:p>
        </w:tc>
      </w:tr>
      <w:tr w:rsidR="00113A63">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根据岳县办发（2021年）1号《全面建成小康社会综合绩效考评实施方案》的通知折算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113A63" w:rsidRDefault="00113A63">
            <w:pPr>
              <w:widowControl/>
              <w:spacing w:line="240" w:lineRule="exact"/>
              <w:jc w:val="center"/>
              <w:rPr>
                <w:rFonts w:ascii="仿宋_GB2312" w:eastAsia="仿宋_GB2312" w:hAnsi="宋体" w:cs="宋体"/>
                <w:kern w:val="0"/>
                <w:sz w:val="18"/>
                <w:szCs w:val="18"/>
              </w:rPr>
            </w:pPr>
          </w:p>
        </w:tc>
      </w:tr>
      <w:tr w:rsidR="00113A63">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建设岳阳县新增及目标任务完成情况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113A63" w:rsidRDefault="00113A63">
            <w:pPr>
              <w:widowControl/>
              <w:spacing w:line="240" w:lineRule="exact"/>
              <w:jc w:val="center"/>
              <w:rPr>
                <w:rFonts w:ascii="仿宋_GB2312" w:eastAsia="仿宋_GB2312" w:hAnsi="宋体" w:cs="宋体"/>
                <w:kern w:val="0"/>
                <w:sz w:val="18"/>
                <w:szCs w:val="18"/>
              </w:rPr>
            </w:pPr>
          </w:p>
        </w:tc>
      </w:tr>
      <w:tr w:rsidR="00113A63">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113A63" w:rsidRDefault="00113A63">
            <w:pPr>
              <w:widowControl/>
              <w:spacing w:line="240" w:lineRule="exact"/>
              <w:jc w:val="center"/>
              <w:rPr>
                <w:rFonts w:ascii="仿宋_GB2312" w:eastAsia="仿宋_GB2312" w:hAnsi="宋体" w:cs="宋体"/>
                <w:kern w:val="0"/>
                <w:sz w:val="18"/>
                <w:szCs w:val="18"/>
              </w:rPr>
            </w:pPr>
          </w:p>
        </w:tc>
      </w:tr>
      <w:tr w:rsidR="00113A63">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113A63" w:rsidRDefault="00113A63">
            <w:pPr>
              <w:widowControl/>
              <w:spacing w:line="240" w:lineRule="exact"/>
              <w:jc w:val="center"/>
              <w:rPr>
                <w:rFonts w:ascii="仿宋_GB2312" w:eastAsia="仿宋_GB2312" w:hAnsi="宋体" w:cs="宋体"/>
                <w:kern w:val="0"/>
                <w:sz w:val="18"/>
                <w:szCs w:val="18"/>
              </w:rPr>
            </w:pPr>
          </w:p>
        </w:tc>
      </w:tr>
      <w:tr w:rsidR="00113A63">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113A63" w:rsidRDefault="00113A63">
            <w:pPr>
              <w:widowControl/>
              <w:spacing w:line="240" w:lineRule="exact"/>
              <w:jc w:val="center"/>
              <w:rPr>
                <w:rFonts w:ascii="仿宋_GB2312" w:eastAsia="仿宋_GB2312" w:hAnsi="宋体" w:cs="宋体"/>
                <w:kern w:val="0"/>
                <w:sz w:val="18"/>
                <w:szCs w:val="18"/>
              </w:rPr>
            </w:pPr>
          </w:p>
        </w:tc>
      </w:tr>
      <w:tr w:rsidR="00113A63">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113A63" w:rsidRDefault="00113A63">
            <w:pPr>
              <w:widowControl/>
              <w:spacing w:line="240" w:lineRule="exact"/>
              <w:jc w:val="center"/>
              <w:rPr>
                <w:rFonts w:ascii="仿宋_GB2312" w:eastAsia="仿宋_GB2312" w:hAnsi="宋体" w:cs="宋体"/>
                <w:kern w:val="0"/>
                <w:sz w:val="18"/>
                <w:szCs w:val="18"/>
              </w:rPr>
            </w:pPr>
          </w:p>
        </w:tc>
      </w:tr>
      <w:tr w:rsidR="00113A63">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113A63" w:rsidRDefault="00113A63">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113A63" w:rsidRDefault="00113A63">
            <w:pPr>
              <w:widowControl/>
              <w:spacing w:line="240" w:lineRule="exact"/>
              <w:jc w:val="center"/>
              <w:rPr>
                <w:rFonts w:ascii="仿宋_GB2312" w:eastAsia="仿宋_GB2312" w:hAnsi="宋体" w:cs="宋体"/>
                <w:kern w:val="0"/>
                <w:sz w:val="18"/>
                <w:szCs w:val="18"/>
              </w:rPr>
            </w:pPr>
          </w:p>
        </w:tc>
      </w:tr>
      <w:tr w:rsidR="00113A63">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113A63" w:rsidRDefault="00113A63">
            <w:pPr>
              <w:widowControl/>
              <w:spacing w:line="240" w:lineRule="exact"/>
              <w:jc w:val="center"/>
              <w:rPr>
                <w:rFonts w:ascii="仿宋_GB2312" w:eastAsia="仿宋_GB2312" w:hAnsi="宋体" w:cs="宋体"/>
                <w:kern w:val="0"/>
                <w:sz w:val="18"/>
                <w:szCs w:val="18"/>
              </w:rPr>
            </w:pPr>
          </w:p>
        </w:tc>
      </w:tr>
      <w:tr w:rsidR="00113A63">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113A63" w:rsidRDefault="00113A63">
            <w:pPr>
              <w:widowControl/>
              <w:spacing w:line="240" w:lineRule="exact"/>
              <w:jc w:val="center"/>
              <w:rPr>
                <w:rFonts w:ascii="仿宋_GB2312" w:eastAsia="仿宋_GB2312" w:hAnsi="宋体" w:cs="宋体"/>
                <w:kern w:val="0"/>
                <w:sz w:val="18"/>
                <w:szCs w:val="18"/>
              </w:rPr>
            </w:pPr>
          </w:p>
        </w:tc>
      </w:tr>
      <w:tr w:rsidR="00113A63">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13A63" w:rsidRDefault="00113A63">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113A63" w:rsidRDefault="0027330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113A63" w:rsidRDefault="00113A63">
            <w:pPr>
              <w:widowControl/>
              <w:spacing w:line="240" w:lineRule="exact"/>
              <w:jc w:val="center"/>
              <w:rPr>
                <w:rFonts w:ascii="仿宋_GB2312" w:eastAsia="仿宋_GB2312" w:hAnsi="宋体" w:cs="宋体"/>
                <w:kern w:val="0"/>
                <w:sz w:val="18"/>
                <w:szCs w:val="18"/>
              </w:rPr>
            </w:pPr>
          </w:p>
        </w:tc>
      </w:tr>
      <w:tr w:rsidR="00113A63">
        <w:trPr>
          <w:trHeight w:val="670"/>
          <w:jc w:val="center"/>
        </w:trPr>
        <w:tc>
          <w:tcPr>
            <w:tcW w:w="976" w:type="dxa"/>
            <w:tcBorders>
              <w:top w:val="nil"/>
              <w:left w:val="single" w:sz="4" w:space="0" w:color="auto"/>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113A63" w:rsidRDefault="00113A63">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113A63" w:rsidRDefault="00113A63">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113A63" w:rsidRDefault="00113A63">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113A63" w:rsidRDefault="0027330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97.5</w:t>
            </w:r>
          </w:p>
        </w:tc>
        <w:tc>
          <w:tcPr>
            <w:tcW w:w="1080" w:type="dxa"/>
            <w:tcBorders>
              <w:top w:val="nil"/>
              <w:left w:val="nil"/>
              <w:bottom w:val="single" w:sz="4" w:space="0" w:color="auto"/>
              <w:right w:val="single" w:sz="4" w:space="0" w:color="auto"/>
            </w:tcBorders>
            <w:vAlign w:val="center"/>
          </w:tcPr>
          <w:p w:rsidR="00113A63" w:rsidRDefault="00113A63">
            <w:pPr>
              <w:widowControl/>
              <w:spacing w:line="240" w:lineRule="exact"/>
              <w:jc w:val="center"/>
              <w:rPr>
                <w:rFonts w:ascii="仿宋_GB2312" w:eastAsia="仿宋_GB2312" w:hAnsi="宋体" w:cs="宋体"/>
                <w:b/>
                <w:bCs/>
                <w:kern w:val="0"/>
                <w:sz w:val="18"/>
                <w:szCs w:val="18"/>
              </w:rPr>
            </w:pPr>
          </w:p>
        </w:tc>
      </w:tr>
    </w:tbl>
    <w:p w:rsidR="00113A63" w:rsidRDefault="0027330D" w:rsidP="00E919E9">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113A63" w:rsidSect="00113A63">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2F1" w:rsidRDefault="00ED72F1" w:rsidP="00833B37">
      <w:r>
        <w:separator/>
      </w:r>
    </w:p>
  </w:endnote>
  <w:endnote w:type="continuationSeparator" w:id="0">
    <w:p w:rsidR="00ED72F1" w:rsidRDefault="00ED72F1" w:rsidP="00833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2F1" w:rsidRDefault="00ED72F1" w:rsidP="00833B37">
      <w:r>
        <w:separator/>
      </w:r>
    </w:p>
  </w:footnote>
  <w:footnote w:type="continuationSeparator" w:id="0">
    <w:p w:rsidR="00ED72F1" w:rsidRDefault="00ED72F1" w:rsidP="00833B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1">
    <w:nsid w:val="6D0408B3"/>
    <w:multiLevelType w:val="multilevel"/>
    <w:tmpl w:val="6D0408B3"/>
    <w:lvl w:ilvl="0">
      <w:start w:val="2"/>
      <w:numFmt w:val="japaneseCounting"/>
      <w:lvlText w:val="%1、"/>
      <w:lvlJc w:val="left"/>
      <w:pPr>
        <w:ind w:left="1188" w:hanging="720"/>
      </w:pPr>
      <w:rPr>
        <w:rFonts w:hint="default"/>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RiN2YxMzcwNWRjODgyNDI4YmQwOTQxOWMzMDE2ZWEifQ=="/>
  </w:docVars>
  <w:rsids>
    <w:rsidRoot w:val="00172A27"/>
    <w:rsid w:val="0000241F"/>
    <w:rsid w:val="000056A6"/>
    <w:rsid w:val="00005A3B"/>
    <w:rsid w:val="0000610C"/>
    <w:rsid w:val="00014921"/>
    <w:rsid w:val="0005701C"/>
    <w:rsid w:val="0007139C"/>
    <w:rsid w:val="00073AAF"/>
    <w:rsid w:val="00090417"/>
    <w:rsid w:val="00093B20"/>
    <w:rsid w:val="000A0E5C"/>
    <w:rsid w:val="000B4BEB"/>
    <w:rsid w:val="000B57F8"/>
    <w:rsid w:val="000B6427"/>
    <w:rsid w:val="000B7DCB"/>
    <w:rsid w:val="000E5E57"/>
    <w:rsid w:val="00100175"/>
    <w:rsid w:val="00107CC6"/>
    <w:rsid w:val="00113A63"/>
    <w:rsid w:val="00122C2E"/>
    <w:rsid w:val="0014350A"/>
    <w:rsid w:val="001442A2"/>
    <w:rsid w:val="00146C23"/>
    <w:rsid w:val="00151B82"/>
    <w:rsid w:val="00157862"/>
    <w:rsid w:val="00165E89"/>
    <w:rsid w:val="00166FF9"/>
    <w:rsid w:val="0017192D"/>
    <w:rsid w:val="00172A27"/>
    <w:rsid w:val="001918BA"/>
    <w:rsid w:val="001A21D5"/>
    <w:rsid w:val="001A709B"/>
    <w:rsid w:val="001B0CF4"/>
    <w:rsid w:val="001B1869"/>
    <w:rsid w:val="001B2F7F"/>
    <w:rsid w:val="001B4EA7"/>
    <w:rsid w:val="001C4AD7"/>
    <w:rsid w:val="001C5954"/>
    <w:rsid w:val="001D6D7B"/>
    <w:rsid w:val="001E26FB"/>
    <w:rsid w:val="001F2104"/>
    <w:rsid w:val="002318F0"/>
    <w:rsid w:val="00235B3A"/>
    <w:rsid w:val="00240F9A"/>
    <w:rsid w:val="00242262"/>
    <w:rsid w:val="0025054A"/>
    <w:rsid w:val="00253B1F"/>
    <w:rsid w:val="00254CF8"/>
    <w:rsid w:val="00255404"/>
    <w:rsid w:val="00257206"/>
    <w:rsid w:val="0027330D"/>
    <w:rsid w:val="00282CDA"/>
    <w:rsid w:val="00287D96"/>
    <w:rsid w:val="00292AC1"/>
    <w:rsid w:val="0029605B"/>
    <w:rsid w:val="002969D6"/>
    <w:rsid w:val="002B26F1"/>
    <w:rsid w:val="002B569D"/>
    <w:rsid w:val="002B7EF4"/>
    <w:rsid w:val="002C4D24"/>
    <w:rsid w:val="002D5840"/>
    <w:rsid w:val="002E4FD7"/>
    <w:rsid w:val="002F0080"/>
    <w:rsid w:val="002F1CE6"/>
    <w:rsid w:val="003025E2"/>
    <w:rsid w:val="00315C29"/>
    <w:rsid w:val="00321D2B"/>
    <w:rsid w:val="0033659F"/>
    <w:rsid w:val="00351AD3"/>
    <w:rsid w:val="00354479"/>
    <w:rsid w:val="00356458"/>
    <w:rsid w:val="003840D5"/>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936B6"/>
    <w:rsid w:val="004A44EA"/>
    <w:rsid w:val="004A51DC"/>
    <w:rsid w:val="004A671C"/>
    <w:rsid w:val="004C693D"/>
    <w:rsid w:val="004C73DE"/>
    <w:rsid w:val="004D15A1"/>
    <w:rsid w:val="004E0A8E"/>
    <w:rsid w:val="004E3BE9"/>
    <w:rsid w:val="005072C9"/>
    <w:rsid w:val="00513037"/>
    <w:rsid w:val="005210E6"/>
    <w:rsid w:val="00530E15"/>
    <w:rsid w:val="005314BA"/>
    <w:rsid w:val="00535017"/>
    <w:rsid w:val="005422E5"/>
    <w:rsid w:val="0054679D"/>
    <w:rsid w:val="005477E5"/>
    <w:rsid w:val="00566F17"/>
    <w:rsid w:val="005865B1"/>
    <w:rsid w:val="005A3532"/>
    <w:rsid w:val="005B4076"/>
    <w:rsid w:val="005C50B2"/>
    <w:rsid w:val="005C68D7"/>
    <w:rsid w:val="005D5DD9"/>
    <w:rsid w:val="005F1360"/>
    <w:rsid w:val="005F4462"/>
    <w:rsid w:val="005F6DB6"/>
    <w:rsid w:val="00607401"/>
    <w:rsid w:val="0062105C"/>
    <w:rsid w:val="006320B1"/>
    <w:rsid w:val="006320D2"/>
    <w:rsid w:val="0064544F"/>
    <w:rsid w:val="0066399F"/>
    <w:rsid w:val="00664E76"/>
    <w:rsid w:val="00681C8E"/>
    <w:rsid w:val="006841C9"/>
    <w:rsid w:val="00684E4B"/>
    <w:rsid w:val="00696545"/>
    <w:rsid w:val="006A5D82"/>
    <w:rsid w:val="006B6330"/>
    <w:rsid w:val="006C0A93"/>
    <w:rsid w:val="006C1914"/>
    <w:rsid w:val="006D65AD"/>
    <w:rsid w:val="006E7307"/>
    <w:rsid w:val="006F5735"/>
    <w:rsid w:val="006F5FD4"/>
    <w:rsid w:val="0070667F"/>
    <w:rsid w:val="007225D2"/>
    <w:rsid w:val="00735258"/>
    <w:rsid w:val="007415B2"/>
    <w:rsid w:val="00742DAE"/>
    <w:rsid w:val="00764B34"/>
    <w:rsid w:val="00774D83"/>
    <w:rsid w:val="00780253"/>
    <w:rsid w:val="007829F0"/>
    <w:rsid w:val="007865A2"/>
    <w:rsid w:val="007C77EE"/>
    <w:rsid w:val="007D5B9F"/>
    <w:rsid w:val="007E1392"/>
    <w:rsid w:val="007E6513"/>
    <w:rsid w:val="007F487F"/>
    <w:rsid w:val="00815FBF"/>
    <w:rsid w:val="00833B37"/>
    <w:rsid w:val="00841CD0"/>
    <w:rsid w:val="00847D60"/>
    <w:rsid w:val="00860AFD"/>
    <w:rsid w:val="00890CD9"/>
    <w:rsid w:val="008934A8"/>
    <w:rsid w:val="008A2E6B"/>
    <w:rsid w:val="008A7515"/>
    <w:rsid w:val="008B02DB"/>
    <w:rsid w:val="008C039F"/>
    <w:rsid w:val="008D37E7"/>
    <w:rsid w:val="008E00A2"/>
    <w:rsid w:val="008E1F76"/>
    <w:rsid w:val="008E57E1"/>
    <w:rsid w:val="009006A1"/>
    <w:rsid w:val="00956508"/>
    <w:rsid w:val="00962EF0"/>
    <w:rsid w:val="009642E1"/>
    <w:rsid w:val="0097320B"/>
    <w:rsid w:val="0097528E"/>
    <w:rsid w:val="00977F7F"/>
    <w:rsid w:val="009815AA"/>
    <w:rsid w:val="00982CDC"/>
    <w:rsid w:val="009863CE"/>
    <w:rsid w:val="00995ED0"/>
    <w:rsid w:val="00996441"/>
    <w:rsid w:val="009A298D"/>
    <w:rsid w:val="009B217B"/>
    <w:rsid w:val="009B348F"/>
    <w:rsid w:val="009B4D8C"/>
    <w:rsid w:val="009B50F2"/>
    <w:rsid w:val="009C6A64"/>
    <w:rsid w:val="009D2E85"/>
    <w:rsid w:val="009D5C2C"/>
    <w:rsid w:val="009D72EA"/>
    <w:rsid w:val="009E5A8A"/>
    <w:rsid w:val="009F3479"/>
    <w:rsid w:val="00A13259"/>
    <w:rsid w:val="00A16D05"/>
    <w:rsid w:val="00A30E83"/>
    <w:rsid w:val="00A31338"/>
    <w:rsid w:val="00A378CE"/>
    <w:rsid w:val="00A4501D"/>
    <w:rsid w:val="00A51AA2"/>
    <w:rsid w:val="00A54BCA"/>
    <w:rsid w:val="00A61FD7"/>
    <w:rsid w:val="00A71540"/>
    <w:rsid w:val="00A76673"/>
    <w:rsid w:val="00A87BCE"/>
    <w:rsid w:val="00A94900"/>
    <w:rsid w:val="00AA3FFE"/>
    <w:rsid w:val="00AA565C"/>
    <w:rsid w:val="00AA68AE"/>
    <w:rsid w:val="00AB7085"/>
    <w:rsid w:val="00AD4448"/>
    <w:rsid w:val="00AE1B6C"/>
    <w:rsid w:val="00AF105B"/>
    <w:rsid w:val="00AF11BE"/>
    <w:rsid w:val="00AF38EC"/>
    <w:rsid w:val="00B0185B"/>
    <w:rsid w:val="00B075B1"/>
    <w:rsid w:val="00B161A4"/>
    <w:rsid w:val="00B41813"/>
    <w:rsid w:val="00B421AE"/>
    <w:rsid w:val="00B427C3"/>
    <w:rsid w:val="00B43845"/>
    <w:rsid w:val="00B9518E"/>
    <w:rsid w:val="00BA392F"/>
    <w:rsid w:val="00BB1C78"/>
    <w:rsid w:val="00BB378C"/>
    <w:rsid w:val="00BB3C71"/>
    <w:rsid w:val="00BB6CF4"/>
    <w:rsid w:val="00BD02C0"/>
    <w:rsid w:val="00BD1DDD"/>
    <w:rsid w:val="00C11953"/>
    <w:rsid w:val="00C12B4A"/>
    <w:rsid w:val="00C178FD"/>
    <w:rsid w:val="00C32332"/>
    <w:rsid w:val="00C33347"/>
    <w:rsid w:val="00C37D62"/>
    <w:rsid w:val="00C704A3"/>
    <w:rsid w:val="00C71B07"/>
    <w:rsid w:val="00C74701"/>
    <w:rsid w:val="00C77BFA"/>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01737"/>
    <w:rsid w:val="00D22353"/>
    <w:rsid w:val="00D255AA"/>
    <w:rsid w:val="00D523D6"/>
    <w:rsid w:val="00D54888"/>
    <w:rsid w:val="00D54CCA"/>
    <w:rsid w:val="00D77EE9"/>
    <w:rsid w:val="00D81B1D"/>
    <w:rsid w:val="00DA0456"/>
    <w:rsid w:val="00DB5442"/>
    <w:rsid w:val="00DC10F5"/>
    <w:rsid w:val="00DD1EB3"/>
    <w:rsid w:val="00DF1C77"/>
    <w:rsid w:val="00DF7783"/>
    <w:rsid w:val="00E142CB"/>
    <w:rsid w:val="00E35E48"/>
    <w:rsid w:val="00E40ED6"/>
    <w:rsid w:val="00E4198B"/>
    <w:rsid w:val="00E608D0"/>
    <w:rsid w:val="00E63914"/>
    <w:rsid w:val="00E761A0"/>
    <w:rsid w:val="00E919E9"/>
    <w:rsid w:val="00E95B71"/>
    <w:rsid w:val="00EB35F4"/>
    <w:rsid w:val="00EC40AF"/>
    <w:rsid w:val="00EC6F27"/>
    <w:rsid w:val="00ED72F1"/>
    <w:rsid w:val="00ED7ACA"/>
    <w:rsid w:val="00EE118E"/>
    <w:rsid w:val="00EE315F"/>
    <w:rsid w:val="00EE67E1"/>
    <w:rsid w:val="00F435F8"/>
    <w:rsid w:val="00F60EC8"/>
    <w:rsid w:val="00F61205"/>
    <w:rsid w:val="00F766DE"/>
    <w:rsid w:val="00F81CBB"/>
    <w:rsid w:val="00F8501A"/>
    <w:rsid w:val="00F947E3"/>
    <w:rsid w:val="00FA6EE7"/>
    <w:rsid w:val="00FB16AF"/>
    <w:rsid w:val="00FB2BA1"/>
    <w:rsid w:val="00FB3B55"/>
    <w:rsid w:val="00FD21C0"/>
    <w:rsid w:val="00FD708D"/>
    <w:rsid w:val="00FF3258"/>
    <w:rsid w:val="00FF605E"/>
    <w:rsid w:val="03116770"/>
    <w:rsid w:val="05E97ED7"/>
    <w:rsid w:val="071266EE"/>
    <w:rsid w:val="07325F1D"/>
    <w:rsid w:val="0A030A34"/>
    <w:rsid w:val="0B6B1D15"/>
    <w:rsid w:val="12035895"/>
    <w:rsid w:val="1238019B"/>
    <w:rsid w:val="12394A8E"/>
    <w:rsid w:val="15F1161D"/>
    <w:rsid w:val="166D4241"/>
    <w:rsid w:val="1C77387A"/>
    <w:rsid w:val="1CCC768A"/>
    <w:rsid w:val="1D0165EA"/>
    <w:rsid w:val="1DA67486"/>
    <w:rsid w:val="1DAB29F9"/>
    <w:rsid w:val="1E553C0F"/>
    <w:rsid w:val="1E710AC0"/>
    <w:rsid w:val="29315E51"/>
    <w:rsid w:val="29793438"/>
    <w:rsid w:val="2ACF47BB"/>
    <w:rsid w:val="3228684C"/>
    <w:rsid w:val="3531420C"/>
    <w:rsid w:val="39D43DA8"/>
    <w:rsid w:val="3F9A253D"/>
    <w:rsid w:val="3FDA4D4C"/>
    <w:rsid w:val="4572577F"/>
    <w:rsid w:val="4713389C"/>
    <w:rsid w:val="4AAE2E99"/>
    <w:rsid w:val="4DB93192"/>
    <w:rsid w:val="578D3CCA"/>
    <w:rsid w:val="5A70224E"/>
    <w:rsid w:val="6695111E"/>
    <w:rsid w:val="66C3003B"/>
    <w:rsid w:val="68AA4C39"/>
    <w:rsid w:val="6AD76980"/>
    <w:rsid w:val="70ED498D"/>
    <w:rsid w:val="72D65428"/>
    <w:rsid w:val="732561B0"/>
    <w:rsid w:val="78F9001C"/>
    <w:rsid w:val="791F6455"/>
    <w:rsid w:val="7A920274"/>
    <w:rsid w:val="7CFD6D4D"/>
    <w:rsid w:val="7D5063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qFormat="1"/>
    <w:lsdException w:name="Body Text Indent 2" w:semiHidden="0" w:uiPriority="0" w:qFormat="1"/>
    <w:lsdException w:name="Hyperlink" w:semiHidden="0" w:uiPriority="0" w:qFormat="1"/>
    <w:lsdException w:name="Followed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A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rsid w:val="00113A63"/>
    <w:pPr>
      <w:ind w:leftChars="2500" w:left="100"/>
    </w:pPr>
  </w:style>
  <w:style w:type="paragraph" w:styleId="2">
    <w:name w:val="Body Text Indent 2"/>
    <w:basedOn w:val="a"/>
    <w:link w:val="2Char"/>
    <w:unhideWhenUsed/>
    <w:qFormat/>
    <w:rsid w:val="00113A63"/>
    <w:pPr>
      <w:ind w:firstLineChars="200" w:firstLine="588"/>
    </w:pPr>
    <w:rPr>
      <w:rFonts w:ascii="仿宋_GB2312" w:eastAsia="仿宋_GB2312" w:hAnsi="Calibri"/>
      <w:sz w:val="32"/>
    </w:rPr>
  </w:style>
  <w:style w:type="paragraph" w:styleId="a4">
    <w:name w:val="footer"/>
    <w:basedOn w:val="a"/>
    <w:link w:val="Char1"/>
    <w:unhideWhenUsed/>
    <w:qFormat/>
    <w:rsid w:val="00113A63"/>
    <w:pPr>
      <w:tabs>
        <w:tab w:val="center" w:pos="4153"/>
        <w:tab w:val="right" w:pos="8306"/>
      </w:tabs>
      <w:snapToGrid w:val="0"/>
      <w:jc w:val="left"/>
    </w:pPr>
    <w:rPr>
      <w:kern w:val="0"/>
      <w:sz w:val="18"/>
      <w:szCs w:val="18"/>
    </w:rPr>
  </w:style>
  <w:style w:type="paragraph" w:styleId="a5">
    <w:name w:val="header"/>
    <w:basedOn w:val="a"/>
    <w:link w:val="Char0"/>
    <w:unhideWhenUsed/>
    <w:qFormat/>
    <w:rsid w:val="00113A63"/>
    <w:pPr>
      <w:tabs>
        <w:tab w:val="center" w:pos="4153"/>
        <w:tab w:val="right" w:pos="8306"/>
      </w:tabs>
      <w:snapToGrid w:val="0"/>
      <w:jc w:val="center"/>
    </w:pPr>
    <w:rPr>
      <w:sz w:val="18"/>
      <w:szCs w:val="18"/>
    </w:rPr>
  </w:style>
  <w:style w:type="paragraph" w:styleId="a6">
    <w:name w:val="Normal (Web)"/>
    <w:basedOn w:val="a"/>
    <w:qFormat/>
    <w:rsid w:val="00113A63"/>
    <w:pPr>
      <w:widowControl/>
      <w:spacing w:before="100" w:beforeAutospacing="1" w:after="100" w:afterAutospacing="1"/>
      <w:jc w:val="left"/>
    </w:pPr>
    <w:rPr>
      <w:rFonts w:ascii="宋体" w:hAnsi="宋体" w:cs="宋体"/>
      <w:kern w:val="0"/>
      <w:sz w:val="24"/>
    </w:rPr>
  </w:style>
  <w:style w:type="character" w:styleId="a7">
    <w:name w:val="FollowedHyperlink"/>
    <w:basedOn w:val="a0"/>
    <w:uiPriority w:val="99"/>
    <w:unhideWhenUsed/>
    <w:qFormat/>
    <w:rsid w:val="00113A63"/>
    <w:rPr>
      <w:color w:val="800080" w:themeColor="followedHyperlink"/>
      <w:u w:val="single"/>
    </w:rPr>
  </w:style>
  <w:style w:type="character" w:styleId="a8">
    <w:name w:val="Hyperlink"/>
    <w:basedOn w:val="a0"/>
    <w:unhideWhenUsed/>
    <w:qFormat/>
    <w:rsid w:val="00113A63"/>
    <w:rPr>
      <w:color w:val="0000FF"/>
      <w:u w:val="single"/>
    </w:rPr>
  </w:style>
  <w:style w:type="character" w:customStyle="1" w:styleId="Char0">
    <w:name w:val="页眉 Char"/>
    <w:basedOn w:val="a0"/>
    <w:link w:val="a5"/>
    <w:semiHidden/>
    <w:qFormat/>
    <w:rsid w:val="00113A63"/>
    <w:rPr>
      <w:rFonts w:ascii="Times New Roman" w:eastAsia="宋体" w:hAnsi="Times New Roman" w:cs="Times New Roman"/>
      <w:sz w:val="18"/>
      <w:szCs w:val="18"/>
    </w:rPr>
  </w:style>
  <w:style w:type="character" w:customStyle="1" w:styleId="Char2">
    <w:name w:val="页脚 Char"/>
    <w:basedOn w:val="a0"/>
    <w:link w:val="a4"/>
    <w:semiHidden/>
    <w:qFormat/>
    <w:rsid w:val="00113A63"/>
    <w:rPr>
      <w:rFonts w:ascii="Times New Roman" w:eastAsia="宋体" w:hAnsi="Times New Roman" w:cs="Times New Roman"/>
      <w:sz w:val="18"/>
      <w:szCs w:val="18"/>
    </w:rPr>
  </w:style>
  <w:style w:type="character" w:customStyle="1" w:styleId="Char">
    <w:name w:val="日期 Char"/>
    <w:basedOn w:val="a0"/>
    <w:link w:val="a3"/>
    <w:semiHidden/>
    <w:qFormat/>
    <w:rsid w:val="00113A63"/>
    <w:rPr>
      <w:rFonts w:ascii="Times New Roman" w:eastAsia="宋体" w:hAnsi="Times New Roman" w:cs="Times New Roman"/>
      <w:szCs w:val="24"/>
    </w:rPr>
  </w:style>
  <w:style w:type="character" w:customStyle="1" w:styleId="2Char">
    <w:name w:val="正文文本缩进 2 Char"/>
    <w:basedOn w:val="a0"/>
    <w:link w:val="2"/>
    <w:semiHidden/>
    <w:qFormat/>
    <w:rsid w:val="00113A63"/>
    <w:rPr>
      <w:rFonts w:ascii="仿宋_GB2312" w:eastAsia="仿宋_GB2312" w:hAnsi="Calibri" w:cs="Times New Roman"/>
      <w:sz w:val="32"/>
      <w:szCs w:val="24"/>
    </w:rPr>
  </w:style>
  <w:style w:type="paragraph" w:customStyle="1" w:styleId="Char3">
    <w:name w:val="Char"/>
    <w:basedOn w:val="a"/>
    <w:qFormat/>
    <w:rsid w:val="00113A63"/>
    <w:pPr>
      <w:autoSpaceDE w:val="0"/>
      <w:autoSpaceDN w:val="0"/>
      <w:adjustRightInd w:val="0"/>
    </w:pPr>
    <w:rPr>
      <w:rFonts w:ascii="宋体" w:cs="宋体"/>
      <w:kern w:val="0"/>
      <w:sz w:val="20"/>
      <w:szCs w:val="20"/>
      <w:lang w:val="zh-CN"/>
    </w:rPr>
  </w:style>
  <w:style w:type="paragraph" w:customStyle="1" w:styleId="Char10">
    <w:name w:val="Char1"/>
    <w:basedOn w:val="a"/>
    <w:qFormat/>
    <w:rsid w:val="00113A63"/>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rsid w:val="00113A63"/>
    <w:pPr>
      <w:numPr>
        <w:numId w:val="1"/>
      </w:numPr>
      <w:tabs>
        <w:tab w:val="left" w:pos="720"/>
      </w:tabs>
    </w:pPr>
    <w:rPr>
      <w:szCs w:val="20"/>
    </w:rPr>
  </w:style>
  <w:style w:type="character" w:customStyle="1" w:styleId="Char1">
    <w:name w:val="页脚 Char1"/>
    <w:basedOn w:val="a0"/>
    <w:link w:val="a4"/>
    <w:semiHidden/>
    <w:qFormat/>
    <w:locked/>
    <w:rsid w:val="00113A63"/>
    <w:rPr>
      <w:rFonts w:ascii="Times New Roman" w:eastAsia="宋体" w:hAnsi="Times New Roman" w:cs="Times New Roman"/>
      <w:kern w:val="0"/>
      <w:sz w:val="18"/>
      <w:szCs w:val="18"/>
    </w:rPr>
  </w:style>
  <w:style w:type="character" w:customStyle="1" w:styleId="3CharChar">
    <w:name w:val="标题 3 Char Char"/>
    <w:qFormat/>
    <w:rsid w:val="00113A63"/>
    <w:rPr>
      <w:rFonts w:ascii="楷体_GB2312" w:eastAsia="楷体_GB2312" w:hint="eastAsia"/>
      <w:b/>
      <w:kern w:val="2"/>
      <w:sz w:val="32"/>
      <w:szCs w:val="24"/>
      <w:lang w:val="en-US" w:eastAsia="zh-CN" w:bidi="ar-SA"/>
    </w:rPr>
  </w:style>
  <w:style w:type="character" w:customStyle="1" w:styleId="font11">
    <w:name w:val="font11"/>
    <w:basedOn w:val="a0"/>
    <w:qFormat/>
    <w:rsid w:val="00113A63"/>
    <w:rPr>
      <w:rFonts w:ascii="宋体" w:eastAsia="宋体" w:hAnsi="宋体" w:cs="宋体" w:hint="eastAsia"/>
      <w:b/>
      <w:bCs/>
      <w:color w:val="000000"/>
      <w:sz w:val="36"/>
      <w:szCs w:val="36"/>
      <w:u w:val="none"/>
    </w:rPr>
  </w:style>
  <w:style w:type="character" w:customStyle="1" w:styleId="font51">
    <w:name w:val="font51"/>
    <w:basedOn w:val="a0"/>
    <w:qFormat/>
    <w:rsid w:val="00113A63"/>
    <w:rPr>
      <w:rFonts w:ascii="宋体" w:eastAsia="宋体" w:hAnsi="宋体" w:cs="宋体" w:hint="eastAsia"/>
      <w:color w:val="000000"/>
      <w:sz w:val="20"/>
      <w:szCs w:val="20"/>
      <w:u w:val="none"/>
    </w:rPr>
  </w:style>
  <w:style w:type="character" w:customStyle="1" w:styleId="font91">
    <w:name w:val="font91"/>
    <w:basedOn w:val="a0"/>
    <w:qFormat/>
    <w:rsid w:val="00113A63"/>
    <w:rPr>
      <w:rFonts w:ascii="宋体" w:eastAsia="宋体" w:hAnsi="宋体" w:cs="宋体" w:hint="eastAsia"/>
      <w:color w:val="000000"/>
      <w:sz w:val="18"/>
      <w:szCs w:val="18"/>
      <w:u w:val="none"/>
    </w:rPr>
  </w:style>
  <w:style w:type="paragraph" w:styleId="a9">
    <w:name w:val="List Paragraph"/>
    <w:basedOn w:val="a"/>
    <w:uiPriority w:val="34"/>
    <w:qFormat/>
    <w:rsid w:val="00113A6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822</Words>
  <Characters>4688</Characters>
  <Application>Microsoft Office Word</Application>
  <DocSecurity>0</DocSecurity>
  <Lines>39</Lines>
  <Paragraphs>10</Paragraphs>
  <ScaleCrop>false</ScaleCrop>
  <Company>微软中国</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Administrator</cp:lastModifiedBy>
  <cp:revision>68</cp:revision>
  <cp:lastPrinted>2022-06-30T09:12:00Z</cp:lastPrinted>
  <dcterms:created xsi:type="dcterms:W3CDTF">2020-05-20T01:02:00Z</dcterms:created>
  <dcterms:modified xsi:type="dcterms:W3CDTF">2022-11-01T07:08:00Z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F46DD92EC30F4D04A7990E0C31F624B5</vt:lpwstr>
  </property>
</Properties>
</file>