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附件1-1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hint="eastAsia"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w:t>
      </w:r>
      <w:r>
        <w:rPr>
          <w:rFonts w:hint="eastAsia" w:eastAsia="仿宋_GB2312"/>
          <w:sz w:val="32"/>
          <w:u w:val="single"/>
          <w:lang w:eastAsia="zh-CN"/>
        </w:rPr>
        <w:t>中国人民政治协商会议湖南省岳阳县委员会</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sz w:val="32"/>
          <w:u w:val="single"/>
        </w:rPr>
        <w:t>YYX</w:t>
      </w:r>
      <w:r>
        <w:rPr>
          <w:rFonts w:hint="eastAsia" w:eastAsia="仿宋_GB2312"/>
          <w:sz w:val="32"/>
          <w:u w:val="single"/>
          <w:lang w:val="en-US" w:eastAsia="zh-CN"/>
        </w:rPr>
        <w:t>301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lang w:val="en-US" w:eastAsia="zh-CN"/>
        </w:rPr>
        <w:t>3</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footerReference r:id="rId3" w:type="default"/>
          <w:pgSz w:w="11906" w:h="16838"/>
          <w:pgMar w:top="1588" w:right="1588" w:bottom="1588" w:left="1588" w:header="851" w:footer="992" w:gutter="0"/>
          <w:pgNumType w:start="1"/>
          <w:cols w:space="720" w:num="1"/>
          <w:docGrid w:type="linesAndChars" w:linePitch="602" w:charSpace="-782"/>
        </w:sectPr>
      </w:pP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eastAsia="仿宋_GB2312"/>
                <w:sz w:val="32"/>
                <w:szCs w:val="32"/>
                <w:lang w:eastAsia="zh-CN"/>
              </w:rPr>
              <w:t>周向鹏</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eastAsia="仿宋_GB2312"/>
                <w:sz w:val="28"/>
                <w:szCs w:val="28"/>
                <w:lang w:eastAsia="zh-CN"/>
              </w:rPr>
              <w:t>13874051616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30</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县政协全体会议、常务委员会议、主席会议、联络办（组）会议的会务工作，负责上述会议所形成的决议、决定、建议案的组织实施。协调县政协各专门委员会的工作，充分发挥县政协委员的作用，履行好政治协商、民主监督、参政议政的基本职责。负责县政协委员进行视察、考察、参观、调查、座谈、学习、研讨等日常活动的组织服务及对外宣传工作；围绕全县大政方针，组织专题调查，课题研究，为县委、政府决策建言献策，当好参谋。做好统一战线和人民政协的理论研究工作。联系各民主党派、工商联、人民团体和无党派人士。做好政协自身建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任务1：坚持党的领导，筑牢团结奋斗共同思想政治基础</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任务2：坚持服务中心，充分发挥专门协商机构作用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任务3：坚持协商于民，助力基层治理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：坚持守正创新，全面提升履职能力</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紧贴“四区”建设协商议政。我们紧跟紧扣加快推进“四区”建设，精心设置协商课题。将全域旅游示范区建设，列为专题议政性常委会议题。通过深入走访座谈、调研视察、考察学习形成调研报告和建议案。协商会议确定的15条建议，纳入了我县全域旅游三年行动方案。开展“发挥区位优势，助力北向融城”专题协商会，为麻塘办事处农旅、康养产业发展把脉支招。开展“推进校企共育，服务园区发展”课题调研，助力高新技术产业集聚区人才建设。</w:t>
            </w:r>
          </w:p>
          <w:p>
            <w:pPr>
              <w:spacing w:line="5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围绕乡村振兴建言献策。围绕油茶产业，组织开展集中视察、外地考察，向县政府提出的“赋能、提质、扩面”建议被采纳。围绕“农业农村基础设施建设领域积极推广以工代赈方式”工作实施情况，开展民主监督，通过多轮协商，工作机制逐步健全，工作合力逐步形成，探索了一条可持续发展的新路径。今年有近2200万元项目资金纳入以工代赈范畴实施。</w:t>
            </w:r>
          </w:p>
          <w:p>
            <w:pPr>
              <w:spacing w:line="5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聚焦环保攻坚助力助推。把涉砂涉矿领域生态环保整治列入今年的视察评议课题，组织常委深入重点乡镇、重点企业进行现场踏察。在视察协商会议上，委员提出的“源头管控、疏堵结合”建议，县政府予以采纳。为助推城市黑臭水体治理，我们提出加强白羊水库污染防治的建议，住建部门根据实际统筹安排，对白羊水库实施了雨污分流、蓝藻灭治及消毒处理，水质已达到治理标准。</w:t>
            </w:r>
          </w:p>
          <w:p>
            <w:pPr>
              <w:spacing w:line="580" w:lineRule="exact"/>
              <w:ind w:firstLine="480" w:firstLineChars="200"/>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立足高质量发展倾心尽力。助力疫情防控，深入一线值守、协调调度；倾力企业帮扶，为企业解难纾困；参与乡村振兴，深入联系点，收集意见建议，解决困难，机关下派干部担任中洲乡巴陵村第一书记；支持文明创建，认真落实路长制，开展志愿服务和常态化劝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814.86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23.85</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790.78</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3"/>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w:t>
            </w:r>
            <w:r>
              <w:rPr>
                <w:rFonts w:hint="eastAsia" w:ascii="宋体" w:hAnsi="宋体" w:cs="宋体"/>
                <w:i w:val="0"/>
                <w:iCs w:val="0"/>
                <w:color w:val="000000"/>
                <w:kern w:val="0"/>
                <w:sz w:val="22"/>
                <w:szCs w:val="22"/>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803.95</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606.76</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481.45</w:t>
            </w:r>
          </w:p>
        </w:tc>
        <w:tc>
          <w:tcPr>
            <w:tcW w:w="2160" w:type="dxa"/>
            <w:gridSpan w:val="4"/>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125.31</w:t>
            </w:r>
          </w:p>
        </w:tc>
        <w:tc>
          <w:tcPr>
            <w:tcW w:w="1080" w:type="dxa"/>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197.19</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-12.93</w:t>
            </w:r>
          </w:p>
        </w:tc>
        <w:tc>
          <w:tcPr>
            <w:tcW w:w="625"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327.46</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327.46</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：坚持党的领导，筑牢团结奋斗共同思想政治基础</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：坚持服务中心，充分发挥专门协商机构作用</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目标3：坚持协商于民，助力基层治理</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：坚持守正创新，全面提升履职能力</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4585" w:type="dxa"/>
            <w:gridSpan w:val="9"/>
            <w:tcMar>
              <w:top w:w="0" w:type="dxa"/>
              <w:left w:w="15" w:type="dxa"/>
              <w:bottom w:w="0" w:type="dxa"/>
              <w:right w:w="15" w:type="dxa"/>
            </w:tcMar>
            <w:vAlign w:val="center"/>
          </w:tcPr>
          <w:p>
            <w:pPr>
              <w:numPr>
                <w:ilvl w:val="0"/>
                <w:numId w:val="0"/>
              </w:numPr>
              <w:autoSpaceDN w:val="0"/>
              <w:spacing w:line="320" w:lineRule="exact"/>
              <w:jc w:val="left"/>
              <w:textAlignment w:val="cente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坚持党的领导，筑牢团结奋斗共同思想政治基础</w:t>
            </w:r>
          </w:p>
          <w:p>
            <w:pPr>
              <w:numPr>
                <w:ilvl w:val="0"/>
                <w:numId w:val="0"/>
              </w:numPr>
              <w:autoSpaceDN w:val="0"/>
              <w:spacing w:line="320" w:lineRule="exact"/>
              <w:jc w:val="left"/>
              <w:textAlignment w:val="center"/>
              <w:rPr>
                <w:rFonts w:hint="eastAsia" w:ascii="仿宋" w:hAnsi="仿宋" w:eastAsia="仿宋" w:cs="仿宋"/>
              </w:rPr>
            </w:pPr>
            <w:r>
              <w:rPr>
                <w:rFonts w:hint="eastAsia" w:ascii="仿宋" w:hAnsi="仿宋" w:eastAsia="仿宋" w:cs="仿宋"/>
              </w:rPr>
              <w:t>一是强化理论武装。二是坚持党的领导。三是广泛凝聚共识。</w:t>
            </w:r>
          </w:p>
          <w:p>
            <w:pPr>
              <w:numPr>
                <w:ilvl w:val="0"/>
                <w:numId w:val="0"/>
              </w:numPr>
              <w:autoSpaceDN w:val="0"/>
              <w:spacing w:line="320" w:lineRule="exact"/>
              <w:ind w:leftChars="0"/>
              <w:jc w:val="left"/>
              <w:textAlignment w:val="center"/>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坚持服务中心，充分发挥专门协商机构作用</w:t>
            </w:r>
          </w:p>
          <w:p>
            <w:pPr>
              <w:numPr>
                <w:ilvl w:val="0"/>
                <w:numId w:val="0"/>
              </w:numPr>
              <w:autoSpaceDN w:val="0"/>
              <w:spacing w:line="320" w:lineRule="exact"/>
              <w:ind w:leftChars="0"/>
              <w:jc w:val="left"/>
              <w:textAlignment w:val="center"/>
              <w:rPr>
                <w:rFonts w:hint="eastAsia" w:ascii="仿宋" w:hAnsi="仿宋" w:eastAsia="仿宋" w:cs="仿宋"/>
              </w:rPr>
            </w:pPr>
            <w:r>
              <w:rPr>
                <w:rFonts w:hint="eastAsia" w:ascii="仿宋" w:hAnsi="仿宋" w:eastAsia="仿宋" w:cs="仿宋"/>
              </w:rPr>
              <w:t>一是紧贴“四区”建设协商议政。二是围绕乡村振兴建言献策。三是聚焦环保攻坚助力助推。四是立足高质量发展倾心尽力。</w:t>
            </w:r>
          </w:p>
          <w:p>
            <w:pPr>
              <w:numPr>
                <w:ilvl w:val="0"/>
                <w:numId w:val="0"/>
              </w:numPr>
              <w:autoSpaceDN w:val="0"/>
              <w:spacing w:line="320" w:lineRule="exact"/>
              <w:jc w:val="left"/>
              <w:textAlignment w:val="center"/>
              <w:rPr>
                <w:rFonts w:hint="eastAsia" w:ascii="仿宋" w:hAnsi="仿宋" w:eastAsia="仿宋" w:cs="仿宋"/>
                <w:lang w:val="en-US" w:eastAsia="zh-CN"/>
              </w:rPr>
            </w:pPr>
            <w:r>
              <w:rPr>
                <w:rFonts w:hint="eastAsia" w:ascii="仿宋" w:hAnsi="仿宋" w:eastAsia="仿宋" w:cs="仿宋"/>
                <w:lang w:val="en-US" w:eastAsia="zh-CN"/>
              </w:rPr>
              <w:t>3.坚持协商于民，助力基层治理</w:t>
            </w:r>
          </w:p>
          <w:p>
            <w:pPr>
              <w:numPr>
                <w:ilvl w:val="0"/>
                <w:numId w:val="0"/>
              </w:numPr>
              <w:autoSpaceDN w:val="0"/>
              <w:spacing w:line="320" w:lineRule="exact"/>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一是助力社会治理。二是服务民生实事。三是联系界别群众。</w:t>
            </w:r>
          </w:p>
          <w:p>
            <w:pPr>
              <w:numPr>
                <w:ilvl w:val="0"/>
                <w:numId w:val="0"/>
              </w:numPr>
              <w:autoSpaceDN w:val="0"/>
              <w:spacing w:line="320" w:lineRule="exact"/>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4.坚持守正创新，全面提升履职能力</w:t>
            </w:r>
          </w:p>
          <w:p>
            <w:pPr>
              <w:numPr>
                <w:ilvl w:val="0"/>
                <w:numId w:val="0"/>
              </w:numPr>
              <w:autoSpaceDN w:val="0"/>
              <w:spacing w:line="320" w:lineRule="exact"/>
              <w:ind w:left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一是严格队伍管理。二是健全制度建设。三是夯实履职平台。四是强化提案办理。</w:t>
            </w:r>
          </w:p>
          <w:p>
            <w:pPr>
              <w:pStyle w:val="2"/>
              <w:numPr>
                <w:ilvl w:val="0"/>
                <w:numId w:val="0"/>
              </w:numPr>
              <w:ind w:leftChars="0"/>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县委县政府</w:t>
            </w:r>
            <w:r>
              <w:rPr>
                <w:rFonts w:hint="eastAsia" w:ascii="仿宋_GB2312" w:hAnsi="仿宋_GB2312" w:eastAsia="仿宋_GB2312" w:cs="仿宋_GB2312"/>
                <w:color w:val="000000"/>
                <w:sz w:val="24"/>
              </w:rPr>
              <w:t>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sz w:val="22"/>
                <w:szCs w:val="22"/>
              </w:rPr>
              <w:t>“三公经费”变动率≤</w:t>
            </w:r>
            <w:r>
              <w:rPr>
                <w:rFonts w:ascii="仿宋_GB2312" w:eastAsia="仿宋_GB2312"/>
                <w:sz w:val="22"/>
                <w:szCs w:val="22"/>
              </w:rPr>
              <w:t>5%</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sz w:val="22"/>
                <w:szCs w:val="22"/>
              </w:rPr>
              <w:t>重点项目支出安排率</w:t>
            </w:r>
            <w:r>
              <w:rPr>
                <w:rFonts w:hint="eastAsia" w:ascii="宋体" w:hAnsi="宋体" w:cs="宋体"/>
                <w:sz w:val="22"/>
                <w:szCs w:val="22"/>
              </w:rPr>
              <w:t>≧</w:t>
            </w:r>
            <w:r>
              <w:rPr>
                <w:rFonts w:ascii="Arial" w:hAnsi="Arial" w:eastAsia="仿宋_GB2312" w:cs="Arial"/>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eastAsia="仿宋_GB2312"/>
                <w:sz w:val="22"/>
                <w:szCs w:val="22"/>
              </w:rPr>
              <w:t>预算调整率≤</w:t>
            </w:r>
            <w:r>
              <w:rPr>
                <w:rFonts w:ascii="仿宋_GB2312" w:eastAsia="仿宋_GB2312"/>
                <w:sz w:val="22"/>
                <w:szCs w:val="22"/>
              </w:rPr>
              <w:t>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eastAsia="仿宋_GB2312"/>
              </w:rPr>
              <w:t>有调整，没有完成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eastAsia="仿宋_GB2312"/>
                <w:sz w:val="22"/>
                <w:szCs w:val="22"/>
              </w:rPr>
              <w:t>数据误差率≤</w:t>
            </w:r>
            <w:r>
              <w:rPr>
                <w:rFonts w:ascii="仿宋_GB2312" w:eastAsia="仿宋_GB2312"/>
                <w:sz w:val="22"/>
                <w:szCs w:val="22"/>
              </w:rPr>
              <w:t>3%</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eastAsia="仿宋_GB2312"/>
                <w:sz w:val="22"/>
                <w:szCs w:val="22"/>
              </w:rPr>
              <w:t>“三公经费”控制率≤</w:t>
            </w:r>
            <w:r>
              <w:rPr>
                <w:rFonts w:ascii="仿宋_GB2312" w:eastAsia="仿宋_GB2312"/>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eastAsia="仿宋_GB2312"/>
                <w:sz w:val="22"/>
                <w:szCs w:val="22"/>
              </w:rPr>
              <w:t>公务卡刷卡率</w:t>
            </w:r>
            <w:r>
              <w:rPr>
                <w:rFonts w:hint="eastAsia" w:ascii="宋体" w:hAnsi="宋体" w:cs="宋体"/>
                <w:sz w:val="22"/>
                <w:szCs w:val="22"/>
              </w:rPr>
              <w:t>≧</w:t>
            </w:r>
            <w:r>
              <w:rPr>
                <w:rFonts w:ascii="仿宋_GB2312" w:eastAsia="仿宋_GB2312"/>
                <w:sz w:val="22"/>
                <w:szCs w:val="22"/>
              </w:rPr>
              <w:t>40%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sz w:val="22"/>
                <w:szCs w:val="22"/>
              </w:rPr>
              <w:t>固定资产利用率</w:t>
            </w:r>
            <w:r>
              <w:rPr>
                <w:rFonts w:ascii="仿宋_GB2312" w:eastAsia="仿宋_GB2312"/>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eastAsia="仿宋_GB2312"/>
              </w:rPr>
            </w:pPr>
            <w:r>
              <w:rPr>
                <w:rFonts w:ascii="仿宋_GB2312" w:eastAsia="仿宋_GB2312"/>
              </w:rPr>
              <w:t>100%</w:t>
            </w:r>
            <w:r>
              <w:rPr>
                <w:rFonts w:hint="eastAsia" w:ascii="仿宋_GB2312" w:eastAsia="仿宋_GB2312"/>
              </w:rPr>
              <w:t>完成</w:t>
            </w:r>
          </w:p>
          <w:p>
            <w:pPr>
              <w:autoSpaceDN w:val="0"/>
              <w:spacing w:line="40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：专题调研</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次</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重点业务工作按时完成率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rPr>
              <w:t>控制在预算内</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szCs w:val="21"/>
                <w:lang w:eastAsia="zh-CN"/>
              </w:rPr>
              <w:t>积极参政议政，坚持服务中心，充分发挥专门协商机构作用。</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eastAsia="仿宋_GB2312"/>
                <w:sz w:val="20"/>
                <w:szCs w:val="20"/>
                <w:lang w:eastAsia="zh-CN"/>
              </w:rPr>
              <w:t>以服务于“四区”建设为主轴，充分发挥政协专门协商机构作用，不断提高政治协商、民主监督、参政议政水平。全面推进“五化五型”政协建设，守正创新，进一步增强履职质效。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eastAsia="仿宋_GB2312"/>
                <w:szCs w:val="21"/>
                <w:lang w:eastAsia="zh-CN"/>
              </w:rPr>
              <w:t>无</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：聚焦环保攻坚助力助推。</w:t>
            </w:r>
          </w:p>
        </w:tc>
        <w:tc>
          <w:tcPr>
            <w:tcW w:w="2684" w:type="dxa"/>
            <w:gridSpan w:val="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把涉砂涉矿领域生态环保整治列入今年的视察评议课题，组织常委深入重点乡镇、重点企业进行现场踏察。在视察协商会议上，委员提出的“源头管控、疏堵结合”建议，县政府予以采纳。为助推城市黑臭水体治理，我们提出加强白羊水库污染防治的建议，住建部门根据实际统筹安排，对白羊水库实施了雨污分流、蓝藻灭治及消毒处理，水质已达到治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服务对象满意度</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95%满意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毛世红</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党组成员、秘书长、办公室主任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周成方</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袁婷</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机关出纳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hint="eastAsia" w:eastAsia="仿宋_GB2312" w:cs="仿宋_GB2312"/>
          <w:bCs/>
          <w:sz w:val="28"/>
          <w:szCs w:val="28"/>
          <w:lang w:eastAsia="zh-CN"/>
        </w:rPr>
      </w:pPr>
      <w:r>
        <w:rPr>
          <w:rFonts w:hint="eastAsia" w:eastAsia="仿宋_GB2312" w:cs="仿宋_GB2312"/>
          <w:bCs/>
          <w:sz w:val="28"/>
          <w:szCs w:val="28"/>
        </w:rPr>
        <w:t>填报人（签名）：</w:t>
      </w:r>
      <w:r>
        <w:rPr>
          <w:rFonts w:hint="eastAsia" w:eastAsia="仿宋_GB2312" w:cs="仿宋_GB2312"/>
          <w:bCs/>
          <w:sz w:val="28"/>
          <w:szCs w:val="28"/>
          <w:lang w:eastAsia="zh-CN"/>
        </w:rPr>
        <w:t>周向鹏</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eastAsia="zh-CN"/>
        </w:rPr>
        <w:t>13874051616</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pacing w:line="560" w:lineRule="exact"/>
              <w:ind w:firstLine="720" w:firstLineChars="300"/>
              <w:rPr>
                <w:rFonts w:hint="eastAsia" w:ascii="仿宋" w:hAnsi="仿宋" w:eastAsia="仿宋" w:cs="仿宋"/>
                <w:sz w:val="24"/>
                <w:lang w:val="en-US" w:eastAsia="zh-CN"/>
              </w:rPr>
            </w:pPr>
            <w:r>
              <w:rPr>
                <w:rFonts w:hint="eastAsia" w:ascii="仿宋" w:hAnsi="仿宋" w:eastAsia="仿宋" w:cs="仿宋"/>
                <w:sz w:val="24"/>
                <w:lang w:val="en-US" w:eastAsia="zh-CN"/>
              </w:rPr>
              <w:t>根据《中国人民政治协商会议章程》和县委、县政府《关于县直机构改革的实施意见》（岳县发[2002]4号）精神，政协岳阳县委员会的主要职能是政治协商、民主监督、参政议政。县政协办负责全会、主席会、常委会、主任（组长）会、机关工作的综合、协调、上传下达和服务；负责协调各专委会工作；负责机关退休干部的管理工作、计划生育工作；负责县定中心工作任务的接受、安排、协调、执行、总结；负责各种文字资料的撰写、汇编、印发、档案管理工作及报刊杂志的订发工作；负责机关后勤服务和财务工作。负责机关工会、妇联、共青团、老干、保密、宣传、纪检监察等机关日常管理工作。根据编委核定，政协机关由办公室、提案委员会、经济科技和外事委员会、文教卫体和文史委员会、社会法制和民族宗教委员会、农业农村和人口资源环境委员会、委员学习联络委员会等7个正科级单位。</w:t>
            </w:r>
          </w:p>
          <w:p>
            <w:pPr>
              <w:spacing w:line="560" w:lineRule="exact"/>
              <w:ind w:firstLine="720" w:firstLineChars="300"/>
              <w:rPr>
                <w:rFonts w:hint="eastAsia" w:ascii="仿宋" w:hAnsi="仿宋" w:eastAsia="仿宋" w:cs="仿宋"/>
                <w:sz w:val="24"/>
                <w:lang w:eastAsia="zh-CN"/>
              </w:rPr>
            </w:pPr>
            <w:r>
              <w:rPr>
                <w:rFonts w:hint="eastAsia" w:ascii="仿宋" w:hAnsi="仿宋" w:eastAsia="仿宋" w:cs="仿宋"/>
                <w:sz w:val="24"/>
                <w:lang w:val="en-US" w:eastAsia="zh-CN"/>
              </w:rPr>
              <w:t>2022年政协机关在职人员编制30人，实际30人，另有退休人员23人。</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hint="eastAsia" w:ascii="仿宋" w:hAnsi="仿宋" w:eastAsia="仿宋" w:cs="仿宋"/>
                <w:sz w:val="24"/>
                <w:lang w:eastAsia="zh-CN"/>
              </w:rPr>
            </w:pPr>
            <w:r>
              <w:rPr>
                <w:rFonts w:ascii="仿宋" w:hAnsi="仿宋" w:eastAsia="仿宋" w:cs="仿宋"/>
                <w:sz w:val="24"/>
              </w:rPr>
              <w:t xml:space="preserve">   </w:t>
            </w:r>
            <w:r>
              <w:rPr>
                <w:rFonts w:hint="eastAsia" w:ascii="仿宋" w:hAnsi="仿宋" w:eastAsia="仿宋" w:cs="仿宋"/>
                <w:sz w:val="24"/>
                <w:lang w:eastAsia="zh-CN"/>
              </w:rPr>
              <w:t xml:space="preserve"> 202</w:t>
            </w:r>
            <w:r>
              <w:rPr>
                <w:rFonts w:hint="eastAsia" w:ascii="仿宋" w:hAnsi="仿宋" w:eastAsia="仿宋" w:cs="仿宋"/>
                <w:sz w:val="24"/>
                <w:lang w:val="en-US" w:eastAsia="zh-CN"/>
              </w:rPr>
              <w:t>2</w:t>
            </w:r>
            <w:r>
              <w:rPr>
                <w:rFonts w:hint="eastAsia" w:ascii="仿宋" w:hAnsi="仿宋" w:eastAsia="仿宋" w:cs="仿宋"/>
                <w:sz w:val="24"/>
                <w:lang w:eastAsia="zh-CN"/>
              </w:rPr>
              <w:t>年政协岳阳县委员会</w:t>
            </w:r>
            <w:r>
              <w:rPr>
                <w:rFonts w:hint="eastAsia" w:ascii="仿宋" w:hAnsi="仿宋" w:eastAsia="仿宋" w:cs="仿宋"/>
                <w:sz w:val="24"/>
              </w:rPr>
              <w:t>整体支出为</w:t>
            </w:r>
            <w:r>
              <w:rPr>
                <w:rFonts w:hint="eastAsia" w:ascii="宋体" w:hAnsi="宋体" w:cs="宋体"/>
                <w:i w:val="0"/>
                <w:iCs w:val="0"/>
                <w:color w:val="000000"/>
                <w:kern w:val="0"/>
                <w:sz w:val="22"/>
                <w:szCs w:val="22"/>
                <w:u w:val="none"/>
                <w:lang w:val="en-US" w:eastAsia="zh-CN" w:bidi="ar"/>
              </w:rPr>
              <w:t>803.95</w:t>
            </w:r>
            <w:r>
              <w:rPr>
                <w:rFonts w:hint="eastAsia" w:ascii="仿宋" w:hAnsi="仿宋" w:eastAsia="仿宋" w:cs="仿宋"/>
                <w:sz w:val="24"/>
              </w:rPr>
              <w:t>万元，包括基本支出</w:t>
            </w:r>
            <w:r>
              <w:rPr>
                <w:rFonts w:hint="eastAsia" w:ascii="仿宋_GB2312" w:hAnsi="仿宋_GB2312" w:eastAsia="仿宋_GB2312" w:cs="仿宋_GB2312"/>
                <w:color w:val="000000"/>
                <w:sz w:val="24"/>
                <w:lang w:val="en-US" w:eastAsia="zh-CN"/>
              </w:rPr>
              <w:t>606.76</w:t>
            </w:r>
            <w:r>
              <w:rPr>
                <w:rFonts w:hint="eastAsia" w:ascii="仿宋" w:hAnsi="仿宋" w:eastAsia="仿宋" w:cs="仿宋"/>
                <w:sz w:val="24"/>
              </w:rPr>
              <w:t>万元，主要用于人员经费支出和日常公用经费支出，项目支出</w:t>
            </w:r>
            <w:r>
              <w:rPr>
                <w:rFonts w:hint="eastAsia" w:ascii="仿宋_GB2312" w:hAnsi="仿宋_GB2312" w:eastAsia="仿宋_GB2312" w:cs="仿宋_GB2312"/>
                <w:color w:val="000000"/>
                <w:sz w:val="24"/>
                <w:lang w:val="en-US" w:eastAsia="zh-CN"/>
              </w:rPr>
              <w:t>197.19</w:t>
            </w:r>
            <w:r>
              <w:rPr>
                <w:rFonts w:hint="eastAsia" w:ascii="仿宋" w:hAnsi="仿宋" w:eastAsia="仿宋" w:cs="仿宋"/>
                <w:sz w:val="24"/>
              </w:rPr>
              <w:t>元，主要用于工委履职、提案办理、政协常委会会议等</w:t>
            </w:r>
            <w:r>
              <w:rPr>
                <w:rFonts w:hint="eastAsia" w:ascii="仿宋" w:hAnsi="仿宋" w:eastAsia="仿宋" w:cs="仿宋"/>
                <w:sz w:val="24"/>
                <w:lang w:eastAsia="zh-CN"/>
              </w:rPr>
              <w:t>工作开支。</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2022年政协岳阳县委员会</w:t>
            </w:r>
            <w:r>
              <w:rPr>
                <w:rFonts w:hint="eastAsia" w:ascii="仿宋" w:hAnsi="仿宋" w:eastAsia="仿宋" w:cs="仿宋"/>
                <w:sz w:val="24"/>
              </w:rPr>
              <w:t>基本支出</w:t>
            </w:r>
            <w:r>
              <w:rPr>
                <w:rFonts w:hint="eastAsia" w:ascii="仿宋_GB2312" w:hAnsi="仿宋_GB2312" w:eastAsia="仿宋_GB2312" w:cs="仿宋_GB2312"/>
                <w:color w:val="000000"/>
                <w:sz w:val="24"/>
                <w:lang w:val="en-US" w:eastAsia="zh-CN"/>
              </w:rPr>
              <w:t>606.76</w:t>
            </w:r>
            <w:r>
              <w:rPr>
                <w:rFonts w:hint="eastAsia" w:ascii="仿宋" w:hAnsi="仿宋" w:eastAsia="仿宋" w:cs="仿宋"/>
                <w:sz w:val="24"/>
              </w:rPr>
              <w:t>万元，包括人员支出</w:t>
            </w:r>
            <w:r>
              <w:rPr>
                <w:rFonts w:hint="eastAsia" w:ascii="宋体" w:hAnsi="宋体" w:eastAsia="宋体" w:cs="宋体"/>
                <w:i w:val="0"/>
                <w:iCs w:val="0"/>
                <w:color w:val="000000"/>
                <w:kern w:val="0"/>
                <w:sz w:val="22"/>
                <w:szCs w:val="22"/>
                <w:u w:val="none"/>
                <w:lang w:val="en-US" w:eastAsia="zh-CN" w:bidi="ar"/>
              </w:rPr>
              <w:t>481.45</w:t>
            </w:r>
            <w:r>
              <w:rPr>
                <w:rFonts w:hint="eastAsia" w:ascii="仿宋" w:hAnsi="仿宋" w:eastAsia="仿宋" w:cs="仿宋"/>
                <w:sz w:val="24"/>
              </w:rPr>
              <w:t>万元，公用</w:t>
            </w:r>
            <w:r>
              <w:rPr>
                <w:rFonts w:hint="eastAsia" w:ascii="仿宋" w:hAnsi="仿宋" w:eastAsia="仿宋" w:cs="仿宋"/>
                <w:sz w:val="24"/>
                <w:lang w:eastAsia="zh-CN"/>
              </w:rPr>
              <w:t>经费</w:t>
            </w:r>
            <w:r>
              <w:rPr>
                <w:rFonts w:hint="eastAsia" w:ascii="宋体" w:hAnsi="宋体" w:eastAsia="宋体" w:cs="宋体"/>
                <w:i w:val="0"/>
                <w:iCs w:val="0"/>
                <w:color w:val="000000"/>
                <w:kern w:val="0"/>
                <w:sz w:val="22"/>
                <w:szCs w:val="22"/>
                <w:u w:val="none"/>
                <w:lang w:val="en-US" w:eastAsia="zh-CN" w:bidi="ar"/>
              </w:rPr>
              <w:t>125.31</w:t>
            </w:r>
            <w:r>
              <w:rPr>
                <w:rFonts w:hint="eastAsia" w:ascii="仿宋" w:hAnsi="仿宋" w:eastAsia="仿宋" w:cs="仿宋"/>
                <w:sz w:val="24"/>
              </w:rPr>
              <w:t>万元，其中“三公”经费合计</w:t>
            </w:r>
            <w:r>
              <w:rPr>
                <w:rFonts w:hint="eastAsia" w:ascii="宋体" w:hAnsi="宋体" w:eastAsia="宋体" w:cs="宋体"/>
                <w:i w:val="0"/>
                <w:iCs w:val="0"/>
                <w:color w:val="000000"/>
                <w:kern w:val="0"/>
                <w:sz w:val="22"/>
                <w:szCs w:val="22"/>
                <w:u w:val="none"/>
                <w:lang w:val="en-US" w:eastAsia="zh-CN" w:bidi="ar"/>
              </w:rPr>
              <w:t>2.11</w:t>
            </w:r>
            <w:r>
              <w:rPr>
                <w:rFonts w:hint="eastAsia" w:ascii="仿宋" w:hAnsi="仿宋" w:eastAsia="仿宋" w:cs="仿宋"/>
                <w:sz w:val="24"/>
              </w:rPr>
              <w:t>万元，包括公务接待费</w:t>
            </w:r>
            <w:r>
              <w:rPr>
                <w:rFonts w:hint="eastAsia" w:ascii="宋体" w:hAnsi="宋体" w:eastAsia="宋体" w:cs="宋体"/>
                <w:i w:val="0"/>
                <w:iCs w:val="0"/>
                <w:color w:val="000000"/>
                <w:kern w:val="0"/>
                <w:sz w:val="22"/>
                <w:szCs w:val="22"/>
                <w:u w:val="none"/>
                <w:lang w:val="en-US" w:eastAsia="zh-CN" w:bidi="ar"/>
              </w:rPr>
              <w:t>2.11</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县财政安排我办项目经费19</w:t>
            </w:r>
            <w:r>
              <w:rPr>
                <w:rFonts w:hint="eastAsia" w:ascii="仿宋_GB2312" w:hAnsi="仿宋_GB2312" w:eastAsia="仿宋_GB2312" w:cs="仿宋_GB2312"/>
                <w:bCs/>
                <w:sz w:val="24"/>
                <w:lang w:val="en-US" w:eastAsia="zh-CN"/>
              </w:rPr>
              <w:t>0.0</w:t>
            </w:r>
            <w:r>
              <w:rPr>
                <w:rFonts w:hint="eastAsia" w:ascii="仿宋_GB2312" w:hAnsi="仿宋_GB2312" w:eastAsia="仿宋_GB2312" w:cs="仿宋_GB2312"/>
                <w:bCs/>
                <w:sz w:val="24"/>
              </w:rPr>
              <w:t>万元，</w:t>
            </w:r>
            <w:r>
              <w:rPr>
                <w:rFonts w:hint="eastAsia" w:ascii="仿宋_GB2312" w:hAnsi="仿宋_GB2312" w:eastAsia="仿宋_GB2312" w:cs="仿宋_GB2312"/>
                <w:bCs/>
                <w:sz w:val="24"/>
                <w:lang w:eastAsia="zh-CN"/>
              </w:rPr>
              <w:t>具体</w:t>
            </w:r>
            <w:r>
              <w:rPr>
                <w:rFonts w:hint="eastAsia" w:ascii="仿宋_GB2312" w:hAnsi="仿宋_GB2312" w:eastAsia="仿宋_GB2312" w:cs="仿宋_GB2312"/>
                <w:bCs/>
                <w:sz w:val="24"/>
              </w:rPr>
              <w:t>包括工委履职14万元，主要用于各专委会工作履职；提案办理10万元，政协常委会会议40万元，政协日常会议4.50万元，政协委员和政协常委活动42.10万元，智慧政协平台运行维护10万元</w:t>
            </w:r>
            <w:r>
              <w:rPr>
                <w:rFonts w:hint="eastAsia" w:ascii="仿宋_GB2312" w:hAnsi="仿宋_GB2312" w:eastAsia="仿宋_GB2312" w:cs="仿宋_GB2312"/>
                <w:bCs/>
                <w:sz w:val="24"/>
                <w:lang w:eastAsia="zh-CN"/>
              </w:rPr>
              <w:t>，其他专项业务经费</w:t>
            </w:r>
            <w:r>
              <w:rPr>
                <w:rFonts w:hint="eastAsia" w:ascii="仿宋_GB2312" w:hAnsi="仿宋_GB2312" w:eastAsia="仿宋_GB2312" w:cs="仿宋_GB2312"/>
                <w:bCs/>
                <w:sz w:val="24"/>
                <w:lang w:val="en-US" w:eastAsia="zh-CN"/>
              </w:rPr>
              <w:t>69.40万元</w:t>
            </w:r>
            <w:r>
              <w:rPr>
                <w:rFonts w:hint="eastAsia" w:ascii="仿宋_GB2312" w:hAnsi="仿宋_GB2312" w:eastAsia="仿宋_GB2312" w:cs="仿宋_GB2312"/>
                <w:bCs/>
                <w:sz w:val="24"/>
              </w:rPr>
              <w:t>。</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我办实际发生项目支出197.19万元，项目支出安排率</w:t>
            </w:r>
            <w:r>
              <w:rPr>
                <w:rFonts w:hint="eastAsia" w:ascii="仿宋_GB2312" w:hAnsi="仿宋_GB2312" w:eastAsia="仿宋_GB2312" w:cs="仿宋_GB2312"/>
                <w:bCs/>
                <w:sz w:val="24"/>
                <w:lang w:eastAsia="zh-CN"/>
              </w:rPr>
              <w:t>超过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hint="eastAsia"/>
                <w:lang w:val="en-US" w:eastAsia="zh-CN"/>
              </w:rPr>
            </w:pPr>
            <w:r>
              <w:rPr>
                <w:rFonts w:ascii="仿宋_GB2312" w:hAnsi="仿宋_GB2312" w:eastAsia="仿宋_GB2312" w:cs="仿宋_GB2312"/>
                <w:bCs/>
                <w:kern w:val="2"/>
              </w:rPr>
              <w:t xml:space="preserve"> </w:t>
            </w:r>
            <w:r>
              <w:rPr>
                <w:rFonts w:hint="eastAsia" w:ascii="仿宋_GB2312" w:hAnsi="仿宋_GB2312" w:eastAsia="仿宋_GB2312" w:cs="仿宋_GB2312"/>
                <w:bCs/>
                <w:kern w:val="2"/>
                <w:lang w:val="en-US" w:eastAsia="zh-CN"/>
              </w:rPr>
              <w:t xml:space="preserve">   </w:t>
            </w:r>
            <w:r>
              <w:rPr>
                <w:rFonts w:hint="eastAsia" w:ascii="仿宋_GB2312" w:hAnsi="仿宋_GB2312" w:eastAsia="仿宋_GB2312" w:cs="仿宋_GB2312"/>
                <w:bCs/>
                <w:sz w:val="24"/>
              </w:rPr>
              <w:t xml:space="preserve"> 班子靠前作战、积极履职、精心组织，各</w:t>
            </w:r>
            <w:r>
              <w:rPr>
                <w:rFonts w:hint="eastAsia" w:ascii="仿宋_GB2312" w:hAnsi="仿宋_GB2312" w:eastAsia="仿宋_GB2312" w:cs="仿宋_GB2312"/>
                <w:bCs/>
                <w:sz w:val="24"/>
                <w:lang w:eastAsia="zh-CN"/>
              </w:rPr>
              <w:t>专项</w:t>
            </w:r>
            <w:r>
              <w:rPr>
                <w:rFonts w:hint="eastAsia" w:ascii="仿宋_GB2312" w:hAnsi="仿宋_GB2312" w:eastAsia="仿宋_GB2312" w:cs="仿宋_GB2312"/>
                <w:bCs/>
                <w:sz w:val="24"/>
              </w:rPr>
              <w:t>工作有序推进。</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ind w:firstLine="480" w:firstLineChars="200"/>
              <w:rPr>
                <w:rFonts w:hint="eastAsia"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项目资金的使用保障了工委履职</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专委会工作履职</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提案办理等工作的顺利开展，取得了良好的社会效益。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精心组织、狠抓落实，扎实推进。</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480" w:firstLineChars="200"/>
              <w:rPr>
                <w:rFonts w:hint="eastAsia" w:ascii="仿宋_GB2312" w:hAnsi="仿宋_GB2312" w:eastAsia="仿宋_GB2312" w:cs="仿宋_GB2312"/>
                <w:bCs/>
                <w:sz w:val="24"/>
              </w:rPr>
            </w:pPr>
            <w:r>
              <w:rPr>
                <w:rFonts w:hint="eastAsia" w:ascii="黑体" w:hAnsi="黑体" w:eastAsia="黑体" w:cs="黑体"/>
                <w:bCs/>
                <w:sz w:val="24"/>
              </w:rPr>
              <w:t xml:space="preserve"> </w:t>
            </w:r>
            <w:r>
              <w:rPr>
                <w:rFonts w:hint="eastAsia" w:ascii="仿宋_GB2312" w:hAnsi="仿宋_GB2312" w:eastAsia="仿宋_GB2312" w:cs="仿宋_GB2312"/>
                <w:bCs/>
                <w:sz w:val="24"/>
              </w:rPr>
              <w:t>把专项资金预算编制、预算执行、绩效管理相结合。申请支出事项必须有预算指标，再履行预算支出审批手续，无预算指标或预算指标的事项应先履行预算追加调整程序，这样保证了项目资金的合理使用，同时定期采集绩效运行的信息，督促各部门按时完成预算执行目标。</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560" w:lineRule="exact"/>
              <w:ind w:firstLine="480" w:firstLineChars="200"/>
              <w:rPr>
                <w:rFonts w:hint="eastAsia" w:ascii="仿宋_GB2312" w:hAnsi="仿宋_GB2312" w:eastAsia="仿宋_GB2312" w:cs="Times New Roman"/>
                <w:sz w:val="24"/>
              </w:rPr>
            </w:pPr>
            <w:r>
              <w:rPr>
                <w:rFonts w:hint="eastAsia" w:ascii="黑体" w:hAnsi="黑体" w:eastAsia="黑体" w:cs="黑体"/>
                <w:bCs/>
                <w:sz w:val="24"/>
                <w:lang w:eastAsia="zh-CN"/>
              </w:rPr>
              <w:t>2022年</w:t>
            </w:r>
            <w:r>
              <w:rPr>
                <w:rFonts w:hint="eastAsia" w:ascii="仿宋_GB2312" w:hAnsi="仿宋_GB2312" w:eastAsia="仿宋_GB2312" w:cs="Times New Roman"/>
                <w:sz w:val="24"/>
                <w:lang w:eastAsia="zh-CN"/>
              </w:rPr>
              <w:t>政协岳阳县委员会</w:t>
            </w:r>
            <w:r>
              <w:rPr>
                <w:rFonts w:hint="eastAsia" w:ascii="仿宋_GB2312" w:hAnsi="仿宋_GB2312" w:eastAsia="仿宋_GB2312" w:cs="Times New Roman"/>
                <w:sz w:val="24"/>
              </w:rPr>
              <w:t>整体支出共计</w:t>
            </w:r>
            <w:r>
              <w:rPr>
                <w:rFonts w:hint="eastAsia" w:ascii="宋体" w:hAnsi="宋体" w:cs="宋体"/>
                <w:i w:val="0"/>
                <w:iCs w:val="0"/>
                <w:color w:val="000000"/>
                <w:kern w:val="0"/>
                <w:sz w:val="22"/>
                <w:szCs w:val="22"/>
                <w:u w:val="none"/>
                <w:lang w:val="en-US" w:eastAsia="zh-CN" w:bidi="ar"/>
              </w:rPr>
              <w:t>803.95</w:t>
            </w:r>
            <w:r>
              <w:rPr>
                <w:rFonts w:hint="eastAsia" w:ascii="仿宋_GB2312" w:hAnsi="仿宋_GB2312" w:eastAsia="仿宋_GB2312" w:cs="Times New Roman"/>
                <w:sz w:val="24"/>
              </w:rPr>
              <w:t>万元，其中：基本支出</w:t>
            </w:r>
            <w:r>
              <w:rPr>
                <w:rFonts w:hint="eastAsia" w:ascii="仿宋_GB2312" w:hAnsi="仿宋_GB2312" w:eastAsia="仿宋_GB2312" w:cs="仿宋_GB2312"/>
                <w:color w:val="000000"/>
                <w:sz w:val="24"/>
                <w:lang w:val="en-US" w:eastAsia="zh-CN"/>
              </w:rPr>
              <w:t>606.76</w:t>
            </w:r>
            <w:r>
              <w:rPr>
                <w:rFonts w:hint="eastAsia" w:ascii="仿宋_GB2312" w:hAnsi="仿宋_GB2312" w:eastAsia="仿宋_GB2312" w:cs="Times New Roman"/>
                <w:sz w:val="24"/>
              </w:rPr>
              <w:t>万元，系保障</w:t>
            </w:r>
            <w:r>
              <w:rPr>
                <w:rFonts w:hint="eastAsia" w:ascii="仿宋_GB2312" w:hAnsi="仿宋_GB2312" w:eastAsia="仿宋_GB2312" w:cs="Times New Roman"/>
                <w:sz w:val="24"/>
                <w:lang w:eastAsia="zh-CN"/>
              </w:rPr>
              <w:t>我单位</w:t>
            </w:r>
            <w:r>
              <w:rPr>
                <w:rFonts w:hint="eastAsia" w:ascii="仿宋_GB2312" w:hAnsi="仿宋_GB2312" w:eastAsia="仿宋_GB2312" w:cs="Times New Roman"/>
                <w:sz w:val="24"/>
              </w:rPr>
              <w:t>行政运行各项支出。包括用于工资福利支出、一般商品和服务支出、对个人和家庭的补助等人员经费和日常公用经费；项目支出</w:t>
            </w:r>
            <w:r>
              <w:rPr>
                <w:rFonts w:hint="eastAsia" w:ascii="仿宋_GB2312" w:hAnsi="仿宋_GB2312" w:eastAsia="仿宋_GB2312" w:cs="仿宋_GB2312"/>
                <w:color w:val="000000"/>
                <w:sz w:val="24"/>
                <w:lang w:val="en-US" w:eastAsia="zh-CN"/>
              </w:rPr>
              <w:t>197.19</w:t>
            </w:r>
            <w:r>
              <w:rPr>
                <w:rFonts w:hint="eastAsia" w:ascii="仿宋_GB2312" w:hAnsi="仿宋_GB2312" w:eastAsia="仿宋_GB2312" w:cs="Times New Roman"/>
                <w:sz w:val="24"/>
              </w:rPr>
              <w:t>万元。</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(一)经济性评价</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lang w:eastAsia="zh-CN"/>
              </w:rPr>
              <w:t>2022年</w:t>
            </w:r>
            <w:r>
              <w:rPr>
                <w:rFonts w:hint="eastAsia" w:ascii="仿宋_GB2312" w:hAnsi="仿宋_GB2312" w:eastAsia="仿宋_GB2312" w:cs="Times New Roman"/>
                <w:sz w:val="24"/>
              </w:rPr>
              <w:t>预算配置控制较好，财政供养人员控制在预算编制以内，编制内在职人员控制率小于100%；同时机关深入贯彻落实中央有关“厉行节约”的精神，严控行政成本，制订完善财务管理制度，加强了三公经费管理，三公经费预算总额较上年有所减少，三公经费变动率小于0。在预算执行方面，全年支出总额控制在预算总额以内，制度执行总体较为有效。</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（二）效率性评价和社会公众满意度评价</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一、坚持党的领导，筑牢团结奋斗共同思想政治基础</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1.强化理论武装。把学习贯彻习近平新时代中国特色社会主义思想作为首要政治任务，举办全体委员培训班、常委培训班，让新时代创新理论入心入脑。开展“宣讲二十大，奋进新征程”委员走访活动，引导全体委员感党恩、听党话、跟党走，深刻领悟“两个确立”的决定性意义，增强“四个意识”、坚定“四个自信”、做到“两个维护”。</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2.坚持党的领导。认真落实政协党建工作“两个全覆盖”，选派20名党员委员担任政协委员工作室党建指导员。定期研究意识形态工作，出台意识形态工作责任制实施方案，明确“四个责任”，落实四个“一同部署”。全面落实党风廉政建设责任，强力推进清廉机关建设，全力支持县纪委监委派驻组工作，自觉接受监督。</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3.广泛凝聚共识。把加强思想政治引领、广泛凝聚共识作为履职工作的中心环节。一年来组织开展“五联”履职活动31场次，深入乡镇、界别与党外委员交流思想、加强引导，寓思想政治引领于团结联谊之中。主动邀请各民主党派人士和界别群众参与政协履职活动，使调研、协商、监督的过程，成为宣传政策、增进共识，求同存异、聚同化异的过程，最大限度地汇集推动改革发展的磅礴力量。</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二、坚持服务中心，充分发挥专门协商机构作用</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1.紧贴“四区”建设协商议政。我们紧跟紧扣加快推进“四区”建设，精心设置协商课题。将全域旅游示范区建设，列为专题议政性常委会议题。通过深入走访座谈、调研视察、考察学习形成调研报告和建议案。协商会议确定的15条建议，纳入了我县全域旅游三年行动方案。开展“发挥区位优势，助力北向融城”专题协商会，为麻塘办事处农旅、康养产业发展把脉支招。开展“推进校企共育，服务园区发展”课题调研，助力高新技术产业集聚区人才建设。</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2.围绕乡村振兴建言献策。围绕油茶产业，组织开展集中视察、外地考察，向县政府提出的“赋能、提质、扩面”建议被采纳。围绕“农业农村基础设施建设领域积极推广以工代赈方式”工作实施情况，开展民主监督，通过多轮协商，工作机制逐步健全，工作合力逐步形成，探索了一条可持续发展的新路径。今年有近2200万元项目资金纳入以工代赈范畴实施。</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3.聚焦环保攻坚助力助推。把涉砂涉矿领域生态环保整治列入今年的视察评议课题，组织常委深入重点乡镇、重点企业进行现场踏察。在视察协商会议上，委员提出的“源头管控、疏堵结合”建议，县政府予以采纳。为助推城市黑臭水体治理，我们提出加强白羊水库污染防治的建议，住建部门根据实际统筹安排，对白羊水库实施了雨污分流、蓝藻灭治及消毒处理，水质已达到治理标准。</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4.立足高质量发展倾心尽力。助力疫情防控，深入一线值守、协调调度；倾力企业帮扶，为企业解难纾困；参与乡村振兴，深入联系点，收集意见建议，解决困难，机关下派干部担任中洲乡巴陵村第一书记；支持文明创建，认真落实路长制，开展志愿服务和常态化劝导。</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三、坚持协商于民，助力基层治理</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坚持协商于民、协商为民，把推进协商民主与助力基层治理、服务民生实事、密切联系群众有机结合，使协商民主更加务实。</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1.助力社会治理。按照“不建机构建机制”的工作思路，以小切口、微协商的方式，打造“‘岳’商越和”基层协商品牌。委员在日常履职中，收集群众关切的热点难点问题，主动深入部门了解，咨询专业人士，形成务实的协商方案。筻口镇熊市村废弃通信杆隐患、新墙集镇自来水压力不足、柏祥镇庙升塘淤积等一系列群众身边的困难和问题，在委员工作室组织各方开展协商，人民群众实话实说，职能部门就事议事，乡村组织积极响应，政协委员全程助推。能解决的解决好，不能解决的解释好，最大限度地寻求各方理解和支持，让“有事好商量、众人的事众人商量”的基层协商转化为基层治理效能。</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2.服务民生实事。牢固树立协商民主就是服务的理念。今年我们将政协云APP“微建议”与政府“12345热线”无缝对接，为助推解决民生问题拓展了新路径。一年来，我们收集微建议105条，甄别受理78条，办结74条。“拉通青山路原文联门口人行道”的微建议，住建部门结合城市基础设施升级，一体规划、改造，让居民出行更舒心；“加强城南河沿线设施维护”的微建议，城管部门结合日常巡查，添置设施、修复路面、增加养护，让城市生活更美好。一大批民生实事的妥善解决，委员履职更有热情，人民群众更得实惠。</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3.联系界别群众。常态化开展“我为群众办实事”实践活动。“六一”儿童节前夕，在杨林街镇王安村组织开展“情暖童心·相依相伴”志愿关爱活动，送上爱心书包，传授安全知识，鼓励支边教师；联点专委带领工交界别组委员赴高速路口，看望在寒风中值守的防疫工作人员，传递了温暖。通过与人民群众的深入联系，为协商民主打下更加扎实、更加深厚、更加持久的群众基础。</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四、坚持守正创新，全面提升履职能力</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坚持守正创新，完善机制体制，创新方式方法，增强协商本领，全面固本强基，不断提升履职能力、履职质效。</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1.严格队伍管理。一是强化学习。每月开展的委员工作室集中学习和机关“书香政协”活动，采取专家授课、委员交流、共同分享的方式，增强了学习的主动性、实效性，切实提高了委员的“四种能力”。为存史资政，启迪育人，县政协组织委员全面梳理新墙河抗战史实，联合专家学者，走访收集、编印出版《湘北抗战》。二是严明纪律。把规矩纪律挺在最前面，认真贯彻执行中央八项规定精神，严格落实市委“双十条”和县委“六个严禁”等工作规定。经常性开展谈心谈话，教育引导“两支队伍”做到“讲规矩，守纪律、重品行”。三是加强考核。健全优化委员考核评价体系，促进委员履职从“做了什么”“做了多少”向“做出了什么效果”转变。二次全会期间对7个政协工作先进单位、3个优秀政协委员工作室、32名优秀政协委员、10件优秀提案进行表彰。同时，进一步完善退出机制，今年有2名委员因无法达到履职要求，主动提出辞呈。</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2.健全制度建设。研究出台政协主席会议、常委会议等2个议事规则，进一步提升政协决策效能。完善健全“五联”机制、“书香政协”等4个工作制度，进一步激发委员的主体作用，增强履职活力。主席会议成员牵头，每个季度开展1次片区履职活动，有效促进了各界别委员之间的沟通联动。制订印发协商议政工作质量评价、社情民意信息收集等6个工作办法，力戒形式主义，规范履职行为，提升履职质量，让视察、调研等履职活动更加务实。</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3.夯实履职平台。全面做实政协委员工作室平台，实现线上线下同步。“守护好一江碧水”委员工作室，围绕湖区发展开展微协商，与当地群众联系更加密切；柏祥镇委员工作室与本地党建品牌“和顺堂”有机结合，有效赋能村民自治；“岳阳王鸽”委员工作室，组织养殖户开展技能培训、组织企业开展直播带货、组织老板开展爱心助学，界别群众的凝聚力越来越强。随着委员工作室建管用的深入推进，联系群众、协商议政、凝聚共识的实效全面得到发挥。8月18日市政协作凤主席来岳阳县调研，对我县委员工作室建管用工作给予了高度肯定。日前，柏祥镇委员工作室被评为全省示范性委员工作室。</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4.强化提案办理。进一步完善提案督办机制，增强提案办理实效，激发委员履职热情。我们从110件立案提案中遴选出“加强和改进城乡居民医保工作”等4件重点提案，由驻会正副主席领办。开展县政协机关专委对口督办提案，有效提高了提案办理的质效。今年所有收集的提案已全部办复，见面率、答复率、满意率均为100%。同时，我们严格提案立案标准，重点引导各专委、各界别、各乡镇增加集体提案比重，提高提案质量。</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1.预算编制有待更完整、科学。支出预算与实际支出项目有的存在差异。</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2.支出进度有点滞后，年终有结余。</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3.存在一些临时性工作追加经费现象，预算编制的精确性有待进一步提高。</w:t>
            </w:r>
          </w:p>
          <w:p>
            <w:pPr>
              <w:spacing w:line="560" w:lineRule="exact"/>
              <w:ind w:firstLine="480" w:firstLineChars="200"/>
              <w:rPr>
                <w:rFonts w:hint="eastAsia" w:ascii="黑体" w:hAnsi="黑体" w:eastAsia="黑体" w:cs="黑体"/>
                <w:bCs/>
                <w:sz w:val="24"/>
              </w:rPr>
            </w:pPr>
            <w:r>
              <w:rPr>
                <w:rFonts w:hint="eastAsia" w:ascii="黑体" w:hAnsi="黑体" w:eastAsia="黑体" w:cs="黑体"/>
                <w:bCs/>
                <w:sz w:val="24"/>
              </w:rPr>
              <w:t>六、改进措施和有关建议</w:t>
            </w:r>
          </w:p>
          <w:p>
            <w:pPr>
              <w:pStyle w:val="2"/>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1.继续严格执行财务制度，合理安排经费支出，继续强化落实厉行节约精神，对经费使用从严控制，对资金运行要实行事前预测、事中控制、事后分析。</w:t>
            </w:r>
          </w:p>
          <w:p>
            <w:pPr>
              <w:pStyle w:val="2"/>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2.加快预算支出执行进度，做好本会计年度的支出应支尽支，不跨年度结账列支。</w:t>
            </w:r>
          </w:p>
          <w:p>
            <w:pPr>
              <w:pStyle w:val="2"/>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3.增强资金支出责任意识和绩效观念，提高财政资金的使用效益，与预算资金安排相结合，在预算额度内促进财政资金的合理分配与有效使用。另外，要加强资金的管理，注重支出的经济性、效益性，充分利用绩效评价结果，将结果作为改进预算管理和安排以后年度预算的重要依据。</w:t>
            </w:r>
          </w:p>
          <w:p>
            <w:pPr>
              <w:pStyle w:val="2"/>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4.财务工作人员的业务能力要与时俱进，不断加强学习，县财政局多组织业务方面的培训。</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七、评分结论</w:t>
            </w:r>
          </w:p>
          <w:p>
            <w:pPr>
              <w:spacing w:line="560" w:lineRule="exact"/>
              <w:ind w:firstLine="480" w:firstLineChars="200"/>
              <w:rPr>
                <w:rFonts w:hint="eastAsia" w:ascii="仿宋_GB2312" w:hAnsi="仿宋_GB2312" w:eastAsia="仿宋_GB2312" w:cs="Times New Roman"/>
                <w:sz w:val="24"/>
              </w:rPr>
            </w:pPr>
            <w:r>
              <w:rPr>
                <w:rFonts w:hint="eastAsia" w:ascii="仿宋_GB2312" w:hAnsi="仿宋_GB2312" w:eastAsia="仿宋_GB2312" w:cs="Times New Roman"/>
                <w:sz w:val="24"/>
              </w:rPr>
              <w:t>综合以上各项指标，财务管理健全规范，没有发生违法违规现象，县</w:t>
            </w:r>
            <w:r>
              <w:rPr>
                <w:rFonts w:hint="eastAsia" w:ascii="仿宋_GB2312" w:hAnsi="仿宋_GB2312" w:eastAsia="仿宋_GB2312" w:cs="Times New Roman"/>
                <w:sz w:val="24"/>
                <w:lang w:eastAsia="zh-CN"/>
              </w:rPr>
              <w:t>政协岳阳县委员会202</w:t>
            </w:r>
            <w:r>
              <w:rPr>
                <w:rFonts w:hint="eastAsia" w:ascii="仿宋_GB2312" w:hAnsi="仿宋_GB2312" w:eastAsia="仿宋_GB2312" w:cs="Times New Roman"/>
                <w:sz w:val="24"/>
                <w:lang w:val="en-US" w:eastAsia="zh-CN"/>
              </w:rPr>
              <w:t>2</w:t>
            </w:r>
            <w:r>
              <w:rPr>
                <w:rFonts w:hint="eastAsia" w:ascii="仿宋_GB2312" w:hAnsi="仿宋_GB2312" w:eastAsia="仿宋_GB2312" w:cs="Times New Roman"/>
                <w:sz w:val="24"/>
              </w:rPr>
              <w:t>年的部门整体支出绩效自我评价得到9</w:t>
            </w:r>
            <w:r>
              <w:rPr>
                <w:rFonts w:hint="eastAsia" w:ascii="仿宋_GB2312" w:hAnsi="仿宋_GB2312" w:eastAsia="仿宋_GB2312" w:cs="Times New Roman"/>
                <w:sz w:val="24"/>
                <w:lang w:val="en-US" w:eastAsia="zh-CN"/>
              </w:rPr>
              <w:t>6</w:t>
            </w:r>
            <w:r>
              <w:rPr>
                <w:rFonts w:hint="eastAsia" w:ascii="仿宋_GB2312" w:hAnsi="仿宋_GB2312" w:eastAsia="仿宋_GB2312" w:cs="Times New Roman"/>
                <w:sz w:val="24"/>
              </w:rPr>
              <w:t>分，自评结果是优秀。我们将在以后的工作中加强预算管理，严格控制各项经费的开支，提高经费的使用效率。</w:t>
            </w:r>
          </w:p>
          <w:p>
            <w:pPr>
              <w:spacing w:line="560" w:lineRule="exact"/>
              <w:ind w:firstLine="5040" w:firstLineChars="2100"/>
              <w:rPr>
                <w:rFonts w:hint="eastAsia" w:ascii="仿宋_GB2312" w:hAnsi="仿宋_GB2312" w:eastAsia="仿宋_GB2312" w:cs="Times New Roman"/>
                <w:sz w:val="24"/>
                <w:lang w:eastAsia="zh-CN"/>
              </w:rPr>
            </w:pPr>
            <w:r>
              <w:rPr>
                <w:rFonts w:hint="eastAsia" w:ascii="仿宋_GB2312" w:hAnsi="仿宋_GB2312" w:eastAsia="仿宋_GB2312" w:cs="Times New Roman"/>
                <w:sz w:val="24"/>
                <w:lang w:eastAsia="zh-CN"/>
              </w:rPr>
              <w:t>政协岳阳县委员会</w:t>
            </w:r>
          </w:p>
          <w:p>
            <w:pPr>
              <w:spacing w:line="560" w:lineRule="exact"/>
              <w:ind w:firstLine="5040" w:firstLineChars="2100"/>
              <w:rPr>
                <w:rFonts w:hint="eastAsia" w:ascii="仿宋_GB2312" w:hAnsi="仿宋_GB2312" w:eastAsia="仿宋_GB2312" w:cs="Times New Roman"/>
                <w:sz w:val="24"/>
              </w:rPr>
            </w:pPr>
            <w:r>
              <w:rPr>
                <w:rFonts w:hint="eastAsia" w:ascii="仿宋_GB2312" w:hAnsi="仿宋_GB2312" w:eastAsia="仿宋_GB2312" w:cs="Times New Roman"/>
                <w:sz w:val="24"/>
                <w:lang w:eastAsia="zh-CN"/>
              </w:rPr>
              <w:t>202</w:t>
            </w:r>
            <w:r>
              <w:rPr>
                <w:rFonts w:hint="eastAsia" w:ascii="仿宋_GB2312" w:hAnsi="仿宋_GB2312" w:eastAsia="仿宋_GB2312" w:cs="Times New Roman"/>
                <w:sz w:val="24"/>
                <w:lang w:val="en-US" w:eastAsia="zh-CN"/>
              </w:rPr>
              <w:t>3</w:t>
            </w:r>
            <w:r>
              <w:rPr>
                <w:rFonts w:hint="eastAsia" w:ascii="仿宋_GB2312" w:hAnsi="仿宋_GB2312" w:eastAsia="仿宋_GB2312" w:cs="Times New Roman"/>
                <w:sz w:val="24"/>
              </w:rPr>
              <w:t>年</w:t>
            </w:r>
            <w:r>
              <w:rPr>
                <w:rFonts w:hint="eastAsia" w:ascii="仿宋_GB2312" w:hAnsi="仿宋_GB2312" w:eastAsia="仿宋_GB2312" w:cs="Times New Roman"/>
                <w:sz w:val="24"/>
                <w:lang w:val="en-US" w:eastAsia="zh-CN"/>
              </w:rPr>
              <w:t>6</w:t>
            </w:r>
            <w:r>
              <w:rPr>
                <w:rFonts w:hint="eastAsia" w:ascii="仿宋_GB2312" w:hAnsi="仿宋_GB2312" w:eastAsia="仿宋_GB2312" w:cs="Times New Roman"/>
                <w:sz w:val="24"/>
              </w:rPr>
              <w:t>月</w:t>
            </w:r>
            <w:r>
              <w:rPr>
                <w:rFonts w:hint="eastAsia" w:ascii="仿宋_GB2312" w:hAnsi="仿宋_GB2312" w:eastAsia="仿宋_GB2312" w:cs="Times New Roman"/>
                <w:sz w:val="24"/>
                <w:lang w:val="en-US" w:eastAsia="zh-CN"/>
              </w:rPr>
              <w:t>27</w:t>
            </w:r>
            <w:r>
              <w:rPr>
                <w:rFonts w:hint="eastAsia" w:ascii="仿宋_GB2312" w:hAnsi="仿宋_GB2312" w:eastAsia="仿宋_GB2312" w:cs="Times New Roman"/>
                <w:sz w:val="24"/>
              </w:rPr>
              <w:t>日</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hint="eastAsia" w:ascii="黑体" w:hAnsi="黑体" w:eastAsia="黑体"/>
          <w:sz w:val="32"/>
          <w:szCs w:val="32"/>
        </w:rPr>
        <w:t>附件1-2</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hint="eastAsia" w:ascii="仿宋_GB2312" w:eastAsia="仿宋_GB2312"/>
                <w:color w:val="000000"/>
                <w:sz w:val="18"/>
                <w:szCs w:val="18"/>
                <w:lang w:val="en-US" w:eastAsia="zh-CN"/>
              </w:rPr>
              <w:t>30</w:t>
            </w:r>
            <w:r>
              <w:rPr>
                <w:rFonts w:hint="eastAsia" w:ascii="仿宋_GB2312" w:eastAsia="仿宋_GB2312"/>
                <w:color w:val="000000"/>
                <w:sz w:val="18"/>
                <w:szCs w:val="18"/>
              </w:rPr>
              <w:t>人，在职人数</w:t>
            </w:r>
            <w:r>
              <w:rPr>
                <w:rFonts w:hint="eastAsia" w:ascii="仿宋_GB2312" w:eastAsia="仿宋_GB2312"/>
                <w:color w:val="000000"/>
                <w:sz w:val="18"/>
                <w:szCs w:val="18"/>
                <w:lang w:val="en-US" w:eastAsia="zh-CN"/>
              </w:rPr>
              <w:t>30</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149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w:t>
            </w:r>
            <w:r>
              <w:rPr>
                <w:rFonts w:hint="eastAsia" w:ascii="仿宋_GB2312" w:eastAsia="仿宋_GB2312"/>
                <w:color w:val="000000"/>
                <w:sz w:val="18"/>
                <w:szCs w:val="18"/>
                <w:lang w:val="en-US" w:eastAsia="zh-CN"/>
              </w:rPr>
              <w:t>2.11</w:t>
            </w:r>
            <w:r>
              <w:rPr>
                <w:rFonts w:hint="eastAsia" w:ascii="仿宋_GB2312" w:eastAsia="仿宋_GB2312"/>
                <w:color w:val="000000"/>
                <w:sz w:val="18"/>
                <w:szCs w:val="18"/>
              </w:rPr>
              <w:t>万元，上年度三公经费</w:t>
            </w:r>
            <w:r>
              <w:rPr>
                <w:rFonts w:hint="eastAsia" w:ascii="仿宋_GB2312" w:eastAsia="仿宋_GB2312"/>
                <w:color w:val="000000"/>
                <w:sz w:val="18"/>
                <w:szCs w:val="18"/>
                <w:lang w:val="en-US" w:eastAsia="zh-CN"/>
              </w:rPr>
              <w:t>2.29</w:t>
            </w:r>
            <w:r>
              <w:rPr>
                <w:rFonts w:hint="eastAsia" w:ascii="仿宋_GB2312" w:eastAsia="仿宋_GB2312"/>
                <w:color w:val="000000"/>
                <w:sz w:val="18"/>
                <w:szCs w:val="18"/>
              </w:rPr>
              <w:t>万元。</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w:t>
            </w:r>
            <w:r>
              <w:rPr>
                <w:rFonts w:hint="eastAsia" w:ascii="仿宋_GB2312" w:eastAsia="仿宋_GB2312"/>
                <w:color w:val="000000"/>
                <w:sz w:val="18"/>
                <w:szCs w:val="18"/>
                <w:lang w:eastAsia="zh-CN"/>
              </w:rPr>
              <w:t>小于</w:t>
            </w:r>
            <w:r>
              <w:rPr>
                <w:rFonts w:ascii="仿宋_GB2312" w:eastAsia="仿宋_GB2312"/>
                <w:color w:val="000000"/>
                <w:sz w:val="18"/>
                <w:szCs w:val="18"/>
              </w:rPr>
              <w:t>0</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预算调整大于</w:t>
            </w:r>
            <w:r>
              <w:rPr>
                <w:rFonts w:ascii="仿宋_GB2312" w:hAnsi="宋体" w:eastAsia="仿宋_GB2312" w:cs="宋体"/>
                <w:color w:val="000000"/>
                <w:sz w:val="18"/>
                <w:szCs w:val="18"/>
              </w:rPr>
              <w:t>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有结余但结余不超过上年结转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hint="eastAsia" w:ascii="仿宋_GB2312" w:eastAsia="仿宋_GB2312"/>
                <w:color w:val="000000"/>
                <w:sz w:val="18"/>
                <w:szCs w:val="18"/>
                <w:lang w:val="en-US" w:eastAsia="zh-CN"/>
              </w:rPr>
              <w:t>3.5</w:t>
            </w:r>
            <w:r>
              <w:rPr>
                <w:rFonts w:hint="eastAsia" w:ascii="仿宋_GB2312" w:eastAsia="仿宋_GB2312"/>
                <w:color w:val="000000"/>
                <w:sz w:val="18"/>
                <w:szCs w:val="18"/>
              </w:rPr>
              <w:t>万元，实际支出</w:t>
            </w:r>
            <w:r>
              <w:rPr>
                <w:rFonts w:hint="eastAsia" w:ascii="仿宋_GB2312" w:eastAsia="仿宋_GB2312"/>
                <w:color w:val="000000"/>
                <w:sz w:val="18"/>
                <w:szCs w:val="18"/>
                <w:lang w:val="en-US" w:eastAsia="zh-CN"/>
              </w:rPr>
              <w:t>2.11</w:t>
            </w:r>
            <w:r>
              <w:rPr>
                <w:rFonts w:hint="eastAsia" w:ascii="仿宋_GB2312" w:eastAsia="仿宋_GB2312"/>
                <w:color w:val="000000"/>
                <w:sz w:val="18"/>
                <w:szCs w:val="18"/>
              </w:rPr>
              <w:t>万元，三公经费控制率</w:t>
            </w:r>
            <w:r>
              <w:rPr>
                <w:rFonts w:ascii="仿宋_GB2312" w:eastAsia="仿宋_GB2312"/>
                <w:color w:val="000000"/>
                <w:sz w:val="18"/>
                <w:szCs w:val="18"/>
              </w:rPr>
              <w:t>10%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Pr>
        <w:pStyle w:val="2"/>
      </w:pPr>
    </w:p>
    <w:p>
      <w:pPr>
        <w:pStyle w:val="2"/>
      </w:pPr>
    </w:p>
    <w:p>
      <w:pPr>
        <w:pStyle w:val="2"/>
      </w:pPr>
    </w:p>
    <w:p/>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根据《岳阳县</w:t>
            </w:r>
            <w:r>
              <w:rPr>
                <w:rFonts w:hint="eastAsia" w:ascii="仿宋_GB2312" w:hAnsi="宋体" w:eastAsia="仿宋_GB2312" w:cs="宋体"/>
                <w:color w:val="000000"/>
                <w:kern w:val="0"/>
                <w:sz w:val="18"/>
                <w:szCs w:val="18"/>
                <w:lang w:val="en-US" w:eastAsia="zh-CN"/>
              </w:rPr>
              <w:t>2022年度</w:t>
            </w:r>
            <w:r>
              <w:rPr>
                <w:rFonts w:hint="eastAsia" w:ascii="仿宋_GB2312" w:hAnsi="宋体" w:eastAsia="仿宋_GB2312" w:cs="宋体"/>
                <w:color w:val="000000"/>
                <w:kern w:val="0"/>
                <w:sz w:val="18"/>
                <w:szCs w:val="18"/>
              </w:rPr>
              <w:t>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3"/>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Q4M2QwZjU0NzA0NjY4Y2UyYTQ4YTUyMzc3NjRlOWEifQ=="/>
  </w:docVars>
  <w:rsids>
    <w:rsidRoot w:val="00C854FD"/>
    <w:rsid w:val="0000241F"/>
    <w:rsid w:val="00003A9B"/>
    <w:rsid w:val="000056A6"/>
    <w:rsid w:val="00005A3B"/>
    <w:rsid w:val="00005BA8"/>
    <w:rsid w:val="0000610C"/>
    <w:rsid w:val="00014921"/>
    <w:rsid w:val="00036EA4"/>
    <w:rsid w:val="0005701C"/>
    <w:rsid w:val="00073AAF"/>
    <w:rsid w:val="000757F8"/>
    <w:rsid w:val="0007680C"/>
    <w:rsid w:val="00090417"/>
    <w:rsid w:val="00093B20"/>
    <w:rsid w:val="000A0E5C"/>
    <w:rsid w:val="000B12D0"/>
    <w:rsid w:val="000B33C3"/>
    <w:rsid w:val="000B4BEB"/>
    <w:rsid w:val="000B7DCB"/>
    <w:rsid w:val="000E3309"/>
    <w:rsid w:val="000E377B"/>
    <w:rsid w:val="000E61CD"/>
    <w:rsid w:val="00100175"/>
    <w:rsid w:val="00107CC6"/>
    <w:rsid w:val="00122C2E"/>
    <w:rsid w:val="00130C71"/>
    <w:rsid w:val="00131BCD"/>
    <w:rsid w:val="0014350A"/>
    <w:rsid w:val="001442A2"/>
    <w:rsid w:val="00146C23"/>
    <w:rsid w:val="00151B82"/>
    <w:rsid w:val="00157862"/>
    <w:rsid w:val="001634CA"/>
    <w:rsid w:val="00165E89"/>
    <w:rsid w:val="00167786"/>
    <w:rsid w:val="0017192D"/>
    <w:rsid w:val="001977ED"/>
    <w:rsid w:val="001A21D5"/>
    <w:rsid w:val="001A709B"/>
    <w:rsid w:val="001B0CF4"/>
    <w:rsid w:val="001B1869"/>
    <w:rsid w:val="001B2F7F"/>
    <w:rsid w:val="001B4EA7"/>
    <w:rsid w:val="001C4AD7"/>
    <w:rsid w:val="001C5954"/>
    <w:rsid w:val="001D3E93"/>
    <w:rsid w:val="001E26FB"/>
    <w:rsid w:val="001E39C6"/>
    <w:rsid w:val="001F2104"/>
    <w:rsid w:val="001F4F64"/>
    <w:rsid w:val="002027AC"/>
    <w:rsid w:val="002265B9"/>
    <w:rsid w:val="002318F0"/>
    <w:rsid w:val="00232EF8"/>
    <w:rsid w:val="00235B3A"/>
    <w:rsid w:val="00240F9A"/>
    <w:rsid w:val="00242262"/>
    <w:rsid w:val="00247FCB"/>
    <w:rsid w:val="00250D52"/>
    <w:rsid w:val="00253B1F"/>
    <w:rsid w:val="00254CF8"/>
    <w:rsid w:val="00255404"/>
    <w:rsid w:val="00257104"/>
    <w:rsid w:val="00257206"/>
    <w:rsid w:val="00292AC1"/>
    <w:rsid w:val="0029605B"/>
    <w:rsid w:val="002969D6"/>
    <w:rsid w:val="002A1388"/>
    <w:rsid w:val="002B26F1"/>
    <w:rsid w:val="002B569D"/>
    <w:rsid w:val="002B7EF4"/>
    <w:rsid w:val="002C4D24"/>
    <w:rsid w:val="002D5840"/>
    <w:rsid w:val="002F0D7B"/>
    <w:rsid w:val="002F281E"/>
    <w:rsid w:val="00312339"/>
    <w:rsid w:val="00315C29"/>
    <w:rsid w:val="00317858"/>
    <w:rsid w:val="00321BAB"/>
    <w:rsid w:val="00321D2B"/>
    <w:rsid w:val="0033659F"/>
    <w:rsid w:val="00351AD3"/>
    <w:rsid w:val="00354479"/>
    <w:rsid w:val="00356458"/>
    <w:rsid w:val="0039290C"/>
    <w:rsid w:val="00392F62"/>
    <w:rsid w:val="00394BC2"/>
    <w:rsid w:val="003A2363"/>
    <w:rsid w:val="003A2FC5"/>
    <w:rsid w:val="003B7876"/>
    <w:rsid w:val="003C36DD"/>
    <w:rsid w:val="003D1FD8"/>
    <w:rsid w:val="003E4F5E"/>
    <w:rsid w:val="004036B5"/>
    <w:rsid w:val="00414580"/>
    <w:rsid w:val="004222D1"/>
    <w:rsid w:val="00422E14"/>
    <w:rsid w:val="00430153"/>
    <w:rsid w:val="00432C79"/>
    <w:rsid w:val="0043358D"/>
    <w:rsid w:val="00440BD4"/>
    <w:rsid w:val="004503BD"/>
    <w:rsid w:val="00461395"/>
    <w:rsid w:val="00466871"/>
    <w:rsid w:val="00477933"/>
    <w:rsid w:val="00492BDA"/>
    <w:rsid w:val="004A2B08"/>
    <w:rsid w:val="004A44EA"/>
    <w:rsid w:val="004A51DC"/>
    <w:rsid w:val="004A671C"/>
    <w:rsid w:val="004B76D6"/>
    <w:rsid w:val="004C73DE"/>
    <w:rsid w:val="004D5728"/>
    <w:rsid w:val="004E0A8E"/>
    <w:rsid w:val="004E3BE9"/>
    <w:rsid w:val="004F4339"/>
    <w:rsid w:val="005072C9"/>
    <w:rsid w:val="00513037"/>
    <w:rsid w:val="00516F00"/>
    <w:rsid w:val="005210E6"/>
    <w:rsid w:val="00530E15"/>
    <w:rsid w:val="005314BA"/>
    <w:rsid w:val="005422E5"/>
    <w:rsid w:val="0054679D"/>
    <w:rsid w:val="005477E5"/>
    <w:rsid w:val="00560BC9"/>
    <w:rsid w:val="00563755"/>
    <w:rsid w:val="00566F17"/>
    <w:rsid w:val="00584139"/>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74081"/>
    <w:rsid w:val="00676644"/>
    <w:rsid w:val="006841C9"/>
    <w:rsid w:val="00684A12"/>
    <w:rsid w:val="00684E4B"/>
    <w:rsid w:val="00690485"/>
    <w:rsid w:val="00696545"/>
    <w:rsid w:val="006A5D82"/>
    <w:rsid w:val="006B6330"/>
    <w:rsid w:val="006C1055"/>
    <w:rsid w:val="006D5B93"/>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D63FD"/>
    <w:rsid w:val="007E1392"/>
    <w:rsid w:val="007E6513"/>
    <w:rsid w:val="007F487F"/>
    <w:rsid w:val="00815FBF"/>
    <w:rsid w:val="00840351"/>
    <w:rsid w:val="00841CD0"/>
    <w:rsid w:val="00847D60"/>
    <w:rsid w:val="00860AFD"/>
    <w:rsid w:val="00873CD8"/>
    <w:rsid w:val="008A2E6B"/>
    <w:rsid w:val="008A7515"/>
    <w:rsid w:val="008B4633"/>
    <w:rsid w:val="008C039F"/>
    <w:rsid w:val="008E1F76"/>
    <w:rsid w:val="008E2ACB"/>
    <w:rsid w:val="008E57E1"/>
    <w:rsid w:val="008F5E0B"/>
    <w:rsid w:val="009006A1"/>
    <w:rsid w:val="00900E3F"/>
    <w:rsid w:val="009123D8"/>
    <w:rsid w:val="00925486"/>
    <w:rsid w:val="00946FE7"/>
    <w:rsid w:val="00952065"/>
    <w:rsid w:val="00956508"/>
    <w:rsid w:val="00957360"/>
    <w:rsid w:val="00962EF0"/>
    <w:rsid w:val="00970A24"/>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05B9D"/>
    <w:rsid w:val="00A13259"/>
    <w:rsid w:val="00A16D05"/>
    <w:rsid w:val="00A30E83"/>
    <w:rsid w:val="00A4501D"/>
    <w:rsid w:val="00A51512"/>
    <w:rsid w:val="00A51AA2"/>
    <w:rsid w:val="00A54BCA"/>
    <w:rsid w:val="00A61FD7"/>
    <w:rsid w:val="00A726C3"/>
    <w:rsid w:val="00A76673"/>
    <w:rsid w:val="00A87BCE"/>
    <w:rsid w:val="00A93BD6"/>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65D3D"/>
    <w:rsid w:val="00B92E17"/>
    <w:rsid w:val="00B9518E"/>
    <w:rsid w:val="00BA392F"/>
    <w:rsid w:val="00BB1C78"/>
    <w:rsid w:val="00BB378C"/>
    <w:rsid w:val="00BB3C71"/>
    <w:rsid w:val="00BB6CF4"/>
    <w:rsid w:val="00BD02C0"/>
    <w:rsid w:val="00BD1DDD"/>
    <w:rsid w:val="00C101ED"/>
    <w:rsid w:val="00C11953"/>
    <w:rsid w:val="00C12B4A"/>
    <w:rsid w:val="00C32332"/>
    <w:rsid w:val="00C3281A"/>
    <w:rsid w:val="00C33347"/>
    <w:rsid w:val="00C354BD"/>
    <w:rsid w:val="00C37D62"/>
    <w:rsid w:val="00C704A3"/>
    <w:rsid w:val="00C71B07"/>
    <w:rsid w:val="00C74701"/>
    <w:rsid w:val="00C81D9F"/>
    <w:rsid w:val="00C8229B"/>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0492"/>
    <w:rsid w:val="00D523D6"/>
    <w:rsid w:val="00D54888"/>
    <w:rsid w:val="00D54CCA"/>
    <w:rsid w:val="00D57623"/>
    <w:rsid w:val="00D77EE9"/>
    <w:rsid w:val="00D81B1D"/>
    <w:rsid w:val="00D917CF"/>
    <w:rsid w:val="00D96AE9"/>
    <w:rsid w:val="00DA0456"/>
    <w:rsid w:val="00DB4700"/>
    <w:rsid w:val="00DB5442"/>
    <w:rsid w:val="00DB7907"/>
    <w:rsid w:val="00DC10F5"/>
    <w:rsid w:val="00DD1EB3"/>
    <w:rsid w:val="00DF1C77"/>
    <w:rsid w:val="00E142CB"/>
    <w:rsid w:val="00E241DC"/>
    <w:rsid w:val="00E3477D"/>
    <w:rsid w:val="00E35E48"/>
    <w:rsid w:val="00E40ED6"/>
    <w:rsid w:val="00E4198B"/>
    <w:rsid w:val="00E63914"/>
    <w:rsid w:val="00E95B71"/>
    <w:rsid w:val="00EB35F4"/>
    <w:rsid w:val="00EC2083"/>
    <w:rsid w:val="00EC40AF"/>
    <w:rsid w:val="00EC4115"/>
    <w:rsid w:val="00EC6E79"/>
    <w:rsid w:val="00EC6F27"/>
    <w:rsid w:val="00ED7ACA"/>
    <w:rsid w:val="00EE315F"/>
    <w:rsid w:val="00EE67E1"/>
    <w:rsid w:val="00F30C63"/>
    <w:rsid w:val="00F32262"/>
    <w:rsid w:val="00F435F8"/>
    <w:rsid w:val="00F46C79"/>
    <w:rsid w:val="00F60EC8"/>
    <w:rsid w:val="00F61205"/>
    <w:rsid w:val="00F766DE"/>
    <w:rsid w:val="00F81CBB"/>
    <w:rsid w:val="00F947E3"/>
    <w:rsid w:val="00F9527E"/>
    <w:rsid w:val="00FA6EE7"/>
    <w:rsid w:val="00FB16AF"/>
    <w:rsid w:val="00FB1B08"/>
    <w:rsid w:val="00FB2BA1"/>
    <w:rsid w:val="00FD21C0"/>
    <w:rsid w:val="00FD640B"/>
    <w:rsid w:val="00FD640E"/>
    <w:rsid w:val="00FD708D"/>
    <w:rsid w:val="00FF2D16"/>
    <w:rsid w:val="00FF3258"/>
    <w:rsid w:val="00FF541B"/>
    <w:rsid w:val="00FF605E"/>
    <w:rsid w:val="0118167C"/>
    <w:rsid w:val="082A5FAA"/>
    <w:rsid w:val="08724EF8"/>
    <w:rsid w:val="09612FEB"/>
    <w:rsid w:val="0B3D491E"/>
    <w:rsid w:val="0BD55995"/>
    <w:rsid w:val="0C816BCA"/>
    <w:rsid w:val="0C886EAB"/>
    <w:rsid w:val="0D59372F"/>
    <w:rsid w:val="0DDC7AB4"/>
    <w:rsid w:val="10E04609"/>
    <w:rsid w:val="11D01E18"/>
    <w:rsid w:val="120345BF"/>
    <w:rsid w:val="12BD0462"/>
    <w:rsid w:val="13D14802"/>
    <w:rsid w:val="19701AE9"/>
    <w:rsid w:val="1AB34BB2"/>
    <w:rsid w:val="1AE16104"/>
    <w:rsid w:val="1C35689F"/>
    <w:rsid w:val="1E58492F"/>
    <w:rsid w:val="1E91399D"/>
    <w:rsid w:val="213C1752"/>
    <w:rsid w:val="218E2416"/>
    <w:rsid w:val="231F6615"/>
    <w:rsid w:val="23EA4FC7"/>
    <w:rsid w:val="25AF3901"/>
    <w:rsid w:val="29312005"/>
    <w:rsid w:val="299A3F70"/>
    <w:rsid w:val="2E8E1CA7"/>
    <w:rsid w:val="2F090E05"/>
    <w:rsid w:val="2FA33530"/>
    <w:rsid w:val="30C970B9"/>
    <w:rsid w:val="316F5CD4"/>
    <w:rsid w:val="321173B3"/>
    <w:rsid w:val="32AD175A"/>
    <w:rsid w:val="33B014CD"/>
    <w:rsid w:val="34607C42"/>
    <w:rsid w:val="355F3024"/>
    <w:rsid w:val="36E0150D"/>
    <w:rsid w:val="37253DDD"/>
    <w:rsid w:val="37E61436"/>
    <w:rsid w:val="38590689"/>
    <w:rsid w:val="39D244FF"/>
    <w:rsid w:val="3A9366F9"/>
    <w:rsid w:val="3BB645EB"/>
    <w:rsid w:val="3D8F1598"/>
    <w:rsid w:val="3E1201FF"/>
    <w:rsid w:val="3E6307A5"/>
    <w:rsid w:val="3F507894"/>
    <w:rsid w:val="414A4154"/>
    <w:rsid w:val="45565120"/>
    <w:rsid w:val="46202DCB"/>
    <w:rsid w:val="46CD67B1"/>
    <w:rsid w:val="482644BA"/>
    <w:rsid w:val="4A2A2D74"/>
    <w:rsid w:val="4B020659"/>
    <w:rsid w:val="4BB23A94"/>
    <w:rsid w:val="4C3C1F60"/>
    <w:rsid w:val="4C7475A8"/>
    <w:rsid w:val="4DE63580"/>
    <w:rsid w:val="4EA25D94"/>
    <w:rsid w:val="4EB70692"/>
    <w:rsid w:val="4EE20642"/>
    <w:rsid w:val="4FA345DA"/>
    <w:rsid w:val="50540095"/>
    <w:rsid w:val="51D43D85"/>
    <w:rsid w:val="532235B6"/>
    <w:rsid w:val="532E27AC"/>
    <w:rsid w:val="547D6660"/>
    <w:rsid w:val="54D73AF9"/>
    <w:rsid w:val="554C5938"/>
    <w:rsid w:val="554E2B4C"/>
    <w:rsid w:val="56087CC4"/>
    <w:rsid w:val="569E7770"/>
    <w:rsid w:val="58806554"/>
    <w:rsid w:val="5A241D8D"/>
    <w:rsid w:val="5BE557CF"/>
    <w:rsid w:val="5C020600"/>
    <w:rsid w:val="5CC84698"/>
    <w:rsid w:val="5CFE60C6"/>
    <w:rsid w:val="5ED414F0"/>
    <w:rsid w:val="601E438A"/>
    <w:rsid w:val="61310510"/>
    <w:rsid w:val="63930623"/>
    <w:rsid w:val="647911E3"/>
    <w:rsid w:val="647A1F36"/>
    <w:rsid w:val="65847385"/>
    <w:rsid w:val="65F067C8"/>
    <w:rsid w:val="67481274"/>
    <w:rsid w:val="67C43A10"/>
    <w:rsid w:val="697A2F79"/>
    <w:rsid w:val="69A341BE"/>
    <w:rsid w:val="6B364C7D"/>
    <w:rsid w:val="6C42439E"/>
    <w:rsid w:val="6D4641BE"/>
    <w:rsid w:val="6EED4FF7"/>
    <w:rsid w:val="6FBE7937"/>
    <w:rsid w:val="6FED3976"/>
    <w:rsid w:val="70FA5A7D"/>
    <w:rsid w:val="712B5933"/>
    <w:rsid w:val="72323CC5"/>
    <w:rsid w:val="72376DD1"/>
    <w:rsid w:val="725E4C39"/>
    <w:rsid w:val="728A4531"/>
    <w:rsid w:val="72C37759"/>
    <w:rsid w:val="731745C3"/>
    <w:rsid w:val="73AB42EF"/>
    <w:rsid w:val="75B20967"/>
    <w:rsid w:val="763B75EC"/>
    <w:rsid w:val="775A2468"/>
    <w:rsid w:val="77A90002"/>
    <w:rsid w:val="78055032"/>
    <w:rsid w:val="797B7842"/>
    <w:rsid w:val="79873CA8"/>
    <w:rsid w:val="7B2532DA"/>
    <w:rsid w:val="7B762E74"/>
    <w:rsid w:val="7BEE1267"/>
    <w:rsid w:val="7C0204E7"/>
    <w:rsid w:val="7C22291F"/>
    <w:rsid w:val="7C4C461D"/>
    <w:rsid w:val="7CD51E1C"/>
    <w:rsid w:val="7D1B1B51"/>
    <w:rsid w:val="7D8B0EF7"/>
    <w:rsid w:val="7DAF7934"/>
    <w:rsid w:val="7DB31754"/>
    <w:rsid w:val="7DC75005"/>
    <w:rsid w:val="7DCF1645"/>
    <w:rsid w:val="7E603EF8"/>
    <w:rsid w:val="7F026352"/>
    <w:rsid w:val="7FBB6B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adjustRightInd w:val="0"/>
      <w:snapToGrid w:val="0"/>
      <w:spacing w:line="360" w:lineRule="auto"/>
      <w:ind w:firstLine="420" w:firstLineChars="100"/>
    </w:pPr>
    <w:rPr>
      <w:rFonts w:ascii="Times New Roman" w:hAnsi="Times New Roman"/>
      <w:sz w:val="28"/>
      <w:szCs w:val="20"/>
    </w:rPr>
  </w:style>
  <w:style w:type="paragraph" w:customStyle="1" w:styleId="3">
    <w:name w:val="正文文本1"/>
    <w:basedOn w:val="1"/>
    <w:next w:val="4"/>
    <w:qFormat/>
    <w:uiPriority w:val="0"/>
  </w:style>
  <w:style w:type="paragraph" w:customStyle="1" w:styleId="4">
    <w:name w:val="正文首行缩进11"/>
    <w:basedOn w:val="1"/>
    <w:qFormat/>
    <w:uiPriority w:val="0"/>
    <w:pPr>
      <w:ind w:firstLine="420" w:firstLineChars="100"/>
    </w:pPr>
    <w:rPr>
      <w:rFonts w:ascii="Times New Roman" w:hAnsi="Times New Roman"/>
    </w:rPr>
  </w:style>
  <w:style w:type="paragraph" w:styleId="5">
    <w:name w:val="Date"/>
    <w:basedOn w:val="1"/>
    <w:next w:val="1"/>
    <w:link w:val="19"/>
    <w:semiHidden/>
    <w:qFormat/>
    <w:uiPriority w:val="99"/>
    <w:pPr>
      <w:ind w:left="100" w:leftChars="2500"/>
    </w:pPr>
  </w:style>
  <w:style w:type="paragraph" w:styleId="6">
    <w:name w:val="Body Text Indent 2"/>
    <w:basedOn w:val="1"/>
    <w:link w:val="20"/>
    <w:semiHidden/>
    <w:qFormat/>
    <w:uiPriority w:val="99"/>
    <w:pPr>
      <w:ind w:firstLine="588" w:firstLineChars="200"/>
    </w:pPr>
    <w:rPr>
      <w:rFonts w:ascii="仿宋_GB2312" w:hAnsi="Calibri" w:eastAsia="仿宋_GB2312"/>
      <w:sz w:val="32"/>
    </w:rPr>
  </w:style>
  <w:style w:type="paragraph" w:styleId="7">
    <w:name w:val="footer"/>
    <w:basedOn w:val="1"/>
    <w:link w:val="18"/>
    <w:semiHidden/>
    <w:qFormat/>
    <w:uiPriority w:val="99"/>
    <w:pPr>
      <w:tabs>
        <w:tab w:val="center" w:pos="4153"/>
        <w:tab w:val="right" w:pos="8306"/>
      </w:tabs>
      <w:snapToGrid w:val="0"/>
      <w:jc w:val="left"/>
    </w:pPr>
    <w:rPr>
      <w:kern w:val="0"/>
      <w:sz w:val="18"/>
      <w:szCs w:val="18"/>
    </w:rPr>
  </w:style>
  <w:style w:type="paragraph" w:styleId="8">
    <w:name w:val="header"/>
    <w:basedOn w:val="1"/>
    <w:link w:val="16"/>
    <w:semiHidden/>
    <w:qFormat/>
    <w:uiPriority w:val="99"/>
    <w:pP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locked/>
    <w:uiPriority w:val="99"/>
    <w:rPr>
      <w:rFonts w:cs="Times New Roman"/>
      <w:b/>
    </w:rPr>
  </w:style>
  <w:style w:type="character" w:styleId="13">
    <w:name w:val="page number"/>
    <w:qFormat/>
    <w:uiPriority w:val="0"/>
  </w:style>
  <w:style w:type="character" w:styleId="14">
    <w:name w:val="FollowedHyperlink"/>
    <w:basedOn w:val="11"/>
    <w:semiHidden/>
    <w:qFormat/>
    <w:uiPriority w:val="99"/>
    <w:rPr>
      <w:rFonts w:cs="Times New Roman"/>
      <w:color w:val="800080"/>
      <w:u w:val="single"/>
    </w:rPr>
  </w:style>
  <w:style w:type="character" w:styleId="15">
    <w:name w:val="Hyperlink"/>
    <w:basedOn w:val="11"/>
    <w:semiHidden/>
    <w:qFormat/>
    <w:uiPriority w:val="99"/>
    <w:rPr>
      <w:rFonts w:cs="Times New Roman"/>
      <w:color w:val="0000FF"/>
      <w:u w:val="single"/>
    </w:rPr>
  </w:style>
  <w:style w:type="character" w:customStyle="1" w:styleId="16">
    <w:name w:val="Header Char"/>
    <w:basedOn w:val="11"/>
    <w:link w:val="8"/>
    <w:semiHidden/>
    <w:qFormat/>
    <w:locked/>
    <w:uiPriority w:val="99"/>
    <w:rPr>
      <w:rFonts w:ascii="Times New Roman" w:hAnsi="Times New Roman" w:eastAsia="宋体" w:cs="Times New Roman"/>
      <w:sz w:val="18"/>
      <w:szCs w:val="18"/>
    </w:rPr>
  </w:style>
  <w:style w:type="character" w:customStyle="1" w:styleId="17">
    <w:name w:val="Footer Char"/>
    <w:basedOn w:val="11"/>
    <w:link w:val="7"/>
    <w:semiHidden/>
    <w:qFormat/>
    <w:locked/>
    <w:uiPriority w:val="99"/>
    <w:rPr>
      <w:rFonts w:ascii="Times New Roman" w:hAnsi="Times New Roman" w:eastAsia="宋体" w:cs="Times New Roman"/>
      <w:kern w:val="0"/>
      <w:sz w:val="18"/>
      <w:szCs w:val="18"/>
    </w:rPr>
  </w:style>
  <w:style w:type="character" w:customStyle="1" w:styleId="18">
    <w:name w:val="页脚 Char"/>
    <w:basedOn w:val="11"/>
    <w:link w:val="7"/>
    <w:semiHidden/>
    <w:qFormat/>
    <w:locked/>
    <w:uiPriority w:val="99"/>
    <w:rPr>
      <w:rFonts w:ascii="Times New Roman" w:hAnsi="Times New Roman" w:eastAsia="宋体" w:cs="Times New Roman"/>
      <w:sz w:val="18"/>
      <w:szCs w:val="18"/>
    </w:rPr>
  </w:style>
  <w:style w:type="character" w:customStyle="1" w:styleId="19">
    <w:name w:val="Date Char"/>
    <w:basedOn w:val="11"/>
    <w:link w:val="5"/>
    <w:semiHidden/>
    <w:qFormat/>
    <w:locked/>
    <w:uiPriority w:val="99"/>
    <w:rPr>
      <w:rFonts w:ascii="Times New Roman" w:hAnsi="Times New Roman" w:eastAsia="宋体" w:cs="Times New Roman"/>
      <w:sz w:val="24"/>
      <w:szCs w:val="24"/>
    </w:rPr>
  </w:style>
  <w:style w:type="character" w:customStyle="1" w:styleId="20">
    <w:name w:val="Body Text Indent 2 Char"/>
    <w:basedOn w:val="11"/>
    <w:link w:val="6"/>
    <w:semiHidden/>
    <w:qFormat/>
    <w:locked/>
    <w:uiPriority w:val="99"/>
    <w:rPr>
      <w:rFonts w:ascii="仿宋_GB2312" w:hAnsi="Calibri" w:eastAsia="仿宋_GB2312" w:cs="Times New Roman"/>
      <w:sz w:val="24"/>
      <w:szCs w:val="24"/>
    </w:rPr>
  </w:style>
  <w:style w:type="paragraph" w:customStyle="1" w:styleId="21">
    <w:name w:val="Char"/>
    <w:basedOn w:val="1"/>
    <w:qFormat/>
    <w:uiPriority w:val="99"/>
    <w:pPr>
      <w:autoSpaceDE w:val="0"/>
      <w:autoSpaceDN w:val="0"/>
      <w:adjustRightInd w:val="0"/>
    </w:pPr>
    <w:rPr>
      <w:rFonts w:ascii="宋体" w:cs="宋体"/>
      <w:kern w:val="0"/>
      <w:sz w:val="20"/>
      <w:szCs w:val="20"/>
      <w:lang w:val="zh-CN"/>
    </w:rPr>
  </w:style>
  <w:style w:type="paragraph" w:customStyle="1" w:styleId="22">
    <w:name w:val="Char1"/>
    <w:basedOn w:val="1"/>
    <w:qFormat/>
    <w:uiPriority w:val="99"/>
    <w:rPr>
      <w:rFonts w:ascii="仿宋_GB2312" w:eastAsia="仿宋_GB2312"/>
      <w:sz w:val="32"/>
    </w:rPr>
  </w:style>
  <w:style w:type="paragraph" w:customStyle="1" w:styleId="23">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24">
    <w:name w:val="标题 3 Char Char"/>
    <w:qFormat/>
    <w:uiPriority w:val="99"/>
    <w:rPr>
      <w:rFonts w:ascii="楷体_GB2312" w:eastAsia="楷体_GB2312"/>
      <w:b/>
      <w:kern w:val="2"/>
      <w:sz w:val="24"/>
      <w:lang w:val="en-US" w:eastAsia="zh-CN"/>
    </w:rPr>
  </w:style>
  <w:style w:type="paragraph" w:customStyle="1" w:styleId="25">
    <w:name w:val="默认段落字体 Para Char Char Char Char Char Char Char"/>
    <w:basedOn w:val="1"/>
    <w:qFormat/>
    <w:uiPriority w:val="99"/>
    <w:rPr>
      <w:rFonts w:ascii="Calibri" w:hAnsi="Calibri"/>
    </w:rPr>
  </w:style>
  <w:style w:type="paragraph" w:customStyle="1" w:styleId="2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27</Pages>
  <Words>12842</Words>
  <Characters>13612</Characters>
  <Lines>0</Lines>
  <Paragraphs>0</Paragraphs>
  <TotalTime>3</TotalTime>
  <ScaleCrop>false</ScaleCrop>
  <LinksUpToDate>false</LinksUpToDate>
  <CharactersWithSpaces>14722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大鹏展翅</cp:lastModifiedBy>
  <dcterms:modified xsi:type="dcterms:W3CDTF">2023-10-08T02:33:49Z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21D13AECFA1440B286FC796AF24FD136</vt:lpwstr>
  </property>
</Properties>
</file>