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bookmarkStart w:id="0" w:name="_GoBack"/>
      <w:bookmarkEnd w:id="0"/>
      <w:r>
        <w:rPr>
          <w:rFonts w:hint="eastAsia" w:ascii="黑体" w:hAnsi="黑体" w:eastAsia="黑体" w:cs="黑体"/>
          <w:bCs/>
          <w:sz w:val="32"/>
          <w:szCs w:val="32"/>
        </w:rPr>
        <w:t>附件1-1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岳阳县2022年度整体支出绩效</w:t>
      </w:r>
    </w:p>
    <w:p>
      <w:pPr>
        <w:spacing w:line="800" w:lineRule="exact"/>
        <w:jc w:val="center"/>
        <w:rPr>
          <w:rFonts w:hint="eastAsia"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u w:val="single"/>
        </w:rPr>
        <w:t>岳阳县人民代表大会常务委员会</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eastAsia="仿宋_GB2312"/>
          <w:sz w:val="32"/>
          <w:u w:val="single"/>
        </w:rPr>
        <w:t>YYX</w:t>
      </w:r>
      <w:r>
        <w:rPr>
          <w:rFonts w:hint="eastAsia" w:eastAsia="仿宋_GB2312"/>
          <w:sz w:val="32"/>
          <w:u w:val="single"/>
          <w:lang w:val="en-US" w:eastAsia="zh-CN"/>
        </w:rPr>
        <w:t>2</w:t>
      </w:r>
      <w:r>
        <w:rPr>
          <w:rFonts w:eastAsia="仿宋_GB2312"/>
          <w:sz w:val="32"/>
          <w:u w:val="single"/>
        </w:rPr>
        <w:t>0</w:t>
      </w:r>
      <w:r>
        <w:rPr>
          <w:rFonts w:hint="eastAsia" w:eastAsia="仿宋_GB2312"/>
          <w:sz w:val="32"/>
          <w:u w:val="single"/>
          <w:lang w:val="en-US" w:eastAsia="zh-CN"/>
        </w:rPr>
        <w:t>1</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w:t>
      </w:r>
      <w:r>
        <w:rPr>
          <w:rFonts w:hint="eastAsia" w:eastAsia="仿宋_GB2312"/>
          <w:sz w:val="32"/>
          <w:lang w:val="en-US" w:eastAsia="zh-CN"/>
        </w:rPr>
        <w:t>3</w:t>
      </w:r>
      <w:r>
        <w:rPr>
          <w:rFonts w:hint="eastAsia" w:eastAsia="仿宋_GB2312"/>
          <w:sz w:val="32"/>
        </w:rPr>
        <w:t>年</w:t>
      </w:r>
      <w:r>
        <w:rPr>
          <w:rFonts w:eastAsia="仿宋_GB2312"/>
          <w:sz w:val="32"/>
        </w:rPr>
        <w:t>07</w:t>
      </w:r>
      <w:r>
        <w:rPr>
          <w:rFonts w:hint="eastAsia" w:eastAsia="仿宋_GB2312"/>
          <w:sz w:val="32"/>
        </w:rPr>
        <w:t>月</w:t>
      </w:r>
      <w:r>
        <w:rPr>
          <w:rFonts w:eastAsia="仿宋_GB2312"/>
          <w:sz w:val="32"/>
        </w:rPr>
        <w:t>12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footerReference r:id="rId3" w:type="default"/>
          <w:pgSz w:w="11906" w:h="16838"/>
          <w:pgMar w:top="1588" w:right="1588" w:bottom="1588" w:left="1588" w:header="851" w:footer="992" w:gutter="0"/>
          <w:pgNumType w:start="1"/>
          <w:cols w:space="720" w:num="1"/>
          <w:docGrid w:type="linesAndChars" w:linePitch="602" w:charSpace="-782"/>
        </w:sectPr>
      </w:pP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王敏</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联络电话</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0730-7633618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46</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实有人数</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Mar>
              <w:top w:w="0" w:type="dxa"/>
              <w:left w:w="15" w:type="dxa"/>
              <w:bottom w:w="0" w:type="dxa"/>
              <w:right w:w="15" w:type="dxa"/>
            </w:tcMar>
            <w:vAlign w:val="center"/>
          </w:tcPr>
          <w:p>
            <w:pPr>
              <w:spacing w:afterLines="50" w:line="600" w:lineRule="exact"/>
              <w:ind w:firstLine="645"/>
              <w:rPr>
                <w:rFonts w:ascii="仿宋_GB2312" w:hAnsi="仿宋_GB2312" w:eastAsia="仿宋_GB2312" w:cs="仿宋_GB2312"/>
                <w:color w:val="000000"/>
                <w:sz w:val="24"/>
              </w:rPr>
            </w:pPr>
            <w:r>
              <w:rPr>
                <w:rFonts w:hint="eastAsia" w:ascii="仿宋_GB2312" w:eastAsia="仿宋_GB2312"/>
                <w:sz w:val="24"/>
              </w:rPr>
              <w:t>县级人大常委会共有十四项职权，概括为四大类。一是监督权，监督同级人民政府、人民法院和人民检察院的工作。二是执法检查权，在本行政区域内，保证宪法、法律、行政法规和上级人民代表大会及其常务委员会决议的遵守和执行。三是重大事项决定权，讨论决定本行政区域内政治、经济、教育、科技、文化、卫生、环境和资源保护、民政、民族等工作的重大事项。四是人事任免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：突出抓好对计划和预算的监督</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：加强对依法治县，对民生领域，对各项工作的监督</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：依法决定和监督重大事项</w:t>
            </w:r>
          </w:p>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：加大对议案，建设督办力度……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Mar>
              <w:top w:w="0" w:type="dxa"/>
              <w:left w:w="15" w:type="dxa"/>
              <w:bottom w:w="0" w:type="dxa"/>
              <w:right w:w="15" w:type="dxa"/>
            </w:tcMar>
            <w:vAlign w:val="center"/>
          </w:tcPr>
          <w:p>
            <w:pPr>
              <w:spacing w:line="580" w:lineRule="exact"/>
              <w:ind w:firstLine="480" w:firstLineChars="200"/>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一、坚持党的全面领导，淬炼绝对忠诚的政治品格</w:t>
            </w:r>
          </w:p>
          <w:p>
            <w:pPr>
              <w:spacing w:line="580" w:lineRule="exact"/>
              <w:ind w:firstLine="480" w:firstLineChars="200"/>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二、</w:t>
            </w:r>
            <w:r>
              <w:rPr>
                <w:rFonts w:hint="eastAsia" w:ascii="仿宋_GB2312" w:hAnsi="仿宋_GB2312" w:eastAsia="仿宋_GB2312" w:cs="仿宋_GB2312"/>
                <w:color w:val="000000"/>
                <w:sz w:val="24"/>
                <w:lang w:val="en-US" w:eastAsia="zh-CN"/>
              </w:rPr>
              <w:t>坚持服务中心大局</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展现奋发有为的实干担当</w:t>
            </w:r>
          </w:p>
          <w:p>
            <w:pPr>
              <w:spacing w:line="580" w:lineRule="exact"/>
              <w:ind w:firstLine="480" w:firstLineChars="200"/>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三、坚持践行人民民主，激发履职为民的强劲活力</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四、坚持强化自身建设，提升人大工作的整体质效</w:t>
            </w:r>
          </w:p>
          <w:p>
            <w:pPr>
              <w:spacing w:line="580" w:lineRule="exact"/>
              <w:ind w:firstLine="480" w:firstLineChars="200"/>
              <w:rPr>
                <w:rFonts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vAlign w:val="center"/>
          </w:tcPr>
          <w:p>
            <w:pPr>
              <w:widowControl/>
              <w:jc w:val="left"/>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1,178.52</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6.02</w:t>
            </w:r>
          </w:p>
        </w:tc>
        <w:tc>
          <w:tcPr>
            <w:tcW w:w="1080" w:type="dxa"/>
            <w:gridSpan w:val="2"/>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1,157.66</w:t>
            </w: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080" w:type="dxa"/>
            <w:gridSpan w:val="3"/>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1,178.52</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931.22</w:t>
            </w:r>
          </w:p>
        </w:tc>
        <w:tc>
          <w:tcPr>
            <w:tcW w:w="1080" w:type="dxa"/>
            <w:gridSpan w:val="2"/>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762.36</w:t>
            </w:r>
          </w:p>
        </w:tc>
        <w:tc>
          <w:tcPr>
            <w:tcW w:w="2160" w:type="dxa"/>
            <w:gridSpan w:val="4"/>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168.86</w:t>
            </w:r>
          </w:p>
        </w:tc>
        <w:tc>
          <w:tcPr>
            <w:tcW w:w="1080" w:type="dxa"/>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231.00</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10.28</w:t>
            </w:r>
          </w:p>
        </w:tc>
        <w:tc>
          <w:tcPr>
            <w:tcW w:w="625"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、机关</w:t>
            </w:r>
          </w:p>
        </w:tc>
        <w:tc>
          <w:tcPr>
            <w:tcW w:w="1080"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96.40</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96.40</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3774" w:type="dxa"/>
            <w:gridSpan w:val="7"/>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：突出抓好对计划和预算的监督</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：加强对依法治县，对民生领域，对各项工作的监督</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：依法决定和监督重大事项</w:t>
            </w:r>
          </w:p>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：加大对议案，建设督办力度……</w:t>
            </w:r>
          </w:p>
        </w:tc>
        <w:tc>
          <w:tcPr>
            <w:tcW w:w="4585"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 xml:space="preserve">   启届以来，共召开8次常委会会议、14次主任会议，听取和审议“一府一委两院”工作报告21个，作出决定、决议13项，提出专题审议意见38条，组织执法检查3次，开展“民族团结进步行”“三湘行”等专题活动7次，开展专项工作视察5次，对县政府2名副职和9个部门单位进行工作评议，依法任免国家机关工作人员118人次，强力推动了十八届县人大常委会工作开新局、谱新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县委县政府</w:t>
            </w:r>
            <w:r>
              <w:rPr>
                <w:rFonts w:hint="eastAsia" w:ascii="仿宋_GB2312" w:hAnsi="仿宋_GB2312" w:eastAsia="仿宋_GB2312" w:cs="仿宋_GB2312"/>
                <w:color w:val="000000"/>
                <w:sz w:val="24"/>
              </w:rPr>
              <w:t>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人大代表提案回复率</w:t>
            </w:r>
            <w:r>
              <w:rPr>
                <w:rFonts w:ascii="仿宋_GB2312" w:hAnsi="仿宋_GB2312" w:eastAsia="仿宋_GB2312" w:cs="仿宋_GB2312"/>
                <w:color w:val="000000"/>
                <w:sz w:val="24"/>
              </w:rPr>
              <w:t>100%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“三公经费”变动率≤</w:t>
            </w:r>
            <w:r>
              <w:rPr>
                <w:rFonts w:ascii="仿宋_GB2312" w:hAnsi="仿宋_GB2312" w:eastAsia="仿宋_GB2312" w:cs="仿宋_GB2312"/>
                <w:color w:val="000000"/>
                <w:sz w:val="24"/>
              </w:rPr>
              <w:t>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专项调研</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次以上</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视察评议</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次以上</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专项调研</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次以上</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已如质如量完成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全年财政整体支出</w:t>
            </w:r>
            <w:r>
              <w:rPr>
                <w:rFonts w:hint="eastAsia" w:ascii="宋体" w:hAnsi="宋体" w:eastAsia="宋体" w:cs="宋体"/>
                <w:i w:val="0"/>
                <w:iCs w:val="0"/>
                <w:color w:val="000000"/>
                <w:kern w:val="0"/>
                <w:sz w:val="22"/>
                <w:szCs w:val="22"/>
                <w:u w:val="none"/>
                <w:lang w:val="en-US" w:eastAsia="zh-CN" w:bidi="ar"/>
              </w:rPr>
              <w:t>1,178.52</w:t>
            </w:r>
            <w:r>
              <w:rPr>
                <w:rFonts w:hint="eastAsia" w:ascii="仿宋_GB2312" w:hAnsi="仿宋_GB2312" w:eastAsia="仿宋_GB2312" w:cs="仿宋_GB2312"/>
                <w:color w:val="000000"/>
                <w:sz w:val="24"/>
              </w:rPr>
              <w:t>万元</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1,178.52</w:t>
            </w:r>
            <w:r>
              <w:rPr>
                <w:rFonts w:hint="eastAsia" w:ascii="仿宋_GB2312" w:hAnsi="仿宋_GB2312" w:eastAsia="仿宋_GB2312" w:cs="仿宋_GB2312"/>
                <w:color w:val="000000"/>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通过办理提案等收集社情民意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督办人民信访化解社会矛盾</w:t>
            </w:r>
          </w:p>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：联手帮扶企业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：社会公众或服务对象满意度</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社会公众或服务对象满意度</w:t>
            </w:r>
            <w:r>
              <w:rPr>
                <w:rFonts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吴承棉</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岳阳县人大常委会副主任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县人大</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杨斌君</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岳阳县人大常委会办公室主任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县人大</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刘凤梅</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岳阳县人大常委会</w:t>
            </w:r>
            <w:r>
              <w:rPr>
                <w:rFonts w:hint="eastAsia" w:ascii="仿宋_GB2312" w:hAnsi="仿宋_GB2312" w:eastAsia="仿宋_GB2312" w:cs="仿宋_GB2312"/>
                <w:color w:val="000000"/>
                <w:sz w:val="24"/>
                <w:lang w:eastAsia="zh-CN"/>
              </w:rPr>
              <w:t>办公室副主任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县人大</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王敏</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0730-7633618</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spacing w:line="560" w:lineRule="exact"/>
              <w:ind w:firstLine="720" w:firstLineChars="300"/>
              <w:rPr>
                <w:rFonts w:ascii="仿宋_GB2312" w:eastAsia="仿宋_GB2312"/>
                <w:sz w:val="24"/>
              </w:rPr>
            </w:pPr>
            <w:r>
              <w:rPr>
                <w:rFonts w:hint="eastAsia" w:ascii="仿宋_GB2312" w:eastAsia="仿宋_GB2312"/>
                <w:sz w:val="24"/>
              </w:rPr>
              <w:t>岳阳县人大常委会设有一办</w:t>
            </w:r>
            <w:r>
              <w:rPr>
                <w:rFonts w:hint="eastAsia" w:ascii="仿宋_GB2312" w:eastAsia="仿宋_GB2312"/>
                <w:sz w:val="24"/>
                <w:lang w:eastAsia="zh-CN"/>
              </w:rPr>
              <w:t>八</w:t>
            </w:r>
            <w:r>
              <w:rPr>
                <w:rFonts w:hint="eastAsia" w:ascii="仿宋_GB2312" w:eastAsia="仿宋_GB2312"/>
                <w:sz w:val="24"/>
              </w:rPr>
              <w:t>委</w:t>
            </w:r>
            <w:r>
              <w:rPr>
                <w:rFonts w:hint="eastAsia" w:ascii="仿宋_GB2312" w:eastAsia="仿宋_GB2312"/>
                <w:sz w:val="24"/>
                <w:lang w:val="en-US" w:eastAsia="zh-CN"/>
              </w:rPr>
              <w:t>9</w:t>
            </w:r>
            <w:r>
              <w:rPr>
                <w:rFonts w:hint="eastAsia" w:ascii="仿宋_GB2312" w:eastAsia="仿宋_GB2312"/>
                <w:sz w:val="24"/>
              </w:rPr>
              <w:t>个正科级工作机构（常委会办公室、</w:t>
            </w:r>
            <w:r>
              <w:rPr>
                <w:rFonts w:hint="eastAsia" w:ascii="仿宋_GB2312" w:eastAsia="仿宋_GB2312"/>
                <w:sz w:val="24"/>
                <w:lang w:eastAsia="zh-CN"/>
              </w:rPr>
              <w:t>财政经济</w:t>
            </w:r>
            <w:r>
              <w:rPr>
                <w:rFonts w:hint="eastAsia" w:ascii="仿宋_GB2312" w:eastAsia="仿宋_GB2312"/>
                <w:sz w:val="24"/>
              </w:rPr>
              <w:t>委员会、选举任免联络</w:t>
            </w:r>
            <w:r>
              <w:rPr>
                <w:rFonts w:hint="eastAsia" w:ascii="仿宋_GB2312" w:eastAsia="仿宋_GB2312"/>
                <w:sz w:val="24"/>
                <w:lang w:eastAsia="zh-CN"/>
              </w:rPr>
              <w:t>工作</w:t>
            </w:r>
            <w:r>
              <w:rPr>
                <w:rFonts w:hint="eastAsia" w:ascii="仿宋_GB2312" w:eastAsia="仿宋_GB2312"/>
                <w:sz w:val="24"/>
              </w:rPr>
              <w:t>委员会、</w:t>
            </w:r>
            <w:r>
              <w:rPr>
                <w:rFonts w:hint="eastAsia" w:ascii="仿宋_GB2312" w:eastAsia="仿宋_GB2312"/>
                <w:sz w:val="24"/>
                <w:lang w:eastAsia="zh-CN"/>
              </w:rPr>
              <w:t>民族华侨外事委员会、监察和</w:t>
            </w:r>
            <w:r>
              <w:rPr>
                <w:rFonts w:hint="eastAsia" w:ascii="仿宋_GB2312" w:eastAsia="仿宋_GB2312"/>
                <w:sz w:val="24"/>
              </w:rPr>
              <w:t>司法委员会、教科文卫委员会、环境资源委员会、农村和农业委员会</w:t>
            </w:r>
            <w:r>
              <w:rPr>
                <w:rFonts w:hint="eastAsia" w:ascii="仿宋_GB2312" w:eastAsia="仿宋_GB2312"/>
                <w:sz w:val="24"/>
                <w:lang w:eastAsia="zh-CN"/>
              </w:rPr>
              <w:t>、社会建设委员会</w:t>
            </w:r>
            <w:r>
              <w:rPr>
                <w:rFonts w:hint="eastAsia" w:ascii="仿宋_GB2312" w:eastAsia="仿宋_GB2312"/>
                <w:sz w:val="24"/>
              </w:rPr>
              <w:t>）。机关目前共有工作人员</w:t>
            </w:r>
            <w:r>
              <w:rPr>
                <w:rFonts w:hint="eastAsia" w:ascii="仿宋_GB2312" w:eastAsia="仿宋_GB2312"/>
                <w:sz w:val="24"/>
                <w:lang w:val="en-US" w:eastAsia="zh-CN"/>
              </w:rPr>
              <w:t>46</w:t>
            </w:r>
            <w:r>
              <w:rPr>
                <w:rFonts w:hint="eastAsia" w:ascii="仿宋_GB2312" w:eastAsia="仿宋_GB2312"/>
                <w:sz w:val="24"/>
              </w:rPr>
              <w:t>名。</w:t>
            </w:r>
          </w:p>
          <w:p>
            <w:pPr>
              <w:spacing w:afterLines="50" w:line="600" w:lineRule="exact"/>
              <w:ind w:firstLine="640"/>
              <w:rPr>
                <w:rFonts w:ascii="仿宋_GB2312" w:hAnsi="仿宋_GB2312" w:eastAsia="仿宋_GB2312" w:cs="仿宋_GB2312"/>
                <w:bCs/>
                <w:sz w:val="24"/>
              </w:rPr>
            </w:pPr>
            <w:r>
              <w:rPr>
                <w:rFonts w:hint="eastAsia" w:ascii="仿宋_GB2312" w:eastAsia="仿宋_GB2312"/>
                <w:sz w:val="24"/>
              </w:rPr>
              <w:t>根据宪法规定：人民代表大会制度是国家根本政治制度，人大常委会是代表人民行使国家权力的机关。地方各级人民代表大会常务委员会的职权是《组织法》确定的，其中县级人大常委会共有十四项职权，概括为四大类。一是监督权，监督同级人民政府、人民法院和人民检察院的工作。二是执法检查权，在本行政区域内，保证宪法、法律、行政法规和上级人民代表大会及其常务委员会决议的遵守和执行。三是重大事项决定权，讨论决定本行政区域内政治、经济、教育、科技、文化、卫生、环境和资源保护、民政、民族等工作的重大事项。四是人事任免权。</w:t>
            </w:r>
          </w:p>
          <w:p>
            <w:pPr>
              <w:numPr>
                <w:ilvl w:val="0"/>
                <w:numId w:val="3"/>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部门（单位）整体支出规模、使用方向和主要内容、涉及范围等</w:t>
            </w:r>
          </w:p>
          <w:p>
            <w:pPr>
              <w:spacing w:line="560" w:lineRule="exac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lang w:eastAsia="zh-CN"/>
              </w:rPr>
              <w:t xml:space="preserve"> 202</w:t>
            </w:r>
            <w:r>
              <w:rPr>
                <w:rFonts w:hint="eastAsia" w:ascii="仿宋" w:hAnsi="仿宋" w:eastAsia="仿宋" w:cs="仿宋"/>
                <w:sz w:val="24"/>
                <w:lang w:val="en-US" w:eastAsia="zh-CN"/>
              </w:rPr>
              <w:t>2</w:t>
            </w:r>
            <w:r>
              <w:rPr>
                <w:rFonts w:hint="eastAsia" w:ascii="仿宋" w:hAnsi="仿宋" w:eastAsia="仿宋" w:cs="仿宋"/>
                <w:sz w:val="24"/>
                <w:lang w:eastAsia="zh-CN"/>
              </w:rPr>
              <w:t>年人大办</w:t>
            </w:r>
            <w:r>
              <w:rPr>
                <w:rFonts w:hint="eastAsia" w:ascii="仿宋" w:hAnsi="仿宋" w:eastAsia="仿宋" w:cs="仿宋"/>
                <w:sz w:val="24"/>
              </w:rPr>
              <w:t>整体支出为</w:t>
            </w:r>
            <w:r>
              <w:rPr>
                <w:rFonts w:hint="eastAsia" w:ascii="宋体" w:hAnsi="宋体" w:eastAsia="宋体" w:cs="宋体"/>
                <w:i w:val="0"/>
                <w:iCs w:val="0"/>
                <w:color w:val="000000"/>
                <w:kern w:val="0"/>
                <w:sz w:val="22"/>
                <w:szCs w:val="22"/>
                <w:u w:val="none"/>
                <w:lang w:val="en-US" w:eastAsia="zh-CN" w:bidi="ar"/>
              </w:rPr>
              <w:t>1,178.52</w:t>
            </w:r>
            <w:r>
              <w:rPr>
                <w:rFonts w:hint="eastAsia" w:ascii="仿宋" w:hAnsi="仿宋" w:eastAsia="仿宋" w:cs="仿宋"/>
                <w:sz w:val="24"/>
              </w:rPr>
              <w:t>万元，包括基本支出</w:t>
            </w:r>
            <w:r>
              <w:rPr>
                <w:rFonts w:hint="eastAsia" w:ascii="仿宋_GB2312" w:hAnsi="仿宋_GB2312" w:eastAsia="仿宋_GB2312" w:cs="仿宋_GB2312"/>
                <w:color w:val="000000"/>
                <w:sz w:val="24"/>
                <w:lang w:val="en-US" w:eastAsia="zh-CN"/>
              </w:rPr>
              <w:t>931.22</w:t>
            </w:r>
            <w:r>
              <w:rPr>
                <w:rFonts w:hint="eastAsia" w:ascii="仿宋" w:hAnsi="仿宋" w:eastAsia="仿宋" w:cs="仿宋"/>
                <w:sz w:val="24"/>
              </w:rPr>
              <w:t>万元，主要用于人员经费支出和日常公用经费支出，项目支出</w:t>
            </w:r>
            <w:r>
              <w:rPr>
                <w:rFonts w:hint="eastAsia" w:ascii="仿宋_GB2312" w:hAnsi="仿宋_GB2312" w:eastAsia="仿宋_GB2312" w:cs="仿宋_GB2312"/>
                <w:color w:val="000000"/>
                <w:sz w:val="24"/>
                <w:lang w:val="en-US" w:eastAsia="zh-CN"/>
              </w:rPr>
              <w:t>231</w:t>
            </w:r>
            <w:r>
              <w:rPr>
                <w:rFonts w:hint="eastAsia" w:ascii="仿宋" w:hAnsi="仿宋" w:eastAsia="仿宋" w:cs="仿宋"/>
                <w:sz w:val="24"/>
              </w:rPr>
              <w:t>元，主要用于人大代表活动经费25万元；人大常委调研活动经费21.5万元；工委及办公室业务费20万元；会议费4.5万元；专项法律检查经费35万元；专门委员会重大事项调查经费10万元；人大预算联网监督平台运行维护经费12万元；财政预算审查20万元；人大常委会会议经费65万元、议案办理经费18万元。</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exact"/>
              <w:ind w:firstLine="480" w:firstLineChars="200"/>
              <w:rPr>
                <w:rFonts w:ascii="仿宋" w:hAnsi="仿宋" w:eastAsia="仿宋" w:cs="仿宋"/>
                <w:sz w:val="24"/>
              </w:rPr>
            </w:pPr>
            <w:r>
              <w:rPr>
                <w:rFonts w:hint="eastAsia" w:ascii="仿宋" w:hAnsi="仿宋" w:eastAsia="仿宋" w:cs="仿宋"/>
                <w:sz w:val="24"/>
                <w:lang w:eastAsia="zh-CN"/>
              </w:rPr>
              <w:t>2022年人大办</w:t>
            </w:r>
            <w:r>
              <w:rPr>
                <w:rFonts w:hint="eastAsia" w:ascii="仿宋" w:hAnsi="仿宋" w:eastAsia="仿宋" w:cs="仿宋"/>
                <w:sz w:val="24"/>
              </w:rPr>
              <w:t>基本支出</w:t>
            </w:r>
            <w:r>
              <w:rPr>
                <w:rFonts w:hint="eastAsia" w:ascii="仿宋_GB2312" w:hAnsi="仿宋_GB2312" w:eastAsia="仿宋_GB2312" w:cs="仿宋_GB2312"/>
                <w:color w:val="000000"/>
                <w:sz w:val="24"/>
                <w:lang w:val="en-US" w:eastAsia="zh-CN"/>
              </w:rPr>
              <w:t>931.22</w:t>
            </w:r>
            <w:r>
              <w:rPr>
                <w:rFonts w:hint="eastAsia" w:ascii="仿宋" w:hAnsi="仿宋" w:eastAsia="仿宋" w:cs="仿宋"/>
                <w:sz w:val="24"/>
              </w:rPr>
              <w:t>万元，包括人员支出</w:t>
            </w:r>
            <w:r>
              <w:rPr>
                <w:rFonts w:hint="eastAsia" w:ascii="宋体" w:hAnsi="宋体" w:eastAsia="宋体" w:cs="宋体"/>
                <w:i w:val="0"/>
                <w:iCs w:val="0"/>
                <w:color w:val="000000"/>
                <w:kern w:val="0"/>
                <w:sz w:val="22"/>
                <w:szCs w:val="22"/>
                <w:u w:val="none"/>
                <w:lang w:val="en-US" w:eastAsia="zh-CN" w:bidi="ar"/>
              </w:rPr>
              <w:t>762.36</w:t>
            </w:r>
            <w:r>
              <w:rPr>
                <w:rFonts w:hint="eastAsia" w:ascii="仿宋" w:hAnsi="仿宋" w:eastAsia="仿宋" w:cs="仿宋"/>
                <w:sz w:val="24"/>
              </w:rPr>
              <w:t>万元，公用</w:t>
            </w:r>
            <w:r>
              <w:rPr>
                <w:rFonts w:hint="eastAsia" w:ascii="仿宋" w:hAnsi="仿宋" w:eastAsia="仿宋" w:cs="仿宋"/>
                <w:sz w:val="24"/>
                <w:lang w:eastAsia="zh-CN"/>
              </w:rPr>
              <w:t>经费</w:t>
            </w:r>
            <w:r>
              <w:rPr>
                <w:rFonts w:hint="eastAsia" w:ascii="宋体" w:hAnsi="宋体" w:eastAsia="宋体" w:cs="宋体"/>
                <w:i w:val="0"/>
                <w:iCs w:val="0"/>
                <w:color w:val="000000"/>
                <w:kern w:val="0"/>
                <w:sz w:val="22"/>
                <w:szCs w:val="22"/>
                <w:u w:val="none"/>
                <w:lang w:val="en-US" w:eastAsia="zh-CN" w:bidi="ar"/>
              </w:rPr>
              <w:t>168.86</w:t>
            </w:r>
            <w:r>
              <w:rPr>
                <w:rFonts w:hint="eastAsia" w:ascii="仿宋" w:hAnsi="仿宋" w:eastAsia="仿宋" w:cs="仿宋"/>
                <w:sz w:val="24"/>
              </w:rPr>
              <w:t>万元，其中“三公”经费合计</w:t>
            </w:r>
            <w:r>
              <w:rPr>
                <w:rFonts w:hint="eastAsia" w:ascii="宋体" w:hAnsi="宋体" w:eastAsia="宋体" w:cs="宋体"/>
                <w:i w:val="0"/>
                <w:iCs w:val="0"/>
                <w:color w:val="000000"/>
                <w:kern w:val="0"/>
                <w:sz w:val="22"/>
                <w:szCs w:val="22"/>
                <w:u w:val="none"/>
                <w:lang w:val="en-US" w:eastAsia="zh-CN" w:bidi="ar"/>
              </w:rPr>
              <w:t>1.45</w:t>
            </w:r>
            <w:r>
              <w:rPr>
                <w:rFonts w:hint="eastAsia" w:ascii="仿宋" w:hAnsi="仿宋" w:eastAsia="仿宋" w:cs="仿宋"/>
                <w:sz w:val="24"/>
              </w:rPr>
              <w:t>万元，包括公务接待费</w:t>
            </w:r>
            <w:r>
              <w:rPr>
                <w:rFonts w:hint="eastAsia" w:ascii="宋体" w:hAnsi="宋体" w:eastAsia="宋体" w:cs="宋体"/>
                <w:i w:val="0"/>
                <w:iCs w:val="0"/>
                <w:color w:val="000000"/>
                <w:kern w:val="0"/>
                <w:sz w:val="22"/>
                <w:szCs w:val="22"/>
                <w:u w:val="none"/>
                <w:lang w:val="en-US" w:eastAsia="zh-CN" w:bidi="ar"/>
              </w:rPr>
              <w:t>1.45</w:t>
            </w:r>
            <w:r>
              <w:rPr>
                <w:rFonts w:hint="eastAsia" w:ascii="仿宋" w:hAnsi="仿宋" w:eastAsia="仿宋" w:cs="仿宋"/>
                <w:sz w:val="24"/>
              </w:rPr>
              <w:t>万元。</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widowControl/>
              <w:spacing w:line="6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lang w:eastAsia="zh-CN"/>
              </w:rPr>
              <w:t>202</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lang w:eastAsia="zh-CN"/>
              </w:rPr>
              <w:t>年</w:t>
            </w:r>
            <w:r>
              <w:rPr>
                <w:rFonts w:hint="eastAsia" w:ascii="仿宋_GB2312" w:hAnsi="仿宋_GB2312" w:eastAsia="仿宋_GB2312" w:cs="仿宋_GB2312"/>
                <w:bCs/>
                <w:sz w:val="24"/>
              </w:rPr>
              <w:t>县财政安排我办项目经费</w:t>
            </w:r>
            <w:r>
              <w:rPr>
                <w:rFonts w:hint="eastAsia" w:ascii="仿宋_GB2312" w:hAnsi="仿宋_GB2312" w:eastAsia="仿宋_GB2312" w:cs="仿宋_GB2312"/>
                <w:color w:val="000000"/>
                <w:sz w:val="24"/>
                <w:lang w:val="en-US" w:eastAsia="zh-CN"/>
              </w:rPr>
              <w:t>231</w:t>
            </w:r>
            <w:r>
              <w:rPr>
                <w:rFonts w:hint="eastAsia" w:ascii="仿宋_GB2312" w:hAnsi="仿宋_GB2312" w:eastAsia="仿宋_GB2312" w:cs="仿宋_GB2312"/>
                <w:bCs/>
                <w:sz w:val="24"/>
              </w:rPr>
              <w:t>万元，具体包括人大代表活动经费25万元；人大常委调研活动经费21.5万元；工委及办公室业务费20万元；会议费4.5万元；专项法律检查经费35万元；专门委员会重大事项调查经费10万元；人大预算联网监督平台运行维护经费12万元；财政预算审查20万元；人大常委会会议经费65万元、议案办理经费18万元。我办实际发生项目支出</w:t>
            </w:r>
            <w:r>
              <w:rPr>
                <w:rFonts w:hint="eastAsia" w:ascii="仿宋_GB2312" w:hAnsi="仿宋_GB2312" w:eastAsia="仿宋_GB2312" w:cs="仿宋_GB2312"/>
                <w:color w:val="000000"/>
                <w:sz w:val="24"/>
                <w:lang w:val="en-US" w:eastAsia="zh-CN"/>
              </w:rPr>
              <w:t>231</w:t>
            </w:r>
            <w:r>
              <w:rPr>
                <w:rFonts w:hint="eastAsia" w:ascii="仿宋_GB2312" w:hAnsi="仿宋_GB2312" w:eastAsia="仿宋_GB2312" w:cs="仿宋_GB2312"/>
                <w:bCs/>
                <w:sz w:val="24"/>
              </w:rPr>
              <w:t>万元，项目支出安排率</w:t>
            </w:r>
            <w:r>
              <w:rPr>
                <w:rFonts w:hint="eastAsia" w:ascii="仿宋_GB2312" w:hAnsi="仿宋_GB2312" w:eastAsia="仿宋_GB2312" w:cs="仿宋_GB2312"/>
                <w:bCs/>
                <w:sz w:val="24"/>
                <w:lang w:eastAsia="zh-CN"/>
              </w:rPr>
              <w:t>为</w:t>
            </w:r>
            <w:r>
              <w:rPr>
                <w:rFonts w:ascii="仿宋_GB2312" w:hAnsi="仿宋_GB2312" w:eastAsia="仿宋_GB2312" w:cs="仿宋_GB2312"/>
                <w:bCs/>
                <w:sz w:val="24"/>
              </w:rPr>
              <w:t>100%</w:t>
            </w:r>
            <w:r>
              <w:rPr>
                <w:rFonts w:hint="eastAsia" w:ascii="仿宋_GB2312" w:hAnsi="仿宋_GB2312" w:eastAsia="仿宋_GB2312" w:cs="仿宋_GB2312"/>
                <w:bCs/>
                <w:sz w:val="24"/>
              </w:rPr>
              <w:t>。</w:t>
            </w:r>
          </w:p>
          <w:p>
            <w:pPr>
              <w:numPr>
                <w:ilvl w:val="0"/>
                <w:numId w:val="4"/>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pPr>
              <w:spacing w:line="560" w:lineRule="exact"/>
              <w:rPr>
                <w:rFonts w:ascii="仿宋_GB2312" w:hAnsi="仿宋_GB2312" w:eastAsia="仿宋_GB2312" w:cs="仿宋_GB2312"/>
                <w:bCs/>
                <w:kern w:val="2"/>
              </w:rPr>
            </w:pPr>
            <w:r>
              <w:rPr>
                <w:rFonts w:ascii="仿宋_GB2312" w:hAnsi="仿宋_GB2312" w:eastAsia="仿宋_GB2312" w:cs="仿宋_GB2312"/>
                <w:bCs/>
                <w:kern w:val="2"/>
              </w:rPr>
              <w:t xml:space="preserve"> </w:t>
            </w:r>
            <w:r>
              <w:rPr>
                <w:rFonts w:hint="eastAsia" w:ascii="仿宋_GB2312" w:hAnsi="仿宋_GB2312" w:eastAsia="仿宋_GB2312" w:cs="仿宋_GB2312"/>
                <w:bCs/>
                <w:kern w:val="2"/>
                <w:lang w:val="en-US" w:eastAsia="zh-CN"/>
              </w:rPr>
              <w:t xml:space="preserve">   </w:t>
            </w:r>
            <w:r>
              <w:rPr>
                <w:rFonts w:hint="eastAsia" w:ascii="仿宋_GB2312" w:hAnsi="仿宋_GB2312" w:eastAsia="仿宋_GB2312" w:cs="仿宋_GB2312"/>
                <w:bCs/>
                <w:sz w:val="24"/>
              </w:rPr>
              <w:t>我办专项资金主要用于</w:t>
            </w:r>
            <w:r>
              <w:rPr>
                <w:rFonts w:hint="eastAsia" w:ascii="仿宋_GB2312" w:hAnsi="仿宋_GB2312" w:eastAsia="仿宋_GB2312" w:cs="仿宋_GB2312"/>
                <w:color w:val="2B2B2B"/>
                <w:sz w:val="24"/>
                <w:shd w:val="clear" w:color="auto" w:fill="FFFFFF"/>
              </w:rPr>
              <w:t>人大代表活动经费、</w:t>
            </w:r>
            <w:r>
              <w:rPr>
                <w:rFonts w:hint="eastAsia" w:ascii="仿宋_GB2312" w:hAnsi="仿宋_GB2312" w:eastAsia="仿宋_GB2312" w:cs="仿宋_GB2312"/>
                <w:bCs/>
                <w:sz w:val="24"/>
              </w:rPr>
              <w:t>人大常委调研活动经费；工委及办公室业务费；离岗处级、正职退休干部经费；专项法律检查经费；财政预算审查；人大常委会会议经费；议案办理经费等，为促进人大代表发挥工作的主观能动性，为县人大</w:t>
            </w:r>
            <w:r>
              <w:rPr>
                <w:rFonts w:hint="eastAsia" w:ascii="仿宋_GB2312" w:hAnsi="仿宋_GB2312" w:eastAsia="仿宋_GB2312" w:cs="仿宋_GB2312"/>
                <w:color w:val="2B2B2B"/>
                <w:sz w:val="24"/>
                <w:shd w:val="clear" w:color="auto" w:fill="FFFFFF"/>
              </w:rPr>
              <w:t>常委会依法履职提供了坚实保障。支出科目多为印刷费、会议费、差旅费、场租费等。</w:t>
            </w:r>
          </w:p>
          <w:p>
            <w:pPr>
              <w:numPr>
                <w:ilvl w:val="0"/>
                <w:numId w:val="5"/>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exact"/>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我办专项资金实行专款专用、专项核算，费用支出严格按财务审批程序和项目进度等进行支付。</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560" w:lineRule="exact"/>
              <w:ind w:firstLine="480" w:firstLineChars="200"/>
              <w:rPr>
                <w:rFonts w:hint="eastAsia" w:ascii="仿宋_GB2312" w:hAnsi="仿宋_GB2312" w:eastAsia="仿宋_GB2312" w:cs="仿宋_GB2312"/>
                <w:b w:val="0"/>
                <w:bCs w:val="0"/>
                <w:color w:val="2B2B2B"/>
                <w:sz w:val="24"/>
                <w:shd w:val="clear" w:color="auto" w:fill="FFFFFF"/>
              </w:rPr>
            </w:pPr>
            <w:r>
              <w:rPr>
                <w:rFonts w:hint="eastAsia" w:ascii="仿宋_GB2312" w:hAnsi="仿宋_GB2312" w:eastAsia="仿宋_GB2312" w:cs="仿宋_GB2312"/>
                <w:b w:val="0"/>
                <w:bCs w:val="0"/>
                <w:color w:val="2B2B2B"/>
                <w:sz w:val="24"/>
                <w:shd w:val="clear" w:color="auto" w:fill="FFFFFF"/>
              </w:rPr>
              <w:t>扩大人民有序政治参与。坚持“全链条、全方位、全覆盖”人民民主，以“六个结合”方式，推进代表常态化参与人大常委会工作。安排各级人大代表列席县人大常委会会议48人次，参加座谈会、视察调研、执法检查、建议督办等活动500多人次，提出建议113条。抓实乡镇民生实事代表票决制工作，共票决出45项解决群众急难愁盼问题的民生实事项目，“群众提、党委审、代表决、政府办、人大督”成为标准动作，代表拥有了实实在在的决定权。畅通代表知情知政渠道，定期免费给代表寄送《人大常委会公报》《人民之友》《岳阳人大》等资料和刊物。一年来，人民群众的知情权、参与权、表达权、监督权得到最大限度地保障，代表的归属感、荣誉感和认同感显著提升。</w:t>
            </w:r>
          </w:p>
          <w:p>
            <w:pPr>
              <w:spacing w:line="560" w:lineRule="exact"/>
              <w:ind w:firstLine="480" w:firstLineChars="200"/>
              <w:rPr>
                <w:rFonts w:hint="eastAsia" w:ascii="仿宋_GB2312" w:hAnsi="仿宋_GB2312" w:eastAsia="仿宋_GB2312" w:cs="仿宋_GB2312"/>
                <w:b w:val="0"/>
                <w:bCs w:val="0"/>
                <w:color w:val="2B2B2B"/>
                <w:sz w:val="24"/>
                <w:shd w:val="clear" w:color="auto" w:fill="FFFFFF"/>
              </w:rPr>
            </w:pPr>
            <w:r>
              <w:rPr>
                <w:rFonts w:hint="eastAsia" w:ascii="仿宋_GB2312" w:hAnsi="仿宋_GB2312" w:eastAsia="仿宋_GB2312" w:cs="仿宋_GB2312"/>
                <w:b w:val="0"/>
                <w:bCs w:val="0"/>
                <w:color w:val="2B2B2B"/>
                <w:sz w:val="24"/>
                <w:shd w:val="clear" w:color="auto" w:fill="FFFFFF"/>
              </w:rPr>
              <w:t>强化代表履职保障。不断优化服务，为代表履职蓄力赋能。抓平台建设，195个代表工作站（室）打造升级，明确专人管理，代表简历和常见办事流程上墙，代表解决群众难题情况全过程公示。抓能力提升，扎实开展“三知识四方式”代表培训工作。抓经费保障，确保每个代表每年活动经费不低于1000元。抓宣传推介，在县人大常委会微信公众号开设人大代表风采专栏，发布代表先进事迹宣传报道32篇。其中，《董敏芳：当好新时代的新农民代表》在《人民之友》刊发。</w:t>
            </w:r>
          </w:p>
          <w:p>
            <w:pPr>
              <w:spacing w:line="560" w:lineRule="exact"/>
              <w:ind w:firstLine="480" w:firstLineChars="200"/>
              <w:rPr>
                <w:rFonts w:hint="eastAsia" w:ascii="仿宋_GB2312" w:hAnsi="仿宋_GB2312" w:eastAsia="仿宋_GB2312" w:cs="仿宋_GB2312"/>
                <w:b w:val="0"/>
                <w:bCs w:val="0"/>
                <w:color w:val="2B2B2B"/>
                <w:sz w:val="24"/>
                <w:shd w:val="clear" w:color="auto" w:fill="FFFFFF"/>
              </w:rPr>
            </w:pPr>
            <w:r>
              <w:rPr>
                <w:rFonts w:hint="eastAsia" w:ascii="仿宋_GB2312" w:hAnsi="仿宋_GB2312" w:eastAsia="仿宋_GB2312" w:cs="仿宋_GB2312"/>
                <w:b w:val="0"/>
                <w:bCs w:val="0"/>
                <w:color w:val="2B2B2B"/>
                <w:sz w:val="24"/>
                <w:shd w:val="clear" w:color="auto" w:fill="FFFFFF"/>
              </w:rPr>
              <w:t>丰富代表履职活动。加强联系指导，主任会议成员分片联系指导乡镇人大工作，探索开展了乡镇人大片区制活动。认真落实“双联”，县人大常委会组成人员联系代表、县代表联系原选举单位和群众2800多人次，推动各级代表进站入室接待群众9000余人次，解决群众实际问题3369个。组建专业小组，建立农业、医疗、文化等专业代表小组7个，开展小组活动9次。深化视察评议，15个乡镇（办事处）1300余名代表开展专题视察活动32次，评议乡镇政府部门30个，推动完善水利、道路等基础设施建设108处。</w:t>
            </w:r>
          </w:p>
          <w:p>
            <w:pPr>
              <w:spacing w:line="560" w:lineRule="exact"/>
              <w:ind w:firstLine="480" w:firstLineChars="200"/>
              <w:rPr>
                <w:rFonts w:hint="eastAsia" w:ascii="仿宋_GB2312" w:hAnsi="仿宋_GB2312" w:eastAsia="仿宋_GB2312" w:cs="仿宋_GB2312"/>
                <w:b w:val="0"/>
                <w:bCs w:val="0"/>
                <w:color w:val="2B2B2B"/>
                <w:sz w:val="24"/>
                <w:shd w:val="clear" w:color="auto" w:fill="FFFFFF"/>
              </w:rPr>
            </w:pPr>
            <w:r>
              <w:rPr>
                <w:rFonts w:hint="eastAsia" w:ascii="仿宋_GB2312" w:hAnsi="仿宋_GB2312" w:eastAsia="仿宋_GB2312" w:cs="仿宋_GB2312"/>
                <w:b w:val="0"/>
                <w:bCs w:val="0"/>
                <w:color w:val="2B2B2B"/>
                <w:sz w:val="24"/>
                <w:shd w:val="clear" w:color="auto" w:fill="FFFFFF"/>
              </w:rPr>
              <w:t>办实代表建议议案。健全办理机制，由主任会议成员牵头督办、分管副县长主动领办、相关职能部门具体承办，办理情况向代表全程报告，办理结果纳入全县综合绩效考核。注重办理效果，重点督办了发展港区经济、打造沿湖绿色生态走廊、加快公共区域品牌建设、加强通信网络管理、完善基础设施建设、优化营商环境等建议议案，代表提出的128件建议和1件议案全部办结，问题解决率同比提高14.3%，代表建议议案实现“掷地有声”“落地见效”。</w:t>
            </w:r>
          </w:p>
          <w:p>
            <w:pPr>
              <w:spacing w:line="560" w:lineRule="exact"/>
              <w:ind w:firstLine="480" w:firstLineChars="200"/>
              <w:rPr>
                <w:rFonts w:hint="eastAsia" w:ascii="仿宋_GB2312" w:hAnsi="仿宋_GB2312" w:eastAsia="仿宋_GB2312" w:cs="仿宋_GB2312"/>
                <w:b w:val="0"/>
                <w:bCs w:val="0"/>
                <w:color w:val="2B2B2B"/>
                <w:sz w:val="24"/>
                <w:shd w:val="clear" w:color="auto" w:fill="FFFFFF"/>
              </w:rPr>
            </w:pPr>
            <w:r>
              <w:rPr>
                <w:rFonts w:hint="eastAsia" w:ascii="仿宋_GB2312" w:hAnsi="仿宋_GB2312" w:eastAsia="仿宋_GB2312" w:cs="仿宋_GB2312"/>
                <w:b w:val="0"/>
                <w:bCs w:val="0"/>
                <w:color w:val="2B2B2B"/>
                <w:sz w:val="24"/>
                <w:shd w:val="clear" w:color="auto" w:fill="FFFFFF"/>
              </w:rPr>
              <w:t>推动代表争当表率。引导全县各级代表当好“六员”，在全县中心工作上干在实处、走在前列。一年来，代表们聚焦村级“小微权力”开展监督，让权力在阳光下运行；深入村组屋场，广泛宣传反电诈、医保缴费、森林防火等政策；投身乡村产业发展第一线，帮助群众增收致富；带领人民群众抗旱救灾、引水保收；全力参与信息排查、高速卡口值守、核酸检测等疫情防控工作；认真开展文明创建志愿服务，带头拆除“豪华墓”“活人墓”；积极协调各类矛盾纠纷，全力维护社会大局稳定。上下同欲者胜，风雨同舟者兴。全县各级人大代表虽然来自不同领域，从事不同职业，但都能围绕人大代表同一种身份，主动担当、奋力作为，挥洒了汗水、作出了贡献、收获了赞许、赢得了尊重。</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牢固树立“以人民为中心”的发展理念，综合运用调研、视察、执法检查等方式开展监督，促进“一府一委两院”工作更加规范有序高效。坚持精准监督、有效监督，努力提高监督实效，推动经济社会高质量发展，保障人民共享发展成果。</w:t>
            </w:r>
          </w:p>
          <w:p>
            <w:pPr>
              <w:spacing w:line="600" w:lineRule="exact"/>
              <w:ind w:firstLine="480" w:firstLineChars="200"/>
              <w:rPr>
                <w:rFonts w:hint="eastAsia" w:ascii="仿宋_GB2312" w:hAnsi="仿宋_GB2312" w:eastAsia="仿宋_GB2312" w:cs="仿宋_GB2312"/>
                <w:b w:val="0"/>
                <w:bCs w:val="0"/>
                <w:color w:val="2B2B2B"/>
                <w:sz w:val="24"/>
                <w:shd w:val="clear" w:color="auto" w:fill="FFFFFF"/>
              </w:rPr>
            </w:pPr>
            <w:r>
              <w:rPr>
                <w:rFonts w:hint="eastAsia" w:ascii="仿宋_GB2312" w:hAnsi="仿宋_GB2312" w:eastAsia="仿宋_GB2312" w:cs="仿宋_GB2312"/>
                <w:b w:val="0"/>
                <w:bCs w:val="0"/>
                <w:color w:val="2B2B2B"/>
                <w:sz w:val="24"/>
                <w:shd w:val="clear" w:color="auto" w:fill="FFFFFF"/>
              </w:rPr>
              <w:t>聚焦</w:t>
            </w:r>
            <w:r>
              <w:rPr>
                <w:rFonts w:hint="eastAsia" w:ascii="仿宋_GB2312" w:hAnsi="仿宋_GB2312" w:eastAsia="仿宋_GB2312" w:cs="仿宋_GB2312"/>
                <w:b w:val="0"/>
                <w:bCs w:val="0"/>
                <w:color w:val="2B2B2B"/>
                <w:sz w:val="24"/>
                <w:shd w:val="clear" w:color="auto" w:fill="FFFFFF"/>
                <w:lang w:eastAsia="zh-CN"/>
              </w:rPr>
              <w:t>经济</w:t>
            </w:r>
            <w:r>
              <w:rPr>
                <w:rFonts w:hint="eastAsia" w:ascii="仿宋_GB2312" w:hAnsi="仿宋_GB2312" w:eastAsia="仿宋_GB2312" w:cs="仿宋_GB2312"/>
                <w:b w:val="0"/>
                <w:bCs w:val="0"/>
                <w:color w:val="2B2B2B"/>
                <w:sz w:val="24"/>
                <w:shd w:val="clear" w:color="auto" w:fill="FFFFFF"/>
              </w:rPr>
              <w:t>发展。围绕稳经济，听取和审议计划执行、预决算、审计、国有资产管理、政府债券资金安排等报告，推动审计查出问题整改落实，调研乡镇财政预算执行情况，组织举办乡镇财政预算监督业务培训班，加强预算全口径审查和全过程监管，进一步提高财政资金使用绩效，强化政府债务监督，守牢风险底线，推动全县经济平稳有序运行。围绕强支撑，听取和审议民营经济发展、农村电商主体培育等报告，督促政府千方百计保市场主体，增添市场活力；开展“五好园区”高质量发展调研，听取《湖南省高新技术发展条例》实施情况、人才引进工作情况等报告，进一步优化营商环境，增强创新创造能力，积蓄人才动能。围绕兴文旅，开展全域旅游示范区创建专题视察，推动整合旅游资源，加大巴陵历史文化挖掘和红色旅游资源保护利用，岳阳县旅游目的地整体实力显著提升。</w:t>
            </w:r>
          </w:p>
          <w:p>
            <w:pPr>
              <w:spacing w:line="600" w:lineRule="exact"/>
              <w:ind w:firstLine="480" w:firstLineChars="200"/>
              <w:rPr>
                <w:rFonts w:hint="eastAsia" w:ascii="仿宋_GB2312" w:hAnsi="仿宋_GB2312" w:eastAsia="仿宋_GB2312" w:cs="仿宋_GB2312"/>
                <w:b w:val="0"/>
                <w:bCs w:val="0"/>
                <w:color w:val="2B2B2B"/>
                <w:sz w:val="24"/>
                <w:shd w:val="clear" w:color="auto" w:fill="FFFFFF"/>
              </w:rPr>
            </w:pPr>
            <w:r>
              <w:rPr>
                <w:rFonts w:hint="eastAsia" w:ascii="仿宋_GB2312" w:hAnsi="仿宋_GB2312" w:eastAsia="仿宋_GB2312" w:cs="仿宋_GB2312"/>
                <w:b w:val="0"/>
                <w:bCs w:val="0"/>
                <w:color w:val="2B2B2B"/>
                <w:sz w:val="24"/>
                <w:shd w:val="clear" w:color="auto" w:fill="FFFFFF"/>
              </w:rPr>
              <w:t>聚焦民生改善。紧扣人民共富，紧盯群众最急、最忧、最盼问题主动调研、推动解决，竭心尽力增进群众福祉。紧盯学前教育事业发展，赴6个乡镇开展专题调研，推进审议意见整改落实，督促加快农村公办幼儿园新建、改扩建进度，全县普惠性学前教育资源覆盖率达94.24%，农村幼儿“入园难”“入园远”问题得到有效缓解。紧盯农业基础设施建设，开展高标准农田建设专项视察，听取和审议县政府专题汇报，督促县政府按项目规划加快建设，农业发展基础条件不断改善，全国粮食先进县地位更加稳固；紧盯其他事业均衡发展，围绕乡村振兴、退役军人服务保障体系建设、“双减”工作落实、医疗保障、移民后扶政策落实、县人民政府承诺“十件民生实事”等重点民生项目开展专项监督，把民生实事真正办到群众心坎上。</w:t>
            </w:r>
          </w:p>
          <w:p>
            <w:pPr>
              <w:spacing w:line="600" w:lineRule="exact"/>
              <w:ind w:firstLine="480" w:firstLineChars="200"/>
              <w:rPr>
                <w:rFonts w:ascii="仿宋_GB2312" w:hAnsi="仿宋_GB2312" w:eastAsia="仿宋_GB2312" w:cs="仿宋_GB2312"/>
                <w:b w:val="0"/>
                <w:bCs w:val="0"/>
                <w:color w:val="2B2B2B"/>
                <w:sz w:val="24"/>
                <w:shd w:val="clear" w:color="auto" w:fill="FFFFFF"/>
              </w:rPr>
            </w:pPr>
            <w:r>
              <w:rPr>
                <w:rFonts w:hint="eastAsia" w:ascii="仿宋_GB2312" w:hAnsi="仿宋_GB2312" w:eastAsia="仿宋_GB2312" w:cs="仿宋_GB2312"/>
                <w:b w:val="0"/>
                <w:bCs w:val="0"/>
                <w:color w:val="2B2B2B"/>
                <w:sz w:val="24"/>
                <w:shd w:val="clear" w:color="auto" w:fill="FFFFFF"/>
              </w:rPr>
              <w:t>聚焦生态环保。主动配合市人大制订《岳阳市铁山水库饮用水水源保护条例》，听取县政府贯彻《中华人民共和国环境保护法》《湖南省环境保护条例》情况、省环保督察“回头看”及东洞庭湖生态环境保护专项督察反馈问题整改情况、城镇污水处理和湿地保护工作情况的报告，主任会议成员定期深入一线督查，调研矿山整治、林长制、田长制等工作，开展东洞庭湖保护暨禁捕退捕工作专题视察，推动解决渣土堆场、湿地违建、非法捕猎等突出问题，坚决扛牢“守护好一江碧水”政治责任。</w:t>
            </w:r>
          </w:p>
          <w:p>
            <w:pPr>
              <w:spacing w:line="600" w:lineRule="exact"/>
              <w:ind w:firstLine="480" w:firstLineChars="200"/>
              <w:rPr>
                <w:rFonts w:ascii="仿宋_GB2312" w:hAnsi="仿宋_GB2312" w:eastAsia="仿宋_GB2312" w:cs="仿宋_GB2312"/>
                <w:b w:val="0"/>
                <w:bCs w:val="0"/>
                <w:color w:val="2B2B2B"/>
                <w:sz w:val="24"/>
                <w:shd w:val="clear" w:color="auto" w:fill="FFFFFF"/>
              </w:rPr>
            </w:pPr>
            <w:r>
              <w:rPr>
                <w:rFonts w:hint="eastAsia" w:ascii="仿宋_GB2312" w:hAnsi="仿宋_GB2312" w:eastAsia="仿宋_GB2312" w:cs="仿宋_GB2312"/>
                <w:b w:val="0"/>
                <w:bCs w:val="0"/>
                <w:color w:val="2B2B2B"/>
                <w:sz w:val="24"/>
                <w:shd w:val="clear" w:color="auto" w:fill="FFFFFF"/>
              </w:rPr>
              <w:t xml:space="preserve">聚焦法治建设。积极推进配合立法、严格执法、公正司法、全民守法，法治岳阳县建设成效明显。开展规范性文件备案审查66件。积极配合省市人大开展立法调研和意见征求活动，协助高标准建好新开镇人大基层立法联系点。开展《中华人民共和国残疾人保障法》《宗教事务条例》等执法检查，保障残疾人就业等合法权益，依法规范宗教事务管理。在常委会会议上对12名员额法官、检察官进行履职评议，在全市率先打造公益诉讼“云平台”，率先出台《关于加强监督司法机关的司法执法工作实施办法》。听取和审议打击治理电信网络诈骗、依法治县等工作报告，督促政法机关加大打击性侵未成年人犯罪力度。听取县监察委员会关于粮食购销领域腐败问题专项整治工作情况报告，推动建设“清廉粮仓”。引导全民守法，组织开展“国家宪法日”活动，推进宪法学习进机关、进学校、进社区。   </w:t>
            </w:r>
          </w:p>
          <w:p>
            <w:pPr>
              <w:spacing w:line="600" w:lineRule="exact"/>
              <w:ind w:firstLine="480" w:firstLineChars="200"/>
              <w:rPr>
                <w:rFonts w:hint="eastAsia" w:ascii="仿宋_GB2312" w:hAnsi="仿宋_GB2312" w:eastAsia="仿宋_GB2312" w:cs="仿宋_GB2312"/>
                <w:b w:val="0"/>
                <w:bCs w:val="0"/>
                <w:color w:val="FF0000"/>
                <w:sz w:val="24"/>
                <w:shd w:val="clear" w:color="auto" w:fill="FFFFFF"/>
                <w:lang w:eastAsia="zh-CN"/>
              </w:rPr>
            </w:pPr>
            <w:r>
              <w:rPr>
                <w:rFonts w:hint="eastAsia" w:ascii="仿宋_GB2312" w:hAnsi="仿宋_GB2312" w:eastAsia="仿宋_GB2312" w:cs="仿宋_GB2312"/>
                <w:b w:val="0"/>
                <w:bCs w:val="0"/>
                <w:color w:val="2B2B2B"/>
                <w:sz w:val="24"/>
                <w:shd w:val="clear" w:color="auto" w:fill="FFFFFF"/>
              </w:rPr>
              <w:t>聚焦规范履职。启届以来，共召开8次常委会会议、14次主任会议，听取和审议“一府一委两院”工作报告21个，作出决定、决议13项，提出专题审议意见38条，组织执法检查3次，开展“民族团结进步行”“三湘行”等专题活动7次，开展专项工作视察5次，对县政府2名副职和9个部门单位进行工作评议，依法任免国家机关工作人员118人次</w:t>
            </w:r>
            <w:r>
              <w:rPr>
                <w:rFonts w:hint="eastAsia" w:ascii="仿宋_GB2312" w:hAnsi="仿宋_GB2312" w:eastAsia="仿宋_GB2312" w:cs="仿宋_GB2312"/>
                <w:b w:val="0"/>
                <w:bCs w:val="0"/>
                <w:color w:val="2B2B2B"/>
                <w:sz w:val="24"/>
                <w:shd w:val="clear" w:color="auto" w:fill="FFFFFF"/>
                <w:lang w:eastAsia="zh-CN"/>
              </w:rPr>
              <w:t>。</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四、部门（单位）整体支出绩效情况</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（一）始终坚持党的领导。</w:t>
            </w:r>
          </w:p>
          <w:p>
            <w:pPr>
              <w:spacing w:line="600" w:lineRule="exact"/>
              <w:ind w:firstLine="480" w:firstLineChars="200"/>
              <w:rPr>
                <w:rFonts w:hint="eastAsia" w:ascii="仿宋_GB2312" w:hAnsi="仿宋_GB2312" w:eastAsia="仿宋_GB2312" w:cs="仿宋_GB2312"/>
                <w:b w:val="0"/>
                <w:bCs w:val="0"/>
                <w:color w:val="2B2B2B"/>
                <w:sz w:val="24"/>
                <w:shd w:val="clear" w:color="auto" w:fill="FFFFFF"/>
              </w:rPr>
            </w:pPr>
            <w:r>
              <w:rPr>
                <w:rFonts w:hint="eastAsia" w:ascii="仿宋_GB2312" w:hAnsi="仿宋_GB2312" w:eastAsia="仿宋_GB2312" w:cs="仿宋_GB2312"/>
                <w:b w:val="0"/>
                <w:bCs w:val="0"/>
                <w:color w:val="2B2B2B"/>
                <w:sz w:val="24"/>
                <w:shd w:val="clear" w:color="auto" w:fill="FFFFFF"/>
              </w:rPr>
              <w:t>县人大常委会把重大事项、重要情况及时向县委请示报告作为严肃的政治要求，人大监督、任免、决定等重要工作及时向县委请示报告。坚决贯彻落实县委人事意图，确保了党组织提名的人选通过法定程序成为国家机关工作人员。真正做到了党委的工作重心在哪里，人大工作就跟进到哪里，力量就汇聚到哪里，作用就发挥到哪里。</w:t>
            </w:r>
          </w:p>
          <w:p>
            <w:pPr>
              <w:spacing w:line="600" w:lineRule="exact"/>
              <w:ind w:left="420" w:left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（二）全力服务中心工作。</w:t>
            </w:r>
          </w:p>
          <w:p>
            <w:pPr>
              <w:numPr>
                <w:ilvl w:val="0"/>
                <w:numId w:val="0"/>
              </w:numPr>
              <w:spacing w:line="600" w:lineRule="exact"/>
              <w:ind w:firstLine="480" w:firstLineChars="200"/>
              <w:rPr>
                <w:rFonts w:hint="eastAsia" w:ascii="仿宋_GB2312" w:hAnsi="仿宋_GB2312" w:eastAsia="仿宋_GB2312" w:cs="仿宋_GB2312"/>
                <w:b w:val="0"/>
                <w:bCs w:val="0"/>
                <w:color w:val="FF0000"/>
                <w:sz w:val="24"/>
                <w:shd w:val="clear" w:color="auto" w:fill="FFFFFF"/>
              </w:rPr>
            </w:pPr>
            <w:r>
              <w:rPr>
                <w:rFonts w:hint="eastAsia" w:ascii="仿宋_GB2312" w:hAnsi="仿宋_GB2312" w:eastAsia="仿宋_GB2312" w:cs="仿宋_GB2312"/>
                <w:b w:val="0"/>
                <w:bCs w:val="0"/>
                <w:color w:val="auto"/>
                <w:sz w:val="24"/>
                <w:shd w:val="clear" w:color="auto" w:fill="FFFFFF"/>
              </w:rPr>
              <w:t>坚决贯彻县委决策部署，依法决定重大事项，审查批准计划、决算、预算调整方案和临港产业区总体规划。始终与党委同向，主任会议成员积极助推城乡供水一体化、岳阳现代农业科技创新园、春风大道（G240）岳雅段提质改造、XJ04岳黄线、岳阳太空营、新开湘北物流园和龙湾商贸物流产业园、鹿角临港产业园等项目建设，机关干部主动投入疫情防控、乡村振兴、抗旱救灾、森林防火、社会维稳、企业帮扶、文明创建等中心工作。</w:t>
            </w:r>
          </w:p>
          <w:p>
            <w:pPr>
              <w:numPr>
                <w:ilvl w:val="0"/>
                <w:numId w:val="3"/>
              </w:numPr>
              <w:spacing w:line="600" w:lineRule="exact"/>
              <w:ind w:left="0" w:leftChars="0" w:firstLine="480" w:firstLineChars="200"/>
              <w:rPr>
                <w:rFonts w:hint="eastAsia" w:ascii="仿宋_GB2312" w:hAnsi="仿宋_GB2312" w:eastAsia="仿宋_GB2312" w:cs="仿宋_GB2312"/>
                <w:b w:val="0"/>
                <w:bCs w:val="0"/>
                <w:color w:val="auto"/>
                <w:sz w:val="24"/>
                <w:shd w:val="clear" w:color="auto" w:fill="FFFFFF"/>
              </w:rPr>
            </w:pPr>
            <w:r>
              <w:rPr>
                <w:rFonts w:hint="eastAsia" w:ascii="仿宋_GB2312" w:hAnsi="仿宋_GB2312" w:eastAsia="仿宋_GB2312" w:cs="仿宋_GB2312"/>
                <w:b w:val="0"/>
                <w:bCs w:val="0"/>
                <w:color w:val="auto"/>
                <w:sz w:val="24"/>
                <w:shd w:val="clear" w:color="auto" w:fill="FFFFFF"/>
              </w:rPr>
              <w:t>坚持理论武装。把学习贯彻党的二十大精神和习近平新时代中国特色社会主义思想作为首要政治任务，一体纳入常委会集体学习、专委会专题学习、人大代表履职学习、机关干部日常学习。自觉落实“第一议题”制度，第一时间传达学习中央、省市县重要会议、文件精神，学习贯彻习近平总书记重要讲话精神、《习近平谈治国理政》（第四卷）等，组织集中宣讲、主题研讨、党课讲座等33次，切实把“两个确立”的政治成果转化为坚决做到“两个维护”的政治自觉。</w:t>
            </w:r>
          </w:p>
          <w:p>
            <w:pPr>
              <w:numPr>
                <w:ilvl w:val="0"/>
                <w:numId w:val="3"/>
              </w:numPr>
              <w:spacing w:line="600" w:lineRule="exact"/>
              <w:ind w:left="0" w:leftChars="0"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不断加强自身建设。</w:t>
            </w:r>
          </w:p>
          <w:p>
            <w:pPr>
              <w:spacing w:line="560" w:lineRule="exact"/>
              <w:ind w:firstLine="480" w:firstLineChars="200"/>
              <w:rPr>
                <w:rFonts w:hint="eastAsia" w:ascii="仿宋_GB2312" w:hAnsi="仿宋_GB2312" w:eastAsia="仿宋_GB2312" w:cs="仿宋_GB2312"/>
                <w:b w:val="0"/>
                <w:bCs w:val="0"/>
                <w:color w:val="2B2B2B"/>
                <w:sz w:val="24"/>
                <w:shd w:val="clear" w:color="auto" w:fill="FFFFFF"/>
              </w:rPr>
            </w:pPr>
            <w:r>
              <w:rPr>
                <w:rFonts w:hint="eastAsia" w:ascii="仿宋_GB2312" w:hAnsi="仿宋_GB2312" w:eastAsia="仿宋_GB2312" w:cs="仿宋_GB2312"/>
                <w:b w:val="0"/>
                <w:bCs w:val="0"/>
                <w:color w:val="2B2B2B"/>
                <w:sz w:val="24"/>
                <w:shd w:val="clear" w:color="auto" w:fill="FFFFFF"/>
              </w:rPr>
              <w:t>县人大常委会党组认真执行党的领导各项制度，切实发挥好把方向、管大局、保落实的领导作用。以“五创”促党建。坚持创品牌、创方法、创标杆、创体系、创质效，夯实党建主体责任，强化党风廉政建设，推进“四亮”创建，建设“清廉机关”，打造“履职为民排头兵”机关党建品牌、岗位品牌、活动品牌。以“四抓”优作风。坚持抓思想认识、抓自查自纠、抓预防惩治、抓建章立制，不断优化干部作风。以“三讲”强队伍。坚持讲政治意识、讲为民意识、讲法律意识，打造政治坚定、服务人民、崇尚法治、发扬民主、勤勉尽责的人大工作队伍。</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（一）监督管理机制还有待加强。</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（二）财务工作是一个单位的命脉，财务精细化管理要求越来越高，对我单位财务人员工作水平也提出了新的挑战。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（三）会计基础工作还需要不断完善，决算报表数据与单位实际情况存在小误差。</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六、改进措施和有关建议</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（二）进一步完善财务制度，规范财经纪律。</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（三）财务工作人员的业务能力要与时俱进，不断加强学习，县财政局多组织业务方面的培训，包括“走出去”，到异地专业院校封闭培训</w:t>
            </w:r>
            <w:r>
              <w:rPr>
                <w:rFonts w:ascii="仿宋_GB2312" w:hAnsi="仿宋_GB2312" w:eastAsia="仿宋_GB2312"/>
                <w:sz w:val="24"/>
              </w:rPr>
              <w:t>,</w:t>
            </w:r>
            <w:r>
              <w:rPr>
                <w:rFonts w:hint="eastAsia" w:ascii="仿宋_GB2312" w:hAnsi="仿宋_GB2312" w:eastAsia="仿宋_GB2312"/>
                <w:sz w:val="24"/>
              </w:rPr>
              <w:t>同时可去外地预算单位学习好的账务经验。</w:t>
            </w:r>
          </w:p>
          <w:p>
            <w:pPr>
              <w:rPr>
                <w:rFonts w:ascii="黑体" w:hAnsi="黑体" w:eastAsia="黑体" w:cs="黑体"/>
                <w:sz w:val="24"/>
              </w:rPr>
            </w:pPr>
          </w:p>
          <w:p>
            <w:pPr>
              <w:spacing w:line="560" w:lineRule="exact"/>
              <w:rPr>
                <w:rFonts w:ascii="仿宋_GB2312" w:hAnsi="仿宋_GB2312" w:eastAsia="仿宋_GB2312"/>
                <w:sz w:val="24"/>
              </w:rPr>
            </w:pPr>
            <w:r>
              <w:rPr>
                <w:rFonts w:ascii="黑体" w:hAnsi="黑体" w:eastAsia="黑体" w:cs="黑体"/>
                <w:sz w:val="24"/>
              </w:rPr>
              <w:t xml:space="preserve"> </w:t>
            </w:r>
            <w:r>
              <w:rPr>
                <w:rFonts w:ascii="仿宋_GB2312" w:hAnsi="仿宋_GB2312" w:eastAsia="仿宋_GB2312"/>
                <w:sz w:val="24"/>
              </w:rPr>
              <w:t xml:space="preserve">                                </w:t>
            </w:r>
            <w:r>
              <w:rPr>
                <w:rFonts w:hint="eastAsia" w:ascii="仿宋_GB2312" w:hAnsi="仿宋_GB2312" w:eastAsia="仿宋_GB2312"/>
                <w:sz w:val="24"/>
                <w:lang w:val="en-US" w:eastAsia="zh-CN"/>
              </w:rPr>
              <w:t xml:space="preserve">            </w:t>
            </w:r>
            <w:r>
              <w:rPr>
                <w:rFonts w:ascii="仿宋_GB2312" w:hAnsi="仿宋_GB2312" w:eastAsia="仿宋_GB2312"/>
                <w:sz w:val="24"/>
              </w:rPr>
              <w:t>20</w:t>
            </w:r>
            <w:r>
              <w:rPr>
                <w:rFonts w:hint="eastAsia" w:ascii="仿宋_GB2312" w:hAnsi="仿宋_GB2312" w:eastAsia="仿宋_GB2312"/>
                <w:sz w:val="24"/>
                <w:lang w:val="en-US" w:eastAsia="zh-CN"/>
              </w:rPr>
              <w:t>23</w:t>
            </w:r>
            <w:r>
              <w:rPr>
                <w:rFonts w:hint="eastAsia" w:ascii="仿宋" w:hAnsi="仿宋" w:eastAsia="仿宋" w:cs="仿宋"/>
                <w:sz w:val="24"/>
              </w:rPr>
              <w:t>年</w:t>
            </w:r>
            <w:r>
              <w:rPr>
                <w:rFonts w:ascii="仿宋" w:hAnsi="仿宋" w:eastAsia="仿宋" w:cs="仿宋"/>
                <w:sz w:val="24"/>
              </w:rPr>
              <w:t>07</w:t>
            </w:r>
            <w:r>
              <w:rPr>
                <w:rFonts w:hint="eastAsia" w:ascii="仿宋" w:hAnsi="仿宋" w:eastAsia="仿宋" w:cs="仿宋"/>
                <w:sz w:val="24"/>
              </w:rPr>
              <w:t>月</w:t>
            </w:r>
            <w:r>
              <w:rPr>
                <w:rFonts w:ascii="仿宋" w:hAnsi="仿宋" w:eastAsia="仿宋" w:cs="仿宋"/>
                <w:sz w:val="24"/>
              </w:rPr>
              <w:t>12</w:t>
            </w:r>
            <w:r>
              <w:rPr>
                <w:rFonts w:hint="eastAsia" w:ascii="仿宋" w:hAnsi="仿宋" w:eastAsia="仿宋" w:cs="仿宋"/>
                <w:sz w:val="24"/>
              </w:rPr>
              <w:t>日</w:t>
            </w: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附件1-2</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人员编制数</w:t>
            </w:r>
            <w:r>
              <w:rPr>
                <w:rFonts w:hint="eastAsia" w:ascii="仿宋_GB2312" w:eastAsia="仿宋_GB2312"/>
                <w:color w:val="000000"/>
                <w:sz w:val="18"/>
                <w:szCs w:val="18"/>
                <w:lang w:val="en-US" w:eastAsia="zh-CN"/>
              </w:rPr>
              <w:t>46</w:t>
            </w:r>
            <w:r>
              <w:rPr>
                <w:rFonts w:hint="eastAsia" w:ascii="仿宋_GB2312" w:eastAsia="仿宋_GB2312"/>
                <w:color w:val="000000"/>
                <w:sz w:val="18"/>
                <w:szCs w:val="18"/>
              </w:rPr>
              <w:t>人，在职人数</w:t>
            </w:r>
            <w:r>
              <w:rPr>
                <w:rFonts w:hint="eastAsia" w:ascii="仿宋_GB2312" w:eastAsia="仿宋_GB2312"/>
                <w:color w:val="000000"/>
                <w:sz w:val="18"/>
                <w:szCs w:val="18"/>
                <w:lang w:val="en-US" w:eastAsia="zh-CN"/>
              </w:rPr>
              <w:t>46</w:t>
            </w:r>
            <w:r>
              <w:rPr>
                <w:rFonts w:hint="eastAsia" w:ascii="仿宋_GB2312" w:eastAsia="仿宋_GB2312"/>
                <w:color w:val="000000"/>
                <w:sz w:val="18"/>
                <w:szCs w:val="18"/>
              </w:rPr>
              <w:t>人，在职人员控制率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，未超编，根据评分标准，得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149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本年度三公经费</w:t>
            </w:r>
            <w:r>
              <w:rPr>
                <w:rFonts w:ascii="仿宋_GB2312" w:eastAsia="仿宋_GB2312"/>
                <w:color w:val="000000"/>
                <w:sz w:val="18"/>
                <w:szCs w:val="18"/>
              </w:rPr>
              <w:t xml:space="preserve"> 1.</w:t>
            </w:r>
            <w:r>
              <w:rPr>
                <w:rFonts w:hint="eastAsia" w:ascii="仿宋_GB2312" w:eastAsia="仿宋_GB2312"/>
                <w:color w:val="000000"/>
                <w:sz w:val="18"/>
                <w:szCs w:val="18"/>
                <w:lang w:val="en-US" w:eastAsia="zh-CN"/>
              </w:rPr>
              <w:t>45</w:t>
            </w:r>
            <w:r>
              <w:rPr>
                <w:rFonts w:hint="eastAsia" w:ascii="仿宋_GB2312" w:eastAsia="仿宋_GB2312"/>
                <w:color w:val="000000"/>
                <w:sz w:val="18"/>
                <w:szCs w:val="18"/>
              </w:rPr>
              <w:t>万元，上年度三公经费</w:t>
            </w:r>
            <w:r>
              <w:rPr>
                <w:rFonts w:hint="eastAsia" w:ascii="仿宋_GB2312" w:eastAsia="仿宋_GB2312"/>
                <w:color w:val="000000"/>
                <w:sz w:val="18"/>
                <w:szCs w:val="18"/>
                <w:lang w:val="en-US" w:eastAsia="zh-CN"/>
              </w:rPr>
              <w:t>5.04</w:t>
            </w:r>
            <w:r>
              <w:rPr>
                <w:rFonts w:hint="eastAsia" w:ascii="仿宋_GB2312" w:eastAsia="仿宋_GB2312"/>
                <w:color w:val="000000"/>
                <w:sz w:val="18"/>
                <w:szCs w:val="18"/>
              </w:rPr>
              <w:t>万元。</w:t>
            </w:r>
            <w:r>
              <w:rPr>
                <w:rFonts w:ascii="仿宋_GB2312" w:eastAsia="仿宋_GB2312"/>
                <w:color w:val="000000"/>
                <w:sz w:val="18"/>
                <w:szCs w:val="18"/>
              </w:rPr>
              <w:br w:type="textWrapping"/>
            </w:r>
            <w:r>
              <w:rPr>
                <w:rFonts w:hint="eastAsia" w:ascii="仿宋_GB2312" w:eastAsia="仿宋_GB2312"/>
                <w:color w:val="000000"/>
                <w:sz w:val="18"/>
                <w:szCs w:val="18"/>
              </w:rPr>
              <w:t>“三公经费”变动率</w:t>
            </w:r>
            <w:r>
              <w:rPr>
                <w:rFonts w:hint="eastAsia" w:ascii="仿宋_GB2312" w:eastAsia="仿宋_GB2312"/>
                <w:color w:val="000000"/>
                <w:sz w:val="18"/>
                <w:szCs w:val="18"/>
                <w:lang w:eastAsia="zh-CN"/>
              </w:rPr>
              <w:t>小于</w:t>
            </w:r>
            <w:r>
              <w:rPr>
                <w:rFonts w:ascii="仿宋_GB2312" w:eastAsia="仿宋_GB2312"/>
                <w:color w:val="000000"/>
                <w:sz w:val="18"/>
                <w:szCs w:val="18"/>
              </w:rPr>
              <w:t>0</w:t>
            </w:r>
            <w:r>
              <w:rPr>
                <w:rFonts w:ascii="仿宋_GB2312" w:eastAsia="仿宋_GB2312"/>
                <w:color w:val="000000"/>
                <w:sz w:val="18"/>
                <w:szCs w:val="18"/>
              </w:rPr>
              <w:br w:type="textWrapping"/>
            </w:r>
            <w:r>
              <w:rPr>
                <w:rFonts w:hint="eastAsia" w:ascii="仿宋_GB2312" w:eastAsia="仿宋_GB2312"/>
                <w:color w:val="000000"/>
                <w:sz w:val="18"/>
                <w:szCs w:val="18"/>
              </w:rPr>
              <w:t>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预算调整大于</w:t>
            </w:r>
            <w:r>
              <w:rPr>
                <w:rFonts w:ascii="仿宋_GB2312" w:hAnsi="宋体" w:eastAsia="仿宋_GB2312" w:cs="宋体"/>
                <w:color w:val="000000"/>
                <w:sz w:val="18"/>
                <w:szCs w:val="18"/>
              </w:rPr>
              <w:t>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有结余但结余不超过上年结转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三公经费预算数</w:t>
            </w:r>
            <w:r>
              <w:rPr>
                <w:rFonts w:hint="eastAsia" w:ascii="仿宋_GB2312" w:eastAsia="仿宋_GB2312"/>
                <w:color w:val="000000"/>
                <w:sz w:val="18"/>
                <w:szCs w:val="18"/>
                <w:lang w:val="en-US" w:eastAsia="zh-CN"/>
              </w:rPr>
              <w:t>7.5</w:t>
            </w:r>
            <w:r>
              <w:rPr>
                <w:rFonts w:hint="eastAsia" w:ascii="仿宋_GB2312" w:eastAsia="仿宋_GB2312"/>
                <w:color w:val="000000"/>
                <w:sz w:val="18"/>
                <w:szCs w:val="18"/>
              </w:rPr>
              <w:t>万元，实际支出</w:t>
            </w:r>
            <w:r>
              <w:rPr>
                <w:rFonts w:hint="eastAsia" w:ascii="仿宋_GB2312" w:eastAsia="仿宋_GB2312"/>
                <w:color w:val="000000"/>
                <w:sz w:val="18"/>
                <w:szCs w:val="18"/>
                <w:lang w:val="en-US" w:eastAsia="zh-CN"/>
              </w:rPr>
              <w:t>1.45</w:t>
            </w:r>
            <w:r>
              <w:rPr>
                <w:rFonts w:hint="eastAsia" w:ascii="仿宋_GB2312" w:eastAsia="仿宋_GB2312"/>
                <w:color w:val="000000"/>
                <w:sz w:val="18"/>
                <w:szCs w:val="18"/>
              </w:rPr>
              <w:t>万元，三公经费控制率</w:t>
            </w:r>
            <w:r>
              <w:rPr>
                <w:rFonts w:ascii="仿宋_GB2312" w:eastAsia="仿宋_GB2312"/>
                <w:color w:val="000000"/>
                <w:sz w:val="18"/>
                <w:szCs w:val="18"/>
              </w:rPr>
              <w:t>10%</w:t>
            </w:r>
            <w:r>
              <w:rPr>
                <w:rFonts w:hint="eastAsia" w:ascii="仿宋_GB2312" w:eastAsia="仿宋_GB2312"/>
                <w:color w:val="000000"/>
                <w:sz w:val="18"/>
                <w:szCs w:val="18"/>
              </w:rPr>
              <w:t>，三公经费控制率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，得</w:t>
            </w:r>
            <w:r>
              <w:rPr>
                <w:rFonts w:ascii="仿宋_GB2312" w:eastAsia="仿宋_GB2312"/>
                <w:color w:val="000000"/>
                <w:sz w:val="18"/>
                <w:szCs w:val="18"/>
              </w:rPr>
              <w:t>6</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bl>
    <w:p>
      <w:r>
        <w:t xml:space="preserve">     </w:t>
      </w:r>
    </w:p>
    <w:p/>
    <w:p/>
    <w:p/>
    <w:p/>
    <w:p/>
    <w:p/>
    <w:p/>
    <w:p/>
    <w:p/>
    <w:p/>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w:t>
            </w:r>
            <w:r>
              <w:rPr>
                <w:rFonts w:ascii="仿宋_GB2312" w:hAnsi="宋体" w:eastAsia="仿宋_GB2312" w:cs="宋体"/>
                <w:color w:val="000000"/>
                <w:kern w:val="0"/>
                <w:sz w:val="18"/>
                <w:szCs w:val="18"/>
              </w:rPr>
              <w:t>2019</w:t>
            </w:r>
            <w:r>
              <w:rPr>
                <w:rFonts w:hint="eastAsia" w:ascii="仿宋_GB2312" w:hAnsi="宋体" w:eastAsia="仿宋_GB2312" w:cs="宋体"/>
                <w:color w:val="000000"/>
                <w:kern w:val="0"/>
                <w:sz w:val="18"/>
                <w:szCs w:val="18"/>
              </w:rPr>
              <w:t>年）</w:t>
            </w:r>
            <w:r>
              <w:rPr>
                <w:rFonts w:ascii="仿宋_GB2312" w:hAnsi="宋体" w:eastAsia="仿宋_GB2312" w:cs="宋体"/>
                <w:color w:val="000000"/>
                <w:kern w:val="0"/>
                <w:sz w:val="18"/>
                <w:szCs w:val="18"/>
              </w:rPr>
              <w:t>1</w:t>
            </w:r>
            <w:r>
              <w:rPr>
                <w:rFonts w:hint="eastAsia" w:ascii="仿宋_GB2312" w:hAnsi="宋体" w:eastAsia="仿宋_GB2312" w:cs="宋体"/>
                <w:color w:val="000000"/>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岳阳县2022年度财政项目支出绩效</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rPr>
        <w:t>岳阳县财政局（制）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spacing w:before="156" w:beforeLines="50"/>
        <w:rPr>
          <w:rFonts w:hint="eastAsia" w:ascii="仿宋_GB2312" w:hAnsi="宋体" w:eastAsia="仿宋_GB2312" w:cs="宋体"/>
          <w:kern w:val="0"/>
          <w:szCs w:val="21"/>
        </w:rPr>
      </w:pPr>
      <w:r>
        <w:rPr>
          <w:rFonts w:hint="eastAsia" w:ascii="黑体" w:hAnsi="黑体" w:eastAsia="黑体"/>
          <w:sz w:val="32"/>
          <w:szCs w:val="32"/>
        </w:rPr>
        <w:t>附件2-2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8"/>
        <w:tblW w:w="9701" w:type="dxa"/>
        <w:jc w:val="center"/>
        <w:tblLayout w:type="fixed"/>
        <w:tblCellMar>
          <w:top w:w="0" w:type="dxa"/>
          <w:left w:w="108" w:type="dxa"/>
          <w:bottom w:w="0" w:type="dxa"/>
          <w:right w:w="108" w:type="dxa"/>
        </w:tblCellMar>
      </w:tblPr>
      <w:tblGrid>
        <w:gridCol w:w="583"/>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58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583" w:type="dxa"/>
            <w:vMerge w:val="restart"/>
            <w:tcBorders>
              <w:top w:val="nil"/>
              <w:left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98" w:hRule="atLeast"/>
          <w:jc w:val="center"/>
        </w:trPr>
        <w:tc>
          <w:tcPr>
            <w:tcW w:w="583"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583"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583"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583"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58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58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58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jc w:val="right"/>
        <w:rPr>
          <w:rFonts w:hint="eastAsia" w:eastAsia="仿宋_GB2312"/>
          <w:sz w:val="32"/>
        </w:rPr>
      </w:pPr>
    </w:p>
    <w:p>
      <w:pPr>
        <w:adjustRightInd w:val="0"/>
        <w:snapToGrid w:val="0"/>
        <w:spacing w:line="200" w:lineRule="exact"/>
        <w:contextualSpacing/>
        <w:rPr>
          <w:rFonts w:hint="eastAsia" w:eastAsia="仿宋_GB2312"/>
          <w:sz w:val="32"/>
        </w:rPr>
      </w:pPr>
    </w:p>
    <w:p>
      <w:pPr>
        <w:adjustRightInd w:val="0"/>
        <w:snapToGrid w:val="0"/>
        <w:spacing w:line="400" w:lineRule="exact"/>
        <w:contextualSpacing/>
        <w:rPr>
          <w:rFonts w:hint="eastAsia" w:ascii="黑体" w:hAnsi="黑体" w:eastAsia="黑体"/>
          <w:sz w:val="32"/>
          <w:szCs w:val="32"/>
        </w:rPr>
      </w:pPr>
      <w:r>
        <w:rPr>
          <w:rFonts w:eastAsia="仿宋_GB2312"/>
          <w:sz w:val="32"/>
        </w:rPr>
        <w:br w:type="page"/>
      </w:r>
      <w:r>
        <w:rPr>
          <w:rFonts w:hint="eastAsia" w:ascii="黑体" w:hAnsi="黑体" w:eastAsia="黑体"/>
          <w:sz w:val="32"/>
          <w:szCs w:val="32"/>
        </w:rPr>
        <w:t>附件3</w:t>
      </w:r>
    </w:p>
    <w:p>
      <w:pPr>
        <w:adjustRightInd w:val="0"/>
        <w:snapToGrid w:val="0"/>
        <w:spacing w:line="400" w:lineRule="exact"/>
        <w:contextualSpacing/>
        <w:jc w:val="center"/>
        <w:rPr>
          <w:rFonts w:hint="eastAsia" w:ascii="方正小标宋简体" w:eastAsia="方正小标宋简体"/>
          <w:sz w:val="38"/>
          <w:szCs w:val="38"/>
        </w:rPr>
      </w:pPr>
      <w:r>
        <w:rPr>
          <w:rFonts w:hint="eastAsia" w:ascii="方正小标宋简体" w:eastAsia="方正小标宋简体"/>
          <w:sz w:val="38"/>
          <w:szCs w:val="38"/>
        </w:rPr>
        <w:t>岳阳县2022年度财政项目绩效自评明细表</w:t>
      </w:r>
    </w:p>
    <w:p>
      <w:pPr>
        <w:adjustRightInd w:val="0"/>
        <w:snapToGrid w:val="0"/>
        <w:spacing w:line="400" w:lineRule="exact"/>
        <w:contextualSpacing/>
        <w:jc w:val="right"/>
        <w:rPr>
          <w:rFonts w:eastAsia="仿宋_GB2312"/>
          <w:sz w:val="32"/>
        </w:rPr>
      </w:pPr>
      <w:r>
        <w:rPr>
          <w:rFonts w:hint="eastAsia" w:eastAsia="仿宋_GB2312"/>
          <w:sz w:val="32"/>
        </w:rPr>
        <w:tab/>
      </w:r>
      <w:r>
        <w:rPr>
          <w:rFonts w:hint="eastAsia" w:eastAsia="仿宋_GB2312"/>
          <w:sz w:val="32"/>
        </w:rPr>
        <w:tab/>
      </w:r>
      <w:r>
        <w:rPr>
          <w:rFonts w:hint="eastAsia" w:eastAsia="仿宋_GB2312"/>
          <w:sz w:val="32"/>
        </w:rPr>
        <w:t xml:space="preserve"> </w:t>
      </w:r>
      <w:r>
        <w:rPr>
          <w:rFonts w:hint="eastAsia" w:eastAsia="仿宋_GB2312"/>
          <w:sz w:val="28"/>
          <w:szCs w:val="28"/>
        </w:rPr>
        <w:t>单位：万元</w:t>
      </w:r>
    </w:p>
    <w:tbl>
      <w:tblPr>
        <w:tblStyle w:val="8"/>
        <w:tblW w:w="9240" w:type="dxa"/>
        <w:tblInd w:w="100" w:type="dxa"/>
        <w:tblLayout w:type="autofit"/>
        <w:tblCellMar>
          <w:top w:w="0" w:type="dxa"/>
          <w:left w:w="108" w:type="dxa"/>
          <w:bottom w:w="0" w:type="dxa"/>
          <w:right w:w="108" w:type="dxa"/>
        </w:tblCellMar>
      </w:tblPr>
      <w:tblGrid>
        <w:gridCol w:w="1400"/>
        <w:gridCol w:w="760"/>
        <w:gridCol w:w="3820"/>
        <w:gridCol w:w="1180"/>
        <w:gridCol w:w="2080"/>
      </w:tblGrid>
      <w:tr>
        <w:tblPrEx>
          <w:tblCellMar>
            <w:top w:w="0" w:type="dxa"/>
            <w:left w:w="108" w:type="dxa"/>
            <w:bottom w:w="0" w:type="dxa"/>
            <w:right w:w="108" w:type="dxa"/>
          </w:tblCellMar>
        </w:tblPrEx>
        <w:trPr>
          <w:trHeight w:val="675" w:hRule="atLeast"/>
          <w:tblHeader/>
        </w:trPr>
        <w:tc>
          <w:tcPr>
            <w:tcW w:w="1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2"/>
                <w:szCs w:val="22"/>
              </w:rPr>
            </w:pPr>
            <w:r>
              <w:rPr>
                <w:rFonts w:hint="eastAsia" w:ascii="宋体" w:hAnsi="宋体" w:cs="宋体"/>
                <w:b/>
                <w:kern w:val="0"/>
                <w:sz w:val="22"/>
                <w:szCs w:val="22"/>
              </w:rPr>
              <w:t>主管部门及实施单位</w:t>
            </w:r>
          </w:p>
        </w:tc>
        <w:tc>
          <w:tcPr>
            <w:tcW w:w="7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382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kern w:val="0"/>
                <w:sz w:val="22"/>
                <w:szCs w:val="22"/>
              </w:rPr>
            </w:pPr>
            <w:r>
              <w:rPr>
                <w:rFonts w:hint="eastAsia" w:ascii="宋体" w:hAnsi="宋体" w:cs="宋体"/>
                <w:b/>
                <w:kern w:val="0"/>
                <w:sz w:val="22"/>
                <w:szCs w:val="22"/>
              </w:rPr>
              <w:t>项目内容</w:t>
            </w:r>
          </w:p>
        </w:tc>
        <w:tc>
          <w:tcPr>
            <w:tcW w:w="11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2"/>
                <w:szCs w:val="22"/>
              </w:rPr>
            </w:pPr>
            <w:r>
              <w:rPr>
                <w:rFonts w:hint="eastAsia" w:ascii="宋体" w:hAnsi="宋体" w:cs="宋体"/>
                <w:b/>
                <w:kern w:val="0"/>
                <w:sz w:val="22"/>
                <w:szCs w:val="22"/>
              </w:rPr>
              <w:t>金  额</w:t>
            </w:r>
          </w:p>
        </w:tc>
        <w:tc>
          <w:tcPr>
            <w:tcW w:w="20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2"/>
                <w:szCs w:val="22"/>
              </w:rPr>
            </w:pPr>
            <w:r>
              <w:rPr>
                <w:rFonts w:hint="eastAsia" w:ascii="宋体" w:hAnsi="宋体" w:cs="宋体"/>
                <w:b/>
                <w:kern w:val="0"/>
                <w:sz w:val="22"/>
                <w:szCs w:val="22"/>
              </w:rPr>
              <w:t>资金性质</w:t>
            </w:r>
          </w:p>
        </w:tc>
      </w:tr>
      <w:tr>
        <w:tblPrEx>
          <w:tblCellMar>
            <w:top w:w="0" w:type="dxa"/>
            <w:left w:w="108" w:type="dxa"/>
            <w:bottom w:w="0" w:type="dxa"/>
            <w:right w:w="108" w:type="dxa"/>
          </w:tblCellMar>
        </w:tblPrEx>
        <w:trPr>
          <w:trHeight w:val="480" w:hRule="atLeast"/>
        </w:trPr>
        <w:tc>
          <w:tcPr>
            <w:tcW w:w="1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教体局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危房改造经费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196</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校车配套经费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241.5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义务教育专项经费</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1081</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边远山区教师津贴</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205.5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职业教育专项</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70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特教专项</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100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寄宿生补助</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91</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公办普通高中生均公用经费</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269</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公费师范生定向培训</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157</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教育质量专项奖励</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160.2</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学前教育均生公用经费</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251</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非贫困县乡村中小学教师人才津贴</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234</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中小学教育肺结核筛查</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70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教育保安经费</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乡镇校园安防</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64</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校车运行监控维护</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40.5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师训费</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370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38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学前教育城乡一体化建设项目</w:t>
            </w:r>
          </w:p>
        </w:tc>
        <w:tc>
          <w:tcPr>
            <w:tcW w:w="118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23100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政府性基金预算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科技局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科技创新服务平台建设项目</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70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住建局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城市生活污水处理</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1114</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政府性基金预算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建设市场执法监管费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420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22</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乡镇污水处理</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1240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政府性基金预算</w:t>
            </w:r>
          </w:p>
        </w:tc>
      </w:tr>
      <w:tr>
        <w:tblPrEx>
          <w:tblCellMar>
            <w:top w:w="0" w:type="dxa"/>
            <w:left w:w="108" w:type="dxa"/>
            <w:bottom w:w="0" w:type="dxa"/>
            <w:right w:w="108" w:type="dxa"/>
          </w:tblCellMar>
        </w:tblPrEx>
        <w:trPr>
          <w:trHeight w:val="480" w:hRule="atLeast"/>
        </w:trPr>
        <w:tc>
          <w:tcPr>
            <w:tcW w:w="1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交通局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23</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公路养护</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700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政府性基金预算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24</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2022年安防工程地方配套资金</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500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政府性基金预算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25</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通乡公路</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739</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政府性基金预算</w:t>
            </w:r>
          </w:p>
        </w:tc>
      </w:tr>
      <w:tr>
        <w:tblPrEx>
          <w:tblCellMar>
            <w:top w:w="0" w:type="dxa"/>
            <w:left w:w="108" w:type="dxa"/>
            <w:bottom w:w="0" w:type="dxa"/>
            <w:right w:w="108" w:type="dxa"/>
          </w:tblCellMar>
        </w:tblPrEx>
        <w:trPr>
          <w:trHeight w:val="480" w:hRule="atLeast"/>
        </w:trPr>
        <w:tc>
          <w:tcPr>
            <w:tcW w:w="1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公路养护中心</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26</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岳阳县果浓小镇建设公路配套工程</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265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27</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步仙镇狮山村至安山村乡村道路改造</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132</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农业农村局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28</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农村环境整治</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1563.4</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29</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农业产业发展资金</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795.6</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30</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省级农产品质量安全示范县创建经费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120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31</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“百千万”工程</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150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32</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厕所革命经费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360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33</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农业保险配套</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388</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34</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粮食生产专项资金</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673</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乡村振兴局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35</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新建户厕配套资金</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168</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政府性基金预算</w:t>
            </w:r>
          </w:p>
        </w:tc>
      </w:tr>
      <w:tr>
        <w:tblPrEx>
          <w:tblCellMar>
            <w:top w:w="0" w:type="dxa"/>
            <w:left w:w="108" w:type="dxa"/>
            <w:bottom w:w="0" w:type="dxa"/>
            <w:right w:w="108" w:type="dxa"/>
          </w:tblCellMar>
        </w:tblPrEx>
        <w:trPr>
          <w:trHeight w:val="480" w:hRule="atLeast"/>
        </w:trPr>
        <w:tc>
          <w:tcPr>
            <w:tcW w:w="1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林业局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36</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林长制工作经费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355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37</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森林防火</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160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渔政局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38</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渔民产业帮扶</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123.8</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畜牧水产发展服务中心</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39</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病死动物无害化处理运行及补助</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285.5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40</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重大动物疫苗购置</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30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高新技术产业园</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41</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污水处理厂污水处理费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677</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政府性基金预算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残联</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42</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残疾人就业保障</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210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民政局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43</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惠民殡葬补助经费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245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卫生健康局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44</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基本卫生均等化服务配套经费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566.3</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45</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两癌免费检查经费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126</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46</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新型冠状病毒肺炎疫情防控</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2389</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政府性基金预算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商粮局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47</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荣湾粮库县级粮食储备经费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180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组织部</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48</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人才发展专项资金</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418</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49</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干部教育培训</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103.5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宣传部</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50</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文明创建</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330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应急管理局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51</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打非执法</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52</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退役军人事务局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52</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义务兵优待金</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284.4</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政法委</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53</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保平安经费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433</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铁山水资源保护局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54</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"两保"专项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31</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大云山管理处</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55</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文化旅游发展专项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2872</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司法局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56</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社区矫正</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45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市场局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57</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市场监督管理执法</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231</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58</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食品安全检测经费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140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59</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市场监管专项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149.5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60</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食品药品检验及监管</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127</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供销社</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61</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供销改革经费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100</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城管局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62</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城市管理执法</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155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63</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城乡垃圾处理费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1122.75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64</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城市基础设施运行维护经费</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744.5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65</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城区环境卫生</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227</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水利局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66</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水利秋冬修</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1180.7</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w:t>
            </w:r>
          </w:p>
        </w:tc>
      </w:tr>
      <w:tr>
        <w:tblPrEx>
          <w:tblCellMar>
            <w:top w:w="0" w:type="dxa"/>
            <w:left w:w="108" w:type="dxa"/>
            <w:bottom w:w="0" w:type="dxa"/>
            <w:right w:w="108" w:type="dxa"/>
          </w:tblCellMar>
        </w:tblPrEx>
        <w:trPr>
          <w:trHeight w:val="480" w:hRule="atLeast"/>
        </w:trPr>
        <w:tc>
          <w:tcPr>
            <w:tcW w:w="1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医保局</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67</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城乡居民医保</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5315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社会保险基金预算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68</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事业养老保险</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17723</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社会保险基金预算</w:t>
            </w:r>
          </w:p>
        </w:tc>
      </w:tr>
      <w:tr>
        <w:tblPrEx>
          <w:tblCellMar>
            <w:top w:w="0" w:type="dxa"/>
            <w:left w:w="108" w:type="dxa"/>
            <w:bottom w:w="0" w:type="dxa"/>
            <w:right w:w="108" w:type="dxa"/>
          </w:tblCellMar>
        </w:tblPrEx>
        <w:trPr>
          <w:trHeight w:val="480" w:hRule="atLeast"/>
        </w:trPr>
        <w:tc>
          <w:tcPr>
            <w:tcW w:w="1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69</w:t>
            </w:r>
          </w:p>
        </w:tc>
        <w:tc>
          <w:tcPr>
            <w:tcW w:w="38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城乡居民养老</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1811</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社会保险基金预算</w:t>
            </w:r>
          </w:p>
        </w:tc>
      </w:tr>
      <w:tr>
        <w:tblPrEx>
          <w:tblCellMar>
            <w:top w:w="0" w:type="dxa"/>
            <w:left w:w="108" w:type="dxa"/>
            <w:bottom w:w="0" w:type="dxa"/>
            <w:right w:w="108" w:type="dxa"/>
          </w:tblCellMar>
        </w:tblPrEx>
        <w:trPr>
          <w:trHeight w:val="480" w:hRule="atLeast"/>
        </w:trPr>
        <w:tc>
          <w:tcPr>
            <w:tcW w:w="140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8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75101.65</w:t>
            </w:r>
          </w:p>
        </w:tc>
        <w:tc>
          <w:tcPr>
            <w:tcW w:w="20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adjustRightInd w:val="0"/>
        <w:snapToGrid w:val="0"/>
        <w:spacing w:line="200" w:lineRule="exact"/>
        <w:contextualSpacing/>
        <w:rPr>
          <w:rFonts w:hint="eastAsia" w:eastAsia="仿宋_GB2312"/>
          <w:sz w:val="32"/>
        </w:rPr>
      </w:pPr>
    </w:p>
    <w:p>
      <w:pPr>
        <w:spacing w:beforeLines="50"/>
        <w:rPr>
          <w:rFonts w:ascii="黑体" w:hAnsi="黑体" w:eastAsia="黑体"/>
          <w:sz w:val="32"/>
          <w:szCs w:val="32"/>
        </w:rPr>
      </w:pPr>
    </w:p>
    <w:p>
      <w:pPr>
        <w:adjustRightInd w:val="0"/>
        <w:snapToGrid w:val="0"/>
        <w:spacing w:line="200" w:lineRule="exact"/>
        <w:jc w:val="right"/>
        <w:rPr>
          <w:rFonts w:eastAsia="仿宋_GB2312"/>
          <w:sz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21"/>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MzBlMTlmYjk0MjcwNzBkN2M4NTdiYTZjZmE4MmIifQ=="/>
  </w:docVars>
  <w:rsids>
    <w:rsidRoot w:val="00C854FD"/>
    <w:rsid w:val="0000241F"/>
    <w:rsid w:val="00003A9B"/>
    <w:rsid w:val="000056A6"/>
    <w:rsid w:val="00005A3B"/>
    <w:rsid w:val="00005BA8"/>
    <w:rsid w:val="0000610C"/>
    <w:rsid w:val="00014921"/>
    <w:rsid w:val="00036EA4"/>
    <w:rsid w:val="0005701C"/>
    <w:rsid w:val="00073AAF"/>
    <w:rsid w:val="000757F8"/>
    <w:rsid w:val="0007680C"/>
    <w:rsid w:val="00090417"/>
    <w:rsid w:val="00093B20"/>
    <w:rsid w:val="000A0E5C"/>
    <w:rsid w:val="000B12D0"/>
    <w:rsid w:val="000B33C3"/>
    <w:rsid w:val="000B4BEB"/>
    <w:rsid w:val="000B7DCB"/>
    <w:rsid w:val="000E3309"/>
    <w:rsid w:val="000E377B"/>
    <w:rsid w:val="000E61CD"/>
    <w:rsid w:val="00100175"/>
    <w:rsid w:val="00107CC6"/>
    <w:rsid w:val="00122C2E"/>
    <w:rsid w:val="00130C71"/>
    <w:rsid w:val="0014350A"/>
    <w:rsid w:val="001442A2"/>
    <w:rsid w:val="00146C23"/>
    <w:rsid w:val="00151B82"/>
    <w:rsid w:val="00157862"/>
    <w:rsid w:val="001634CA"/>
    <w:rsid w:val="00165E89"/>
    <w:rsid w:val="00167786"/>
    <w:rsid w:val="0017192D"/>
    <w:rsid w:val="001977ED"/>
    <w:rsid w:val="001A21D5"/>
    <w:rsid w:val="001A709B"/>
    <w:rsid w:val="001B0CF4"/>
    <w:rsid w:val="001B1869"/>
    <w:rsid w:val="001B2F7F"/>
    <w:rsid w:val="001B4EA7"/>
    <w:rsid w:val="001C4AD7"/>
    <w:rsid w:val="001C5954"/>
    <w:rsid w:val="001D3E93"/>
    <w:rsid w:val="001E26FB"/>
    <w:rsid w:val="001E39C6"/>
    <w:rsid w:val="001F2104"/>
    <w:rsid w:val="001F4F64"/>
    <w:rsid w:val="002027AC"/>
    <w:rsid w:val="002265B9"/>
    <w:rsid w:val="002318F0"/>
    <w:rsid w:val="00232EF8"/>
    <w:rsid w:val="00235B3A"/>
    <w:rsid w:val="00240F9A"/>
    <w:rsid w:val="00242262"/>
    <w:rsid w:val="00247FCB"/>
    <w:rsid w:val="00250D52"/>
    <w:rsid w:val="00253B1F"/>
    <w:rsid w:val="00254CF8"/>
    <w:rsid w:val="00255404"/>
    <w:rsid w:val="00257104"/>
    <w:rsid w:val="00257206"/>
    <w:rsid w:val="00292AC1"/>
    <w:rsid w:val="0029605B"/>
    <w:rsid w:val="002969D6"/>
    <w:rsid w:val="002A1388"/>
    <w:rsid w:val="002B26F1"/>
    <w:rsid w:val="002B569D"/>
    <w:rsid w:val="002B7EF4"/>
    <w:rsid w:val="002C4D24"/>
    <w:rsid w:val="002D5840"/>
    <w:rsid w:val="002F0D7B"/>
    <w:rsid w:val="002F281E"/>
    <w:rsid w:val="00312339"/>
    <w:rsid w:val="00315C29"/>
    <w:rsid w:val="00317858"/>
    <w:rsid w:val="00321BAB"/>
    <w:rsid w:val="00321D2B"/>
    <w:rsid w:val="0033659F"/>
    <w:rsid w:val="00351AD3"/>
    <w:rsid w:val="00354479"/>
    <w:rsid w:val="00356458"/>
    <w:rsid w:val="0039290C"/>
    <w:rsid w:val="00392F62"/>
    <w:rsid w:val="00394BC2"/>
    <w:rsid w:val="003A2363"/>
    <w:rsid w:val="003A2FC5"/>
    <w:rsid w:val="003B7876"/>
    <w:rsid w:val="003C36DD"/>
    <w:rsid w:val="003D1FD8"/>
    <w:rsid w:val="003E4F5E"/>
    <w:rsid w:val="004036B5"/>
    <w:rsid w:val="00414580"/>
    <w:rsid w:val="004222D1"/>
    <w:rsid w:val="00422E14"/>
    <w:rsid w:val="00430153"/>
    <w:rsid w:val="00432C79"/>
    <w:rsid w:val="0043358D"/>
    <w:rsid w:val="00440BD4"/>
    <w:rsid w:val="004503BD"/>
    <w:rsid w:val="00461395"/>
    <w:rsid w:val="00466871"/>
    <w:rsid w:val="00477933"/>
    <w:rsid w:val="00492BDA"/>
    <w:rsid w:val="004A2B08"/>
    <w:rsid w:val="004A44EA"/>
    <w:rsid w:val="004A51DC"/>
    <w:rsid w:val="004A671C"/>
    <w:rsid w:val="004B76D6"/>
    <w:rsid w:val="004C73DE"/>
    <w:rsid w:val="004D5728"/>
    <w:rsid w:val="004E0A8E"/>
    <w:rsid w:val="004E3BE9"/>
    <w:rsid w:val="004F4339"/>
    <w:rsid w:val="005072C9"/>
    <w:rsid w:val="00513037"/>
    <w:rsid w:val="00516F00"/>
    <w:rsid w:val="005210E6"/>
    <w:rsid w:val="00530E15"/>
    <w:rsid w:val="005314BA"/>
    <w:rsid w:val="005422E5"/>
    <w:rsid w:val="0054679D"/>
    <w:rsid w:val="005477E5"/>
    <w:rsid w:val="00560BC9"/>
    <w:rsid w:val="00563755"/>
    <w:rsid w:val="00566F17"/>
    <w:rsid w:val="00584139"/>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74081"/>
    <w:rsid w:val="00676644"/>
    <w:rsid w:val="006841C9"/>
    <w:rsid w:val="00684A12"/>
    <w:rsid w:val="00684E4B"/>
    <w:rsid w:val="00690485"/>
    <w:rsid w:val="00696545"/>
    <w:rsid w:val="006A5D82"/>
    <w:rsid w:val="006B6330"/>
    <w:rsid w:val="006C1055"/>
    <w:rsid w:val="006D5B93"/>
    <w:rsid w:val="006D65AD"/>
    <w:rsid w:val="006E7307"/>
    <w:rsid w:val="006F5735"/>
    <w:rsid w:val="006F5FD4"/>
    <w:rsid w:val="007204BA"/>
    <w:rsid w:val="007225D2"/>
    <w:rsid w:val="00735258"/>
    <w:rsid w:val="00742DAE"/>
    <w:rsid w:val="007461B3"/>
    <w:rsid w:val="00764B34"/>
    <w:rsid w:val="00774D83"/>
    <w:rsid w:val="007829F0"/>
    <w:rsid w:val="007865A2"/>
    <w:rsid w:val="007C77EE"/>
    <w:rsid w:val="007D5B9F"/>
    <w:rsid w:val="007D63FD"/>
    <w:rsid w:val="007E1392"/>
    <w:rsid w:val="007E6513"/>
    <w:rsid w:val="007F487F"/>
    <w:rsid w:val="00815FBF"/>
    <w:rsid w:val="00840351"/>
    <w:rsid w:val="00841CD0"/>
    <w:rsid w:val="00847D60"/>
    <w:rsid w:val="00860AFD"/>
    <w:rsid w:val="00873CD8"/>
    <w:rsid w:val="008A2E6B"/>
    <w:rsid w:val="008A7515"/>
    <w:rsid w:val="008B4633"/>
    <w:rsid w:val="008C039F"/>
    <w:rsid w:val="008E1F76"/>
    <w:rsid w:val="008E2ACB"/>
    <w:rsid w:val="008E57E1"/>
    <w:rsid w:val="008F5E0B"/>
    <w:rsid w:val="009006A1"/>
    <w:rsid w:val="00900E3F"/>
    <w:rsid w:val="009123D8"/>
    <w:rsid w:val="00925486"/>
    <w:rsid w:val="00946FE7"/>
    <w:rsid w:val="00952065"/>
    <w:rsid w:val="00956508"/>
    <w:rsid w:val="00957360"/>
    <w:rsid w:val="00962EF0"/>
    <w:rsid w:val="00970A24"/>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05B9D"/>
    <w:rsid w:val="00A13259"/>
    <w:rsid w:val="00A16D05"/>
    <w:rsid w:val="00A30E83"/>
    <w:rsid w:val="00A4501D"/>
    <w:rsid w:val="00A51512"/>
    <w:rsid w:val="00A51AA2"/>
    <w:rsid w:val="00A54BCA"/>
    <w:rsid w:val="00A61FD7"/>
    <w:rsid w:val="00A726C3"/>
    <w:rsid w:val="00A76673"/>
    <w:rsid w:val="00A87BCE"/>
    <w:rsid w:val="00A93BD6"/>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65D3D"/>
    <w:rsid w:val="00B92E17"/>
    <w:rsid w:val="00B9518E"/>
    <w:rsid w:val="00BA392F"/>
    <w:rsid w:val="00BB1C78"/>
    <w:rsid w:val="00BB378C"/>
    <w:rsid w:val="00BB3C71"/>
    <w:rsid w:val="00BB6CF4"/>
    <w:rsid w:val="00BD02C0"/>
    <w:rsid w:val="00BD1DDD"/>
    <w:rsid w:val="00C101ED"/>
    <w:rsid w:val="00C11953"/>
    <w:rsid w:val="00C12B4A"/>
    <w:rsid w:val="00C32332"/>
    <w:rsid w:val="00C3281A"/>
    <w:rsid w:val="00C33347"/>
    <w:rsid w:val="00C354BD"/>
    <w:rsid w:val="00C37D62"/>
    <w:rsid w:val="00C704A3"/>
    <w:rsid w:val="00C71B07"/>
    <w:rsid w:val="00C74701"/>
    <w:rsid w:val="00C81D9F"/>
    <w:rsid w:val="00C8229B"/>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0492"/>
    <w:rsid w:val="00D523D6"/>
    <w:rsid w:val="00D54888"/>
    <w:rsid w:val="00D54CCA"/>
    <w:rsid w:val="00D57623"/>
    <w:rsid w:val="00D77EE9"/>
    <w:rsid w:val="00D81B1D"/>
    <w:rsid w:val="00D917CF"/>
    <w:rsid w:val="00D96AE9"/>
    <w:rsid w:val="00DA0456"/>
    <w:rsid w:val="00DB4700"/>
    <w:rsid w:val="00DB5442"/>
    <w:rsid w:val="00DB7907"/>
    <w:rsid w:val="00DC10F5"/>
    <w:rsid w:val="00DD1EB3"/>
    <w:rsid w:val="00DF1C77"/>
    <w:rsid w:val="00E142CB"/>
    <w:rsid w:val="00E241DC"/>
    <w:rsid w:val="00E3477D"/>
    <w:rsid w:val="00E35E48"/>
    <w:rsid w:val="00E40ED6"/>
    <w:rsid w:val="00E4198B"/>
    <w:rsid w:val="00E63914"/>
    <w:rsid w:val="00E95B71"/>
    <w:rsid w:val="00EB35F4"/>
    <w:rsid w:val="00EC2083"/>
    <w:rsid w:val="00EC40AF"/>
    <w:rsid w:val="00EC4115"/>
    <w:rsid w:val="00EC6E79"/>
    <w:rsid w:val="00EC6F27"/>
    <w:rsid w:val="00ED7ACA"/>
    <w:rsid w:val="00EE315F"/>
    <w:rsid w:val="00EE67E1"/>
    <w:rsid w:val="00F30C63"/>
    <w:rsid w:val="00F32262"/>
    <w:rsid w:val="00F435F8"/>
    <w:rsid w:val="00F46C79"/>
    <w:rsid w:val="00F60EC8"/>
    <w:rsid w:val="00F61205"/>
    <w:rsid w:val="00F766DE"/>
    <w:rsid w:val="00F81CBB"/>
    <w:rsid w:val="00F947E3"/>
    <w:rsid w:val="00F9527E"/>
    <w:rsid w:val="00FA6EE7"/>
    <w:rsid w:val="00FB16AF"/>
    <w:rsid w:val="00FB1B08"/>
    <w:rsid w:val="00FB2BA1"/>
    <w:rsid w:val="00FD21C0"/>
    <w:rsid w:val="00FD640B"/>
    <w:rsid w:val="00FD640E"/>
    <w:rsid w:val="00FD708D"/>
    <w:rsid w:val="00FF2D16"/>
    <w:rsid w:val="00FF3258"/>
    <w:rsid w:val="00FF541B"/>
    <w:rsid w:val="00FF605E"/>
    <w:rsid w:val="0118167C"/>
    <w:rsid w:val="08724EF8"/>
    <w:rsid w:val="09612FEB"/>
    <w:rsid w:val="0A35381C"/>
    <w:rsid w:val="0C816BCA"/>
    <w:rsid w:val="0D59372F"/>
    <w:rsid w:val="0DDC7AB4"/>
    <w:rsid w:val="120345BF"/>
    <w:rsid w:val="12BD0462"/>
    <w:rsid w:val="13D14802"/>
    <w:rsid w:val="1E91399D"/>
    <w:rsid w:val="1EF41429"/>
    <w:rsid w:val="218E2416"/>
    <w:rsid w:val="231F6615"/>
    <w:rsid w:val="23EA4FC7"/>
    <w:rsid w:val="2A20620A"/>
    <w:rsid w:val="2F090E05"/>
    <w:rsid w:val="30C970B9"/>
    <w:rsid w:val="32AD175A"/>
    <w:rsid w:val="34607C42"/>
    <w:rsid w:val="3BB645EB"/>
    <w:rsid w:val="3E1201FF"/>
    <w:rsid w:val="46CD67B1"/>
    <w:rsid w:val="482644BA"/>
    <w:rsid w:val="4C3C1F60"/>
    <w:rsid w:val="4EB70692"/>
    <w:rsid w:val="4EE20642"/>
    <w:rsid w:val="5293098C"/>
    <w:rsid w:val="547D6660"/>
    <w:rsid w:val="569E7770"/>
    <w:rsid w:val="58806554"/>
    <w:rsid w:val="5A87676F"/>
    <w:rsid w:val="5CC84698"/>
    <w:rsid w:val="5DE426F9"/>
    <w:rsid w:val="63930623"/>
    <w:rsid w:val="647911E3"/>
    <w:rsid w:val="65E510F8"/>
    <w:rsid w:val="6B364C7D"/>
    <w:rsid w:val="6D4641BE"/>
    <w:rsid w:val="6EED4FF7"/>
    <w:rsid w:val="6FBE7937"/>
    <w:rsid w:val="6FED3976"/>
    <w:rsid w:val="70206DF3"/>
    <w:rsid w:val="72323CC5"/>
    <w:rsid w:val="72376DD1"/>
    <w:rsid w:val="725E4C39"/>
    <w:rsid w:val="72C37759"/>
    <w:rsid w:val="73AB42EF"/>
    <w:rsid w:val="75B20967"/>
    <w:rsid w:val="78055032"/>
    <w:rsid w:val="78526DE1"/>
    <w:rsid w:val="797B7842"/>
    <w:rsid w:val="79873CA8"/>
    <w:rsid w:val="7B762E74"/>
    <w:rsid w:val="7BEE1267"/>
    <w:rsid w:val="7C22291F"/>
    <w:rsid w:val="7C4C461D"/>
    <w:rsid w:val="7CD51E1C"/>
    <w:rsid w:val="7D1B1B51"/>
    <w:rsid w:val="7DAF7934"/>
    <w:rsid w:val="7DC75005"/>
    <w:rsid w:val="7DCF1645"/>
    <w:rsid w:val="7E603EF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ate"/>
    <w:basedOn w:val="1"/>
    <w:next w:val="1"/>
    <w:link w:val="17"/>
    <w:semiHidden/>
    <w:qFormat/>
    <w:uiPriority w:val="99"/>
    <w:pPr>
      <w:ind w:left="100" w:leftChars="2500"/>
    </w:pPr>
  </w:style>
  <w:style w:type="paragraph" w:styleId="4">
    <w:name w:val="Body Text Indent 2"/>
    <w:basedOn w:val="1"/>
    <w:link w:val="18"/>
    <w:semiHidden/>
    <w:qFormat/>
    <w:uiPriority w:val="99"/>
    <w:pPr>
      <w:ind w:firstLine="588" w:firstLineChars="200"/>
    </w:pPr>
    <w:rPr>
      <w:rFonts w:ascii="仿宋_GB2312" w:hAnsi="Calibri" w:eastAsia="仿宋_GB2312"/>
      <w:sz w:val="32"/>
    </w:rPr>
  </w:style>
  <w:style w:type="paragraph" w:styleId="5">
    <w:name w:val="footer"/>
    <w:basedOn w:val="1"/>
    <w:link w:val="16"/>
    <w:semiHidden/>
    <w:qFormat/>
    <w:uiPriority w:val="99"/>
    <w:pPr>
      <w:tabs>
        <w:tab w:val="center" w:pos="4153"/>
        <w:tab w:val="right" w:pos="8306"/>
      </w:tabs>
      <w:snapToGrid w:val="0"/>
      <w:jc w:val="left"/>
    </w:pPr>
    <w:rPr>
      <w:kern w:val="0"/>
      <w:sz w:val="18"/>
      <w:szCs w:val="18"/>
    </w:rPr>
  </w:style>
  <w:style w:type="paragraph" w:styleId="6">
    <w:name w:val="header"/>
    <w:basedOn w:val="1"/>
    <w:link w:val="14"/>
    <w:semiHidden/>
    <w:qFormat/>
    <w:uiPriority w:val="99"/>
    <w:pP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locked/>
    <w:uiPriority w:val="99"/>
    <w:rPr>
      <w:rFonts w:cs="Times New Roman"/>
      <w:b/>
    </w:rPr>
  </w:style>
  <w:style w:type="character" w:styleId="11">
    <w:name w:val="page number"/>
    <w:qFormat/>
    <w:uiPriority w:val="0"/>
  </w:style>
  <w:style w:type="character" w:styleId="12">
    <w:name w:val="FollowedHyperlink"/>
    <w:basedOn w:val="9"/>
    <w:semiHidden/>
    <w:qFormat/>
    <w:uiPriority w:val="99"/>
    <w:rPr>
      <w:rFonts w:cs="Times New Roman"/>
      <w:color w:val="800080"/>
      <w:u w:val="single"/>
    </w:rPr>
  </w:style>
  <w:style w:type="character" w:styleId="13">
    <w:name w:val="Hyperlink"/>
    <w:basedOn w:val="9"/>
    <w:semiHidden/>
    <w:qFormat/>
    <w:uiPriority w:val="99"/>
    <w:rPr>
      <w:rFonts w:cs="Times New Roman"/>
      <w:color w:val="0000FF"/>
      <w:u w:val="single"/>
    </w:rPr>
  </w:style>
  <w:style w:type="character" w:customStyle="1" w:styleId="14">
    <w:name w:val="Header Char"/>
    <w:basedOn w:val="9"/>
    <w:link w:val="6"/>
    <w:semiHidden/>
    <w:qFormat/>
    <w:locked/>
    <w:uiPriority w:val="99"/>
    <w:rPr>
      <w:rFonts w:ascii="Times New Roman" w:hAnsi="Times New Roman" w:eastAsia="宋体" w:cs="Times New Roman"/>
      <w:sz w:val="18"/>
      <w:szCs w:val="18"/>
    </w:rPr>
  </w:style>
  <w:style w:type="character" w:customStyle="1" w:styleId="15">
    <w:name w:val="Footer Char"/>
    <w:basedOn w:val="9"/>
    <w:link w:val="5"/>
    <w:semiHidden/>
    <w:qFormat/>
    <w:locked/>
    <w:uiPriority w:val="99"/>
    <w:rPr>
      <w:rFonts w:ascii="Times New Roman" w:hAnsi="Times New Roman" w:eastAsia="宋体" w:cs="Times New Roman"/>
      <w:kern w:val="0"/>
      <w:sz w:val="18"/>
      <w:szCs w:val="18"/>
    </w:rPr>
  </w:style>
  <w:style w:type="character" w:customStyle="1" w:styleId="16">
    <w:name w:val="页脚 Char"/>
    <w:basedOn w:val="9"/>
    <w:link w:val="5"/>
    <w:semiHidden/>
    <w:qFormat/>
    <w:locked/>
    <w:uiPriority w:val="99"/>
    <w:rPr>
      <w:rFonts w:ascii="Times New Roman" w:hAnsi="Times New Roman" w:eastAsia="宋体" w:cs="Times New Roman"/>
      <w:sz w:val="18"/>
      <w:szCs w:val="18"/>
    </w:rPr>
  </w:style>
  <w:style w:type="character" w:customStyle="1" w:styleId="17">
    <w:name w:val="Date Char"/>
    <w:basedOn w:val="9"/>
    <w:link w:val="3"/>
    <w:semiHidden/>
    <w:qFormat/>
    <w:locked/>
    <w:uiPriority w:val="99"/>
    <w:rPr>
      <w:rFonts w:ascii="Times New Roman" w:hAnsi="Times New Roman" w:eastAsia="宋体" w:cs="Times New Roman"/>
      <w:sz w:val="24"/>
      <w:szCs w:val="24"/>
    </w:rPr>
  </w:style>
  <w:style w:type="character" w:customStyle="1" w:styleId="18">
    <w:name w:val="Body Text Indent 2 Char"/>
    <w:basedOn w:val="9"/>
    <w:link w:val="4"/>
    <w:semiHidden/>
    <w:qFormat/>
    <w:locked/>
    <w:uiPriority w:val="99"/>
    <w:rPr>
      <w:rFonts w:ascii="仿宋_GB2312" w:hAnsi="Calibri" w:eastAsia="仿宋_GB2312" w:cs="Times New Roman"/>
      <w:sz w:val="24"/>
      <w:szCs w:val="24"/>
    </w:rPr>
  </w:style>
  <w:style w:type="paragraph" w:customStyle="1" w:styleId="19">
    <w:name w:val="Char"/>
    <w:basedOn w:val="1"/>
    <w:qFormat/>
    <w:uiPriority w:val="99"/>
    <w:pPr>
      <w:autoSpaceDE w:val="0"/>
      <w:autoSpaceDN w:val="0"/>
      <w:adjustRightInd w:val="0"/>
    </w:pPr>
    <w:rPr>
      <w:rFonts w:ascii="宋体" w:cs="宋体"/>
      <w:kern w:val="0"/>
      <w:sz w:val="20"/>
      <w:szCs w:val="20"/>
      <w:lang w:val="zh-CN"/>
    </w:rPr>
  </w:style>
  <w:style w:type="paragraph" w:customStyle="1" w:styleId="20">
    <w:name w:val="Char1"/>
    <w:basedOn w:val="1"/>
    <w:qFormat/>
    <w:uiPriority w:val="99"/>
    <w:rPr>
      <w:rFonts w:ascii="仿宋_GB2312" w:eastAsia="仿宋_GB2312"/>
      <w:sz w:val="32"/>
    </w:rPr>
  </w:style>
  <w:style w:type="paragraph" w:customStyle="1" w:styleId="21">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22">
    <w:name w:val="标题 3 Char Char"/>
    <w:qFormat/>
    <w:uiPriority w:val="99"/>
    <w:rPr>
      <w:rFonts w:ascii="楷体_GB2312" w:eastAsia="楷体_GB2312"/>
      <w:b/>
      <w:kern w:val="2"/>
      <w:sz w:val="24"/>
      <w:lang w:val="en-US" w:eastAsia="zh-CN"/>
    </w:rPr>
  </w:style>
  <w:style w:type="paragraph" w:customStyle="1" w:styleId="23">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25</Pages>
  <Words>11433</Words>
  <Characters>12165</Characters>
  <Lines>0</Lines>
  <Paragraphs>0</Paragraphs>
  <TotalTime>80</TotalTime>
  <ScaleCrop>false</ScaleCrop>
  <LinksUpToDate>false</LinksUpToDate>
  <CharactersWithSpaces>13230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大鹏展翅</cp:lastModifiedBy>
  <cp:lastPrinted>2023-06-28T02:58:00Z</cp:lastPrinted>
  <dcterms:modified xsi:type="dcterms:W3CDTF">2023-10-08T07:40:45Z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62DCEE39F83D4558993E6DD9EA4BE5E0_13</vt:lpwstr>
  </property>
</Properties>
</file>