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w:t>
      </w:r>
      <w:r>
        <w:rPr>
          <w:rFonts w:hint="eastAsia" w:eastAsia="方正小标宋简体"/>
          <w:bCs/>
          <w:sz w:val="46"/>
          <w:szCs w:val="46"/>
          <w:u w:val="single"/>
          <w:lang w:val="en-US" w:eastAsia="zh-CN"/>
        </w:rPr>
        <w:t>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hint="eastAsia" w:eastAsia="仿宋_GB2312"/>
          <w:sz w:val="32"/>
          <w:szCs w:val="32"/>
          <w:lang w:eastAsia="zh-CN"/>
        </w:rPr>
        <w:t>岳阳县城市管理和综合执法局</w:t>
      </w:r>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211001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22</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许美阳</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13874053366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城市管理和综合执法工作，对城市市容环境卫生管理、园林绿化建设维护管理、市政公用设施运行管理、城市管理综合执法、控建拆违，城市管理数字化、精细化、智慧化。</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任务1：加强机关党建、文明创建目标绩效考评，党风廉政建设和效能建设等工作；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任务2：加大城区环境卫生治理；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任务3：积极规范城市管理执法行为，实施城市管理行政执法；</w:t>
            </w:r>
          </w:p>
          <w:p>
            <w:pPr>
              <w:autoSpaceDN w:val="0"/>
              <w:spacing w:line="320" w:lineRule="exact"/>
              <w:jc w:val="left"/>
              <w:textAlignment w:val="center"/>
              <w:rPr>
                <w:rFonts w:ascii="仿宋_GB2312" w:hAnsi="仿宋_GB2312" w:eastAsia="仿宋_GB2312" w:cs="仿宋_GB2312"/>
                <w:color w:val="000000"/>
                <w:sz w:val="24"/>
              </w:rPr>
            </w:pPr>
            <w:r>
              <w:t>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5730.69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30.35</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4227.57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1419.94</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52.83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5707.18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3607.28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930.49</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2676.79</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2099.89</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23.51</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0.44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0.44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664.83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664.83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目标1：人员经费足额发放到位；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目标2：经费安排合理支出；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目标3：项目支出专项列支；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目标4：集中整治马路市场、出店经营、乱搭棚亭、油烟扰民等；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目标5：开展创建文明县城复审工作。</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按计划完成任务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财政支出绩效目标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rPr>
                <w:rFonts w:hint="eastAsia"/>
                <w:lang w:val="en-US" w:eastAsia="zh-CN"/>
              </w:rPr>
              <w:t>5730.69</w:t>
            </w:r>
            <w: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t>项目资金如期使用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t>项目成本按计划控制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维护社会和谐稳定</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创造干净、绿色家园</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pPr>
            <w:r>
              <w:t>减少油烟排放摊点</w:t>
            </w:r>
          </w:p>
          <w:p>
            <w:pPr>
              <w:autoSpaceDN w:val="0"/>
              <w:spacing w:line="320" w:lineRule="exact"/>
              <w:jc w:val="left"/>
              <w:textAlignment w:val="center"/>
              <w:rPr>
                <w:rFonts w:ascii="仿宋_GB2312" w:hAnsi="仿宋_GB2312" w:eastAsia="仿宋_GB2312" w:cs="仿宋_GB2312"/>
                <w:color w:val="000000"/>
                <w:sz w:val="24"/>
              </w:rPr>
            </w:pPr>
            <w:r>
              <w:t>禁止城区烟花爆竹燃放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b/>
                <w:color w:val="000000"/>
                <w:sz w:val="24"/>
              </w:rPr>
            </w:pPr>
            <w: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居民满意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rPr>
                <w:rFonts w:hint="eastAsia" w:cs="Times New Roman"/>
                <w:kern w:val="0"/>
                <w:sz w:val="24"/>
                <w:szCs w:val="24"/>
                <w:lang w:val="en-US" w:eastAsia="zh-CN" w:bidi="ar"/>
              </w:rPr>
              <w:t>杨文涛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余洋兵</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许美阳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计财股长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刘莉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岳阳县城市管理和综合执法局设立局办公室、人事股、计划财务股、政策法规股、行政审批股、市容环境卫生管理股、市政公用设施运行管理股、园林绿化建设维护管理股、户外广告股、燃气管理股共10个股室。局下设7个二级机构，其中市容环境卫生服务中心、风景园林绿化建设养护中心、规划监察大队为副科级事业单位，城市管理执法大队、城市管理环境执法大队、市政设施运行维护中心、城市公园广场维护中心为正股级事业单位，同时配属一个公安局城管执法大队（属公安局和我局双重管理），在职人员288人（其中在编人员184人，无编人员104人），退休人员101人,环卫服务中心临聘人员398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（二）部门（单位）整体支出规模、使用方向和主要内容、涉及范围等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1．负责区直有关部门、镇（街道）、社区城市管理和综合执法工作的组织指导、监督检查、考核考评工作。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负责辖区市容市貌的监督管理和综合整治工作；负责辖区户外招牌、建筑物立面和建筑物色彩批后的监督管理招牌指示牌设置及沿街门店商业文化活动占道的审批和监督管理工作；负责对辖区内未依法取得规划许可的建（构）筑物治理方面的全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3．负责辖区城市广场、人行道及管理范围内公共区域静态交通秩序的监督管理工作；负责城市公共停车设施运行监督管理工作。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4．负责辖区环境卫生的监督管理工作；负责辖区环境卫生综合整治和生活垃圾分类指导工作；负责辖区环卫设施设备的建设维护管理工作；负责辖区生活垃圾清扫、收集、运输的监督管理工作；负责建筑垃圾、餐厨垃圾收集、运输、消纳的批后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5．负责组织协调、监督监查全区治违、拆违工作；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6．负责制订管辖范围内市政公用设施大中修和专项维修、园林绿化建设和维护、环卫设施建设和维护、执法装备保障的城市管理项目年度计划，并组织实施。参与管辖范围内城市管理方面政府投资和非经营性建设项目的可行性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7．负责全区市政公用设施运行的监督管理工作；负责区管道路、桥涵及其附属设施运行的监督管理工作；负责辖区城市广场、人行道设置“城市家具”的监督管理工作。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8．负责管辖范围内公园绿地、防护绿地、道路绿地的园林设施建设维护管理；负责全区园林绿化砍伐、移植树木、占用绿地的监督管理工作。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9．负责辖区城市管理数字化、精细化、智慧化的建设和管理工作。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10．负责辖区城市管理和综合执法的行政诉讼应诉工作。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11．负责辖区城市管理综合执法队伍的培训考核工作，负责队容风纪、公正执法、规范执法、文明执法的指导和督查工作。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12．负责岳阳县城区行政管理相对集中行政处罚工作。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13．参与辖区维稳处突、抗洪救灾、森林防火等应急处置工作。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14．承担区城市管理委员会办公室日常工作。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15．承担县委、县政府及上级主管部门交办的其他工作。</w:t>
            </w:r>
          </w:p>
          <w:p>
            <w:pPr>
              <w:numPr>
                <w:ilvl w:val="0"/>
                <w:numId w:val="0"/>
              </w:numPr>
              <w:spacing w:line="560" w:lineRule="exact"/>
              <w:ind w:leftChars="0"/>
              <w:rPr>
                <w:rFonts w:hint="eastAsia" w:ascii="仿宋_GB2312" w:hAnsi="仿宋_GB2312" w:eastAsia="仿宋_GB2312" w:cs="仿宋_GB2312"/>
                <w:bCs/>
                <w:sz w:val="28"/>
                <w:szCs w:val="28"/>
              </w:rPr>
            </w:pP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keepNext w:val="0"/>
              <w:keepLines w:val="0"/>
              <w:pageBreakBefore w:val="0"/>
              <w:numPr>
                <w:ilvl w:val="0"/>
                <w:numId w:val="0"/>
              </w:numPr>
              <w:kinsoku/>
              <w:wordWrap/>
              <w:overflowPunct/>
              <w:topLinePunct w:val="0"/>
              <w:autoSpaceDE/>
              <w:bidi w:val="0"/>
              <w:adjustRightInd/>
              <w:snapToGrid/>
              <w:spacing w:line="460" w:lineRule="exact"/>
              <w:ind w:leftChars="0" w:firstLine="42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t>202</w:t>
            </w:r>
            <w:r>
              <w:rPr>
                <w:rFonts w:hint="eastAsia"/>
                <w:lang w:val="en-US" w:eastAsia="zh-CN"/>
              </w:rPr>
              <w:t>2</w:t>
            </w:r>
            <w:r>
              <w:t>年我单位整体支出为</w:t>
            </w:r>
            <w:r>
              <w:rPr>
                <w:rFonts w:hint="eastAsia"/>
                <w:lang w:val="en-US" w:eastAsia="zh-CN"/>
              </w:rPr>
              <w:t>5707.18</w:t>
            </w:r>
            <w:r>
              <w:t>万元，</w:t>
            </w:r>
            <w:r>
              <w:rPr>
                <w:rFonts w:hint="eastAsia"/>
                <w:lang w:eastAsia="zh-CN"/>
              </w:rPr>
              <w:t>基本支出</w:t>
            </w:r>
            <w:r>
              <w:rPr>
                <w:rFonts w:hint="eastAsia"/>
                <w:lang w:val="en-US" w:eastAsia="zh-CN"/>
              </w:rPr>
              <w:t>3607.28万元，</w:t>
            </w:r>
            <w:r>
              <w:rPr>
                <w:rFonts w:hint="eastAsia" w:ascii="仿宋" w:hAnsi="仿宋" w:eastAsia="仿宋" w:cs="仿宋"/>
                <w:bCs/>
                <w:color w:val="000000" w:themeColor="text1"/>
                <w:sz w:val="32"/>
                <w:szCs w:val="32"/>
                <w:lang w:val="en-US" w:eastAsia="zh-CN"/>
                <w14:textFill>
                  <w14:solidFill>
                    <w14:schemeClr w14:val="tx1"/>
                  </w14:solidFill>
                </w14:textFill>
              </w:rPr>
              <w:t>主要用于人员支出930.49万元，公用支出2676.79万元。“三公经费”支出0.44万元。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80" w:firstLineChars="200"/>
              <w:jc w:val="both"/>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420" w:firstLineChars="200"/>
              <w:rPr>
                <w:rFonts w:hint="default" w:ascii="仿宋_GB2312" w:hAnsi="仿宋_GB2312" w:eastAsia="宋体" w:cs="仿宋_GB2312"/>
                <w:bCs/>
                <w:sz w:val="28"/>
                <w:szCs w:val="28"/>
                <w:lang w:val="en-US" w:eastAsia="zh-CN"/>
              </w:rPr>
            </w:pPr>
            <w:r>
              <w:t>202</w:t>
            </w:r>
            <w:r>
              <w:rPr>
                <w:rFonts w:hint="eastAsia"/>
                <w:lang w:val="en-US" w:eastAsia="zh-CN"/>
              </w:rPr>
              <w:t>12</w:t>
            </w:r>
            <w:r>
              <w:t>年各项项目资金共投入</w:t>
            </w:r>
            <w:r>
              <w:rPr>
                <w:rFonts w:hint="eastAsia"/>
                <w:lang w:val="en-US" w:eastAsia="zh-CN"/>
              </w:rPr>
              <w:t>2099.89</w:t>
            </w:r>
            <w:r>
              <w:t>万元</w:t>
            </w:r>
            <w:r>
              <w:rPr>
                <w:rFonts w:hint="eastAsia"/>
                <w:lang w:val="en-US" w:eastAsia="zh-CN"/>
              </w:rPr>
              <w:t xml:space="preserve">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80" w:firstLineChars="200"/>
              <w:jc w:val="both"/>
            </w:pPr>
            <w:r>
              <w:t>202</w:t>
            </w:r>
            <w:r>
              <w:rPr>
                <w:rFonts w:hint="eastAsia"/>
                <w:lang w:val="en-US" w:eastAsia="zh-CN"/>
              </w:rPr>
              <w:t>2</w:t>
            </w:r>
            <w:r>
              <w:t>年各项项目支出</w:t>
            </w:r>
            <w:r>
              <w:rPr>
                <w:rFonts w:hint="eastAsia"/>
                <w:lang w:val="en-US" w:eastAsia="zh-CN"/>
              </w:rPr>
              <w:t>2099.89</w:t>
            </w:r>
            <w:r>
              <w:t>万元，主要用于重点执法费用、城市市容环境卫生管理、渣土禁炮、园林绿化养护维护、城市管理执收成本、禁违拆违等工作。</w:t>
            </w:r>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80" w:firstLineChars="200"/>
              <w:jc w:val="both"/>
            </w:pPr>
            <w: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各项专项资金都安排责任人，按专项资金的用途专款专用。</w:t>
            </w:r>
          </w:p>
          <w:p>
            <w:pPr>
              <w:spacing w:line="560" w:lineRule="exact"/>
              <w:ind w:firstLine="560" w:firstLineChars="200"/>
              <w:rPr>
                <w:rFonts w:hint="eastAsia" w:ascii="仿宋_GB2312" w:hAnsi="仿宋_GB2312" w:eastAsia="仿宋_GB2312" w:cs="仿宋_GB2312"/>
                <w:bCs/>
                <w:sz w:val="28"/>
                <w:szCs w:val="28"/>
              </w:rPr>
            </w:pP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在使用专项资金时，严格执行专项资使用制度和财务制度，同时对各项专项资金的使用流程进行监督，定时查看财务表报检查专项资金使用情况。</w:t>
            </w:r>
          </w:p>
          <w:p>
            <w:pPr>
              <w:numPr>
                <w:ilvl w:val="0"/>
                <w:numId w:val="0"/>
              </w:numPr>
              <w:spacing w:line="560" w:lineRule="exact"/>
              <w:rPr>
                <w:rFonts w:hint="eastAsia" w:ascii="仿宋_GB2312" w:hAnsi="仿宋_GB2312" w:eastAsia="仿宋_GB2312" w:cs="仿宋_GB2312"/>
                <w:bCs/>
                <w:sz w:val="28"/>
                <w:szCs w:val="28"/>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根据考核评分细则，从整体上看，202</w:t>
            </w:r>
            <w:r>
              <w:rPr>
                <w:rFonts w:hint="eastAsia"/>
                <w:lang w:val="en-US" w:eastAsia="zh-CN"/>
              </w:rPr>
              <w:t>2</w:t>
            </w:r>
            <w:bookmarkStart w:id="0" w:name="_GoBack"/>
            <w:bookmarkEnd w:id="0"/>
            <w:r>
              <w:t>年我局资金运行维护决策正确，资金管理规范，项目管理到位，政策执行有力，有效发挥了财政资金的使用效率。我局各项项目资金其主要用途是优化城市市容市貌，保障城市工作站的正常运转；在人员经费支出、公共支出严格执行区委区政府的各项制度；在项目经费的使用上，在保证各项任务顺利完成的同时，严格落实厉行节约的原则；三公经费的使用严格控制在预算申报的范围内。</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jc w:val="both"/>
            </w:pPr>
            <w:r>
              <w:t>主要存在问题一是使用公务卡方面需要进一步加强。二是对个别项目资金使用方面预算不够细致，出现实际支出数超出了预算申报数和出现项目资金结金数额多的情况。</w:t>
            </w:r>
          </w:p>
          <w:p>
            <w:pPr>
              <w:spacing w:line="560" w:lineRule="exact"/>
              <w:ind w:firstLine="560" w:firstLineChars="200"/>
              <w:rPr>
                <w:rFonts w:ascii="黑体" w:hAnsi="黑体" w:eastAsia="黑体" w:cs="黑体"/>
                <w:bCs/>
                <w:sz w:val="28"/>
                <w:szCs w:val="28"/>
              </w:rPr>
            </w:pP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leftChars="200"/>
              <w:rPr>
                <w:rFonts w:hint="eastAsia" w:ascii="黑体" w:hAnsi="黑体" w:eastAsia="黑体" w:cs="黑体"/>
                <w:bCs/>
                <w:sz w:val="28"/>
                <w:szCs w:val="28"/>
              </w:rPr>
            </w:pPr>
            <w:r>
              <w:t>一是加大对公务卡的使用力度。二是加强做好各项目资金的预算工作，即要确保各项工作顺利地开展，又要做好厉行节约，力争把成本降低。</w:t>
            </w: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F4E56"/>
    <w:multiLevelType w:val="singleLevel"/>
    <w:tmpl w:val="AF5F4E56"/>
    <w:lvl w:ilvl="0" w:tentative="0">
      <w:start w:val="4"/>
      <w:numFmt w:val="chineseCounting"/>
      <w:suff w:val="nothing"/>
      <w:lvlText w:val="%1、"/>
      <w:lvlJc w:val="left"/>
      <w:rPr>
        <w:rFonts w:hint="eastAsia"/>
      </w:rPr>
    </w:lvl>
  </w:abstractNum>
  <w:abstractNum w:abstractNumId="1">
    <w:nsid w:val="BC6B0DDD"/>
    <w:multiLevelType w:val="singleLevel"/>
    <w:tmpl w:val="BC6B0DDD"/>
    <w:lvl w:ilvl="0" w:tentative="0">
      <w:start w:val="2"/>
      <w:numFmt w:val="chineseCounting"/>
      <w:suff w:val="nothing"/>
      <w:lvlText w:val="（%1）"/>
      <w:lvlJc w:val="left"/>
      <w:rPr>
        <w:rFonts w:hint="eastAsia"/>
      </w:rPr>
    </w:lvl>
  </w:abstractNum>
  <w:abstractNum w:abstractNumId="2">
    <w:nsid w:val="5A127E78"/>
    <w:multiLevelType w:val="singleLevel"/>
    <w:tmpl w:val="5A127E78"/>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3E03708E"/>
    <w:rsid w:val="11E619CD"/>
    <w:rsid w:val="28A83AB1"/>
    <w:rsid w:val="3E03708E"/>
    <w:rsid w:val="556D25D1"/>
    <w:rsid w:val="5C125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3315</Words>
  <Characters>3565</Characters>
  <Lines>0</Lines>
  <Paragraphs>0</Paragraphs>
  <TotalTime>10</TotalTime>
  <ScaleCrop>false</ScaleCrop>
  <LinksUpToDate>false</LinksUpToDate>
  <CharactersWithSpaces>3819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2022-06-29T01:39:00Z</dcterms:created>
  <dc:creator>Administrator</dc:creator>
  <cp:lastModifiedBy>Administrator</cp:lastModifiedBy>
  <dcterms:modified xsi:type="dcterms:W3CDTF">2023-09-28T00:33:54Z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97C27C220D6E4CF397309689C32275FC</vt:lpwstr>
  </property>
</Properties>
</file>