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附件2-1</w:t>
      </w:r>
    </w:p>
    <w:p>
      <w:pPr>
        <w:spacing w:line="348" w:lineRule="auto"/>
        <w:jc w:val="center"/>
        <w:rPr>
          <w:rFonts w:eastAsia="方正小标宋简体"/>
          <w:bCs/>
          <w:sz w:val="42"/>
          <w:szCs w:val="42"/>
        </w:rPr>
      </w:pPr>
    </w:p>
    <w:p>
      <w:pPr>
        <w:spacing w:line="800" w:lineRule="exact"/>
        <w:jc w:val="center"/>
        <w:rPr>
          <w:rFonts w:hint="eastAsia"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</w:rPr>
        <w:t>岳阳县</w:t>
      </w:r>
      <w:r>
        <w:rPr>
          <w:rFonts w:eastAsia="方正小标宋简体"/>
          <w:bCs/>
          <w:sz w:val="46"/>
          <w:szCs w:val="46"/>
        </w:rPr>
        <w:t>20</w:t>
      </w:r>
      <w:r>
        <w:rPr>
          <w:rFonts w:hint="eastAsia" w:eastAsia="方正小标宋简体"/>
          <w:bCs/>
          <w:sz w:val="46"/>
          <w:szCs w:val="46"/>
          <w:lang w:val="en-US" w:eastAsia="zh-CN"/>
        </w:rPr>
        <w:t>22</w:t>
      </w:r>
      <w:r>
        <w:rPr>
          <w:rFonts w:hint="eastAsia" w:eastAsia="方正小标宋简体"/>
          <w:bCs/>
          <w:sz w:val="46"/>
          <w:szCs w:val="46"/>
        </w:rPr>
        <w:t>年度部门整体支出绩效评价</w:t>
      </w:r>
    </w:p>
    <w:p>
      <w:pPr>
        <w:spacing w:line="800" w:lineRule="exact"/>
        <w:jc w:val="center"/>
        <w:rPr>
          <w:rFonts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</w:rPr>
        <w:t>自评报告</w:t>
      </w: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spacing w:beforeLines="50" w:line="348" w:lineRule="auto"/>
        <w:ind w:firstLine="476" w:firstLineChars="150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部门</w:t>
      </w:r>
      <w:r>
        <w:rPr>
          <w:rFonts w:eastAsia="仿宋_GB2312"/>
          <w:sz w:val="32"/>
          <w:szCs w:val="32"/>
        </w:rPr>
        <w:t>(</w:t>
      </w:r>
      <w:r>
        <w:rPr>
          <w:rFonts w:hint="eastAsia" w:eastAsia="仿宋_GB2312"/>
          <w:sz w:val="32"/>
          <w:szCs w:val="32"/>
        </w:rPr>
        <w:t>单位</w:t>
      </w:r>
      <w:r>
        <w:rPr>
          <w:rFonts w:eastAsia="仿宋_GB2312"/>
          <w:sz w:val="32"/>
          <w:szCs w:val="32"/>
        </w:rPr>
        <w:t>)</w:t>
      </w:r>
      <w:r>
        <w:rPr>
          <w:rFonts w:hint="eastAsia" w:eastAsia="仿宋_GB2312"/>
          <w:sz w:val="32"/>
          <w:szCs w:val="32"/>
        </w:rPr>
        <w:t>名称：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hint="eastAsia" w:eastAsia="仿宋_GB2312"/>
          <w:sz w:val="32"/>
          <w:szCs w:val="32"/>
          <w:u w:val="single"/>
          <w:lang w:eastAsia="zh-CN"/>
        </w:rPr>
        <w:t>岳阳县规划监察大队</w:t>
      </w:r>
      <w:r>
        <w:rPr>
          <w:rFonts w:eastAsia="仿宋_GB2312"/>
          <w:sz w:val="32"/>
          <w:szCs w:val="32"/>
          <w:u w:val="single"/>
        </w:rPr>
        <w:t xml:space="preserve">                          </w:t>
      </w:r>
    </w:p>
    <w:p>
      <w:pPr>
        <w:spacing w:beforeLines="50" w:line="348" w:lineRule="auto"/>
        <w:ind w:firstLine="476" w:firstLineChars="150"/>
        <w:rPr>
          <w:rFonts w:eastAsia="仿宋_GB2312"/>
          <w:spacing w:val="2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预</w:t>
      </w:r>
      <w:r>
        <w:rPr>
          <w:rFonts w:eastAsia="仿宋_GB2312"/>
          <w:spacing w:val="30"/>
          <w:sz w:val="32"/>
          <w:szCs w:val="32"/>
        </w:rPr>
        <w:t xml:space="preserve"> </w:t>
      </w:r>
      <w:r>
        <w:rPr>
          <w:rFonts w:hint="eastAsia" w:eastAsia="仿宋_GB2312"/>
          <w:spacing w:val="30"/>
          <w:sz w:val="32"/>
          <w:szCs w:val="32"/>
        </w:rPr>
        <w:t>算</w:t>
      </w:r>
      <w:r>
        <w:rPr>
          <w:rFonts w:eastAsia="仿宋_GB2312"/>
          <w:spacing w:val="30"/>
          <w:sz w:val="32"/>
          <w:szCs w:val="32"/>
        </w:rPr>
        <w:t xml:space="preserve"> </w:t>
      </w:r>
      <w:r>
        <w:rPr>
          <w:rFonts w:hint="eastAsia" w:eastAsia="仿宋_GB2312"/>
          <w:spacing w:val="30"/>
          <w:sz w:val="32"/>
          <w:szCs w:val="32"/>
        </w:rPr>
        <w:t>编</w:t>
      </w:r>
      <w:r>
        <w:rPr>
          <w:rFonts w:eastAsia="仿宋_GB2312"/>
          <w:spacing w:val="30"/>
          <w:sz w:val="32"/>
          <w:szCs w:val="32"/>
        </w:rPr>
        <w:t xml:space="preserve"> </w:t>
      </w:r>
      <w:r>
        <w:rPr>
          <w:rFonts w:hint="eastAsia" w:eastAsia="仿宋_GB2312"/>
          <w:spacing w:val="30"/>
          <w:sz w:val="32"/>
          <w:szCs w:val="32"/>
        </w:rPr>
        <w:t>码：</w:t>
      </w:r>
      <w:r>
        <w:rPr>
          <w:rFonts w:eastAsia="仿宋_GB2312"/>
          <w:spacing w:val="20"/>
          <w:sz w:val="32"/>
          <w:szCs w:val="32"/>
          <w:u w:val="single"/>
        </w:rPr>
        <w:t xml:space="preserve">     </w:t>
      </w:r>
      <w:r>
        <w:rPr>
          <w:rFonts w:hint="eastAsia" w:eastAsia="仿宋_GB2312"/>
          <w:spacing w:val="20"/>
          <w:sz w:val="32"/>
          <w:szCs w:val="32"/>
          <w:u w:val="single"/>
          <w:lang w:val="en-US" w:eastAsia="zh-CN"/>
        </w:rPr>
        <w:t>416002</w:t>
      </w:r>
      <w:r>
        <w:rPr>
          <w:rFonts w:eastAsia="仿宋_GB2312"/>
          <w:spacing w:val="20"/>
          <w:sz w:val="32"/>
          <w:szCs w:val="32"/>
          <w:u w:val="single"/>
        </w:rPr>
        <w:t xml:space="preserve">                     </w:t>
      </w:r>
    </w:p>
    <w:p>
      <w:pPr>
        <w:spacing w:beforeLines="50" w:line="348" w:lineRule="auto"/>
        <w:ind w:firstLine="476" w:firstLineChars="1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评价方式：部门（单位）绩效自评</w:t>
      </w:r>
    </w:p>
    <w:p>
      <w:pPr>
        <w:spacing w:beforeLines="50" w:line="348" w:lineRule="auto"/>
        <w:ind w:firstLine="476" w:firstLineChars="1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评价机构：部门（单位）评价组</w:t>
      </w:r>
      <w:r>
        <w:rPr>
          <w:rFonts w:eastAsia="仿宋_GB2312"/>
          <w:sz w:val="32"/>
          <w:szCs w:val="32"/>
        </w:rPr>
        <w:t xml:space="preserve">   </w:t>
      </w:r>
    </w:p>
    <w:p>
      <w:pPr>
        <w:spacing w:line="720" w:lineRule="exact"/>
        <w:ind w:firstLine="2188" w:firstLineChars="690"/>
        <w:rPr>
          <w:rFonts w:eastAsia="仿宋_GB2312"/>
          <w:sz w:val="32"/>
        </w:rPr>
      </w:pPr>
    </w:p>
    <w:p>
      <w:pPr>
        <w:spacing w:line="720" w:lineRule="exact"/>
        <w:ind w:firstLine="2188" w:firstLineChars="690"/>
        <w:rPr>
          <w:rFonts w:eastAsia="仿宋_GB2312"/>
          <w:sz w:val="32"/>
        </w:rPr>
      </w:pPr>
    </w:p>
    <w:p>
      <w:pPr>
        <w:spacing w:line="720" w:lineRule="exact"/>
        <w:ind w:firstLine="2188" w:firstLineChars="690"/>
        <w:rPr>
          <w:rFonts w:eastAsia="仿宋_GB2312"/>
          <w:sz w:val="32"/>
        </w:rPr>
      </w:pP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报告日期：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  <w:lang w:val="en-US" w:eastAsia="zh-CN"/>
        </w:rPr>
        <w:t>2023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年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  <w:lang w:val="en-US" w:eastAsia="zh-CN"/>
        </w:rPr>
        <w:t>9</w:t>
      </w:r>
      <w:r>
        <w:rPr>
          <w:rFonts w:hint="eastAsia" w:eastAsia="仿宋_GB2312"/>
          <w:sz w:val="32"/>
        </w:rPr>
        <w:t>月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  <w:lang w:val="en-US" w:eastAsia="zh-CN"/>
        </w:rPr>
        <w:t>27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日</w:t>
      </w:r>
    </w:p>
    <w:p>
      <w:pPr>
        <w:autoSpaceDN w:val="0"/>
        <w:jc w:val="center"/>
        <w:textAlignment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</w:rPr>
        <w:t>岳阳县财政</w:t>
      </w:r>
      <w:r>
        <w:rPr>
          <w:rFonts w:hint="eastAsia" w:eastAsia="仿宋_GB2312"/>
          <w:sz w:val="32"/>
          <w:szCs w:val="32"/>
        </w:rPr>
        <w:t>局（制）</w:t>
      </w:r>
    </w:p>
    <w:p>
      <w:pPr>
        <w:widowControl/>
        <w:jc w:val="left"/>
        <w:rPr>
          <w:rFonts w:eastAsia="仿宋_GB2312"/>
          <w:sz w:val="32"/>
          <w:szCs w:val="32"/>
        </w:rPr>
        <w:sectPr>
          <w:pgSz w:w="11906" w:h="16838"/>
          <w:pgMar w:top="1588" w:right="1588" w:bottom="1588" w:left="1588" w:header="851" w:footer="992" w:gutter="0"/>
          <w:pgNumType w:start="1"/>
          <w:cols w:space="720" w:num="1"/>
          <w:docGrid w:type="linesAndChars" w:linePitch="602" w:charSpace="-782"/>
        </w:sectPr>
      </w:pPr>
    </w:p>
    <w:tbl>
      <w:tblPr>
        <w:tblStyle w:val="3"/>
        <w:tblW w:w="995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213"/>
        <w:gridCol w:w="46"/>
        <w:gridCol w:w="1080"/>
        <w:gridCol w:w="210"/>
        <w:gridCol w:w="1145"/>
        <w:gridCol w:w="272"/>
        <w:gridCol w:w="808"/>
        <w:gridCol w:w="1479"/>
        <w:gridCol w:w="226"/>
        <w:gridCol w:w="196"/>
        <w:gridCol w:w="259"/>
        <w:gridCol w:w="1080"/>
        <w:gridCol w:w="265"/>
        <w:gridCol w:w="139"/>
        <w:gridCol w:w="316"/>
        <w:gridCol w:w="7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5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一、部门（单位）基本概况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联系人</w:t>
            </w:r>
          </w:p>
        </w:tc>
        <w:tc>
          <w:tcPr>
            <w:tcW w:w="35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易岳雷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联络电话</w:t>
            </w:r>
          </w:p>
        </w:tc>
        <w:tc>
          <w:tcPr>
            <w:tcW w:w="32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07307626611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人员编制</w:t>
            </w:r>
          </w:p>
        </w:tc>
        <w:tc>
          <w:tcPr>
            <w:tcW w:w="35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实有人数</w:t>
            </w:r>
          </w:p>
        </w:tc>
        <w:tc>
          <w:tcPr>
            <w:tcW w:w="32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职能职责概述</w:t>
            </w:r>
          </w:p>
        </w:tc>
        <w:tc>
          <w:tcPr>
            <w:tcW w:w="830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3" w:lineRule="atLeast"/>
              <w:ind w:firstLine="420"/>
              <w:jc w:val="both"/>
              <w:rPr>
                <w:rFonts w:hint="eastAsia"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贯彻执行、宣传《中华人民共和国城乡规划法》、湖南省实施《中华人民共和国城乡规划法》办法、《行政许可法》、《行政处罚法》等国家、省、市有关城乡规划管理及禁拆治违等相关的行政法律、法规和规范性文件。负责受理公民、法人或其它组织关于违法建设的各种形式的上访；负责有关信访事项的办理情况，及时查处各类违法建设行为，及时拆除超过期限的临时建筑</w:t>
            </w:r>
            <w:r>
              <w:rPr>
                <w:rFonts w:hint="eastAsia" w:asciiTheme="minorEastAsia" w:hAnsiTheme="minorEastAsia"/>
                <w:sz w:val="32"/>
                <w:szCs w:val="32"/>
                <w:lang w:eastAsia="zh-CN"/>
              </w:rPr>
              <w:t>等</w:t>
            </w:r>
            <w:r>
              <w:rPr>
                <w:rFonts w:hint="eastAsia" w:asciiTheme="minorEastAsia" w:hAnsiTheme="minorEastAsia"/>
                <w:sz w:val="32"/>
                <w:szCs w:val="32"/>
              </w:rPr>
              <w:t>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年度主要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工作内容</w:t>
            </w:r>
          </w:p>
        </w:tc>
        <w:tc>
          <w:tcPr>
            <w:tcW w:w="830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全年预算申请到位和下达数量在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95%以上，三公经费变动率</w:t>
            </w:r>
            <w:r>
              <w:rPr>
                <w:rFonts w:hint="default" w:ascii="Arial" w:hAnsi="Arial" w:eastAsia="仿宋_GB2312" w:cs="Arial"/>
                <w:color w:val="000000"/>
                <w:sz w:val="24"/>
                <w:lang w:val="en-US" w:eastAsia="zh-CN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0。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任务2：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社会效益、经济效益、生态效益和社会公众满意度达到预期目标。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  <w:t>年度部门（单位）总体运行情况及取得的成绩</w:t>
            </w:r>
          </w:p>
        </w:tc>
        <w:tc>
          <w:tcPr>
            <w:tcW w:w="830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单位全年平稳运行，资金使用安全，收支平衡。</w:t>
            </w:r>
          </w:p>
          <w:p>
            <w:pPr>
              <w:numPr>
                <w:ilvl w:val="0"/>
                <w:numId w:val="0"/>
              </w:num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5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二、部门（单位）收支情况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5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年度收入情况（万元）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收入合计</w:t>
            </w:r>
          </w:p>
        </w:tc>
        <w:tc>
          <w:tcPr>
            <w:tcW w:w="7175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7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上年结转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公共财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政拨款</w:t>
            </w: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政府基金拨款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纳入专户管理的非税收入拨款</w:t>
            </w:r>
          </w:p>
        </w:tc>
        <w:tc>
          <w:tcPr>
            <w:tcW w:w="1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岳阳县规划监察大队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513.6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510.58</w:t>
            </w: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·</w:t>
            </w: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5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部门（单位）年度支出和结余情况（万元）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支出合计</w:t>
            </w:r>
          </w:p>
        </w:tc>
        <w:tc>
          <w:tcPr>
            <w:tcW w:w="5675" w:type="dxa"/>
            <w:gridSpan w:val="9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500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基本支出</w:t>
            </w:r>
          </w:p>
        </w:tc>
        <w:tc>
          <w:tcPr>
            <w:tcW w:w="3240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项目支出</w:t>
            </w:r>
          </w:p>
        </w:tc>
        <w:tc>
          <w:tcPr>
            <w:tcW w:w="7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当年结余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累计结余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人员支出</w:t>
            </w: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公用支出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岳阳县规划监察大队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499.54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499.54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316.04</w:t>
            </w: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183.5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14.06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三公经费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7175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公务接待费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公务用车运维费</w:t>
            </w: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公务用车购置费</w:t>
            </w:r>
          </w:p>
        </w:tc>
        <w:tc>
          <w:tcPr>
            <w:tcW w:w="25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因公出国费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岳阳县规划监察大队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5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5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5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5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固定资产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6079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096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在用固定资产</w:t>
            </w:r>
          </w:p>
        </w:tc>
        <w:tc>
          <w:tcPr>
            <w:tcW w:w="36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出租固定资产</w:t>
            </w:r>
          </w:p>
        </w:tc>
        <w:tc>
          <w:tcPr>
            <w:tcW w:w="1096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left="480" w:hanging="480" w:hangingChars="200"/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0" w:name="_GoBack" w:colFirst="1" w:colLast="7"/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岳阳县规划监察大队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10.3</w:t>
            </w:r>
          </w:p>
        </w:tc>
        <w:tc>
          <w:tcPr>
            <w:tcW w:w="243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10.3</w:t>
            </w:r>
          </w:p>
        </w:tc>
        <w:tc>
          <w:tcPr>
            <w:tcW w:w="36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5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三、部门（单位）整体支出绩效自评情况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4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整体支出绩效定性目标及实施计划完成情况</w:t>
            </w:r>
          </w:p>
        </w:tc>
        <w:tc>
          <w:tcPr>
            <w:tcW w:w="37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预期目标</w:t>
            </w:r>
          </w:p>
        </w:tc>
        <w:tc>
          <w:tcPr>
            <w:tcW w:w="47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实际完成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7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全年预算申请到位和下达数量在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95%以上，三公经费变动率</w:t>
            </w:r>
            <w:r>
              <w:rPr>
                <w:rFonts w:hint="default" w:ascii="Arial" w:hAnsi="Arial" w:eastAsia="仿宋_GB2312" w:cs="Arial"/>
                <w:color w:val="000000"/>
                <w:sz w:val="24"/>
                <w:lang w:val="en-US" w:eastAsia="zh-CN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0。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目标2：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社会效益、经济效益、生态效益和社会公众满意度达到预期目标。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7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全年预算申请到位和下达数量在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95%以上，三公经费变动率</w:t>
            </w:r>
            <w:r>
              <w:rPr>
                <w:rFonts w:hint="default" w:ascii="Arial" w:hAnsi="Arial" w:eastAsia="仿宋_GB2312" w:cs="Arial"/>
                <w:color w:val="000000"/>
                <w:sz w:val="24"/>
                <w:lang w:val="en-US" w:eastAsia="zh-CN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0。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目标2：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社会效益、经济效益、生态效益和社会公众满意度达到预期目标。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绩效定量目标及实施计划完成情况</w:t>
            </w:r>
          </w:p>
        </w:tc>
        <w:tc>
          <w:tcPr>
            <w:tcW w:w="29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评价内容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绩效目标</w:t>
            </w:r>
          </w:p>
        </w:tc>
        <w:tc>
          <w:tcPr>
            <w:tcW w:w="28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产出目标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（部门工作实绩，包含上级部门和市委市政府布置的重点工作、实事任务等，根据部门实际进行调整细化）</w:t>
            </w:r>
          </w:p>
        </w:tc>
        <w:tc>
          <w:tcPr>
            <w:tcW w:w="14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质量指标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指标1：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三公经费控制率</w:t>
            </w:r>
          </w:p>
        </w:tc>
        <w:tc>
          <w:tcPr>
            <w:tcW w:w="28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指标2：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政府采购执行率</w:t>
            </w:r>
          </w:p>
        </w:tc>
        <w:tc>
          <w:tcPr>
            <w:tcW w:w="28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指标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3：固定资产利用率</w:t>
            </w:r>
          </w:p>
        </w:tc>
        <w:tc>
          <w:tcPr>
            <w:tcW w:w="28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指标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4：公务卡刷卡率</w:t>
            </w:r>
          </w:p>
        </w:tc>
        <w:tc>
          <w:tcPr>
            <w:tcW w:w="28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数量指标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指标1：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财政供养人员控制率</w:t>
            </w:r>
          </w:p>
        </w:tc>
        <w:tc>
          <w:tcPr>
            <w:tcW w:w="28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指标2：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“三公经费”变动率</w:t>
            </w:r>
          </w:p>
        </w:tc>
        <w:tc>
          <w:tcPr>
            <w:tcW w:w="28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≤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指标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3：</w:t>
            </w:r>
          </w:p>
        </w:tc>
        <w:tc>
          <w:tcPr>
            <w:tcW w:w="28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指标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4：</w:t>
            </w:r>
          </w:p>
        </w:tc>
        <w:tc>
          <w:tcPr>
            <w:tcW w:w="28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指标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5：</w:t>
            </w:r>
          </w:p>
        </w:tc>
        <w:tc>
          <w:tcPr>
            <w:tcW w:w="28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时效指标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指标1：</w:t>
            </w:r>
          </w:p>
        </w:tc>
        <w:tc>
          <w:tcPr>
            <w:tcW w:w="28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指标2：</w:t>
            </w:r>
          </w:p>
        </w:tc>
        <w:tc>
          <w:tcPr>
            <w:tcW w:w="28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成本指标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指标1：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部门整体支出绩效目标</w:t>
            </w:r>
          </w:p>
        </w:tc>
        <w:tc>
          <w:tcPr>
            <w:tcW w:w="28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499.54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效益目标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（预期实现的效益）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社会效益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指标1：加强行业监管，树立建设行业窗口单位形象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效益明显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经济效益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指标1：严控非生产性开支，严肃财务纪律，遵守财经制度，规范财务报账手续，实现经济效益最大化牌创造的经济效益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效益明显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生态效益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指标1：减少污染、提高人文居住环境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效益明显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社会公众或服务对象满意度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指标1：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社会公众满意度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95%以上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绩效自评综合得分</w:t>
            </w:r>
          </w:p>
        </w:tc>
        <w:tc>
          <w:tcPr>
            <w:tcW w:w="696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97分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评价等次</w:t>
            </w:r>
          </w:p>
        </w:tc>
        <w:tc>
          <w:tcPr>
            <w:tcW w:w="696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95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四、评价人员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名</w:t>
            </w:r>
          </w:p>
        </w:tc>
        <w:tc>
          <w:tcPr>
            <w:tcW w:w="35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职务/职称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  位</w:t>
            </w:r>
          </w:p>
        </w:tc>
        <w:tc>
          <w:tcPr>
            <w:tcW w:w="32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签  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易岳雷</w:t>
            </w:r>
          </w:p>
        </w:tc>
        <w:tc>
          <w:tcPr>
            <w:tcW w:w="35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大队长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岳阳县规划监察大队</w:t>
            </w:r>
          </w:p>
        </w:tc>
        <w:tc>
          <w:tcPr>
            <w:tcW w:w="32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刘朝勇</w:t>
            </w:r>
          </w:p>
        </w:tc>
        <w:tc>
          <w:tcPr>
            <w:tcW w:w="35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副大队长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岳阳县规划监察大队</w:t>
            </w:r>
          </w:p>
        </w:tc>
        <w:tc>
          <w:tcPr>
            <w:tcW w:w="32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李星星</w:t>
            </w:r>
          </w:p>
        </w:tc>
        <w:tc>
          <w:tcPr>
            <w:tcW w:w="35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办公室主任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岳阳县规划监察大队</w:t>
            </w:r>
          </w:p>
        </w:tc>
        <w:tc>
          <w:tcPr>
            <w:tcW w:w="32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殷伟雄</w:t>
            </w:r>
          </w:p>
        </w:tc>
        <w:tc>
          <w:tcPr>
            <w:tcW w:w="35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机关支部纪检委员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岳阳县规划监察大队</w:t>
            </w:r>
          </w:p>
        </w:tc>
        <w:tc>
          <w:tcPr>
            <w:tcW w:w="32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罗芬</w:t>
            </w:r>
          </w:p>
        </w:tc>
        <w:tc>
          <w:tcPr>
            <w:tcW w:w="35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财务股长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岳阳县规划监察大队</w:t>
            </w:r>
          </w:p>
        </w:tc>
        <w:tc>
          <w:tcPr>
            <w:tcW w:w="32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  <w:jc w:val="center"/>
        </w:trPr>
        <w:tc>
          <w:tcPr>
            <w:tcW w:w="995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评价组组长（签字）：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同意以上自评意见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9" w:hRule="atLeast"/>
          <w:jc w:val="center"/>
        </w:trPr>
        <w:tc>
          <w:tcPr>
            <w:tcW w:w="995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部门（单位）意见：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同意以上自评意见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部门（单位）负责人（签章）：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年    月    日</w:t>
            </w:r>
          </w:p>
        </w:tc>
      </w:tr>
    </w:tbl>
    <w:p>
      <w:pPr>
        <w:rPr>
          <w:rFonts w:hint="default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</w:t>
      </w:r>
      <w:r>
        <w:rPr>
          <w:rFonts w:eastAsia="仿宋_GB2312" w:cs="仿宋_GB2312"/>
          <w:bCs/>
          <w:sz w:val="28"/>
          <w:szCs w:val="28"/>
        </w:rPr>
        <w:t xml:space="preserve"> </w:t>
      </w:r>
      <w:r>
        <w:rPr>
          <w:rFonts w:hint="eastAsia" w:eastAsia="仿宋_GB2312" w:cs="仿宋_GB2312"/>
          <w:bCs/>
          <w:sz w:val="28"/>
          <w:szCs w:val="28"/>
          <w:lang w:eastAsia="zh-CN"/>
        </w:rPr>
        <w:t>罗芬</w:t>
      </w:r>
      <w:r>
        <w:rPr>
          <w:rFonts w:eastAsia="仿宋_GB2312" w:cs="仿宋_GB2312"/>
          <w:bCs/>
          <w:sz w:val="28"/>
          <w:szCs w:val="28"/>
        </w:rPr>
        <w:t xml:space="preserve">           </w:t>
      </w:r>
      <w:r>
        <w:rPr>
          <w:rFonts w:hint="eastAsia" w:eastAsia="仿宋_GB2312" w:cs="仿宋_GB2312"/>
          <w:bCs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sz w:val="24"/>
          <w:lang w:val="en-US" w:eastAsia="zh-CN"/>
        </w:rPr>
        <w:t>07307626611</w:t>
      </w:r>
    </w:p>
    <w:tbl>
      <w:tblPr>
        <w:tblStyle w:val="3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ind w:firstLine="1928" w:firstLineChars="600"/>
              <w:jc w:val="both"/>
              <w:rPr>
                <w:rFonts w:hint="eastAsia" w:ascii="仿宋" w:hAnsi="仿宋" w:eastAsia="仿宋" w:cs="仿宋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eastAsia="zh-CN"/>
              </w:rPr>
              <w:t>岳阳县规划监察大队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2022年评价报告综述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ind w:firstLine="643" w:firstLineChars="200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一、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部门（单位）概况</w:t>
            </w:r>
          </w:p>
          <w:p>
            <w:pPr>
              <w:pStyle w:val="2"/>
              <w:widowControl/>
              <w:spacing w:before="0" w:beforeAutospacing="0" w:after="0" w:afterAutospacing="0" w:line="33" w:lineRule="atLeast"/>
              <w:ind w:firstLine="42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部门（单位）基本情况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1.贯彻执行、宣传《中华人民共和国城乡规划法》、湖南省实施《中华人民共和国城乡规划法》办法、《行政许可法》、《行政处罚法》等国家、省、市有关城乡规划管理及禁拆治违等相关的行政法律、法规和规范性文件。</w:t>
            </w:r>
          </w:p>
          <w:p>
            <w:pPr>
              <w:pStyle w:val="2"/>
              <w:widowControl/>
              <w:spacing w:before="0" w:beforeAutospacing="0" w:after="0" w:afterAutospacing="0" w:line="33" w:lineRule="atLeast"/>
              <w:ind w:firstLine="42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2.负责受理公民、法人或其它组织关于违法建设的各种形式的上访；负责有关信访事项的办理情况，及时查处各类违法建设行为，及时拆除超过期限的临时建筑。</w:t>
            </w:r>
          </w:p>
          <w:p>
            <w:pPr>
              <w:pStyle w:val="2"/>
              <w:widowControl/>
              <w:spacing w:before="0" w:beforeAutospacing="0" w:after="0" w:afterAutospacing="0" w:line="33" w:lineRule="atLeast"/>
              <w:ind w:firstLine="42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3.负责规范城乡规划监察活动，及时查处举报或巡查发现的单位和个人违法建设案件，负责对违法建设的现场勘察、核查、调查取证、立案处罚以及拆除违法建设。</w:t>
            </w:r>
          </w:p>
          <w:p>
            <w:pPr>
              <w:pStyle w:val="2"/>
              <w:widowControl/>
              <w:spacing w:before="0" w:beforeAutospacing="0" w:after="0" w:afterAutospacing="0" w:line="33" w:lineRule="atLeast"/>
              <w:ind w:firstLine="42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4.承办上级主管部门交办的其他事项。</w:t>
            </w:r>
          </w:p>
          <w:p>
            <w:pPr>
              <w:widowControl/>
              <w:spacing w:line="600" w:lineRule="exact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pStyle w:val="2"/>
              <w:widowControl/>
              <w:spacing w:before="0" w:beforeAutospacing="0" w:after="0" w:afterAutospacing="0" w:line="33" w:lineRule="atLeast"/>
              <w:ind w:firstLine="42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岳阳县规划监察大队属岳阳县城市管理和综合执法局下设二级机构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，为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副科级事业单位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。</w:t>
            </w:r>
          </w:p>
          <w:p>
            <w:pPr>
              <w:pStyle w:val="2"/>
              <w:widowControl/>
              <w:spacing w:before="0" w:beforeAutospacing="0" w:after="0" w:afterAutospacing="0" w:line="33" w:lineRule="atLeast"/>
              <w:ind w:firstLine="420"/>
              <w:jc w:val="both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岳阳县规划监察大队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现有干部职工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人，其中在职人员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人，退休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人。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规划监察大队下设内设机构：办公室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、财务室、工会、巡查中队、督查中队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ind w:firstLine="640" w:firstLineChars="20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2022年工作目标任务：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ind w:firstLine="640" w:firstLineChars="20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目标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1：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全年预算申请到位和下达数量在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95%以上，三公经费变动率≤0。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ind w:firstLine="640" w:firstLineChars="20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目标2：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社会效益、经济效益、生态效益和社会公众满意度达到预期目标。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ind w:firstLine="640" w:firstLineChars="20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（二）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部门（单位）整体支出规模、使用方向和主要内容、涉及范围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ind w:firstLine="640" w:firstLineChars="200"/>
              <w:outlineLvl w:val="9"/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岳阳县规划监察大队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总支出499.54万元，其中：基本支出316.04万元，包括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工资福利支出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、一般商品和服务支出、对个人和家庭的补助支出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；项目支出0万元。年末结转和结余14.06万元。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ind w:firstLine="640" w:firstLineChars="200"/>
              <w:outlineLvl w:val="9"/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二、部门（单位）整体支出管理及使用情况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ind w:firstLine="640" w:firstLineChars="200"/>
              <w:outlineLvl w:val="9"/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（一）基本支出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ind w:leftChars="0" w:firstLine="640" w:firstLineChars="200"/>
              <w:outlineLvl w:val="9"/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2022年岳阳县规划监察大队基本支出499.54万元,主要用于人员支出316.04万元，公用支出183.5万元。“三公经费”支出0万元。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ind w:leftChars="0" w:firstLine="640" w:firstLineChars="200"/>
              <w:outlineLvl w:val="9"/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（二）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专项支出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ind w:firstLine="640" w:firstLineChars="200"/>
              <w:outlineLvl w:val="9"/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2022我单位项目支出0万元。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ind w:firstLine="640" w:firstLineChars="200"/>
              <w:outlineLvl w:val="9"/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三、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部门（单位）整体支出绩效情况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ind w:firstLine="640" w:firstLineChars="200"/>
              <w:outlineLvl w:val="9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一、经济效益：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严控非生产性开支，严肃财务纪律，遵守财经制度，规范财务报账手续，实现经济效益最大化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ind w:firstLine="640" w:firstLineChars="200"/>
              <w:jc w:val="both"/>
              <w:outlineLvl w:val="9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二、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社会效益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：加强行业监管，树立执法行业窗口单位形象。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ind w:firstLine="640" w:firstLineChars="200"/>
              <w:jc w:val="both"/>
              <w:outlineLvl w:val="9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三、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生态效益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减少污染、提高人文居住环境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ind w:firstLine="640" w:firstLineChars="200"/>
              <w:outlineLvl w:val="9"/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eastAsia="zh-CN"/>
              </w:rPr>
              <w:t>四、</w:t>
            </w: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</w:rPr>
              <w:t>存在的主要问题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ind w:firstLine="640" w:firstLineChars="200"/>
              <w:outlineLvl w:val="9"/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</w:rPr>
              <w:t>（一）</w:t>
            </w: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eastAsia="zh-CN"/>
              </w:rPr>
              <w:t>管理制度落实不到位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ind w:firstLine="640" w:firstLineChars="200"/>
              <w:outlineLvl w:val="9"/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val="en-US" w:eastAsia="zh-CN"/>
              </w:rPr>
              <w:t xml:space="preserve">  内控管理上未能很好地实行岗位轮换制，分工上存在不公平，导致单位出现不和谐的声音。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ind w:firstLine="640" w:firstLineChars="200"/>
              <w:outlineLvl w:val="9"/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eastAsia="zh-CN"/>
              </w:rPr>
              <w:t>资金</w:t>
            </w: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</w:rPr>
              <w:t>短缺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outlineLvl w:val="9"/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val="en-US" w:eastAsia="zh-CN"/>
              </w:rPr>
              <w:t xml:space="preserve">     市场陈旧，年年需进行维修改造，维修资金缺口较大。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ind w:firstLine="640" w:firstLineChars="200"/>
              <w:outlineLvl w:val="9"/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eastAsia="zh-CN"/>
              </w:rPr>
              <w:t>五</w:t>
            </w: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</w:rPr>
              <w:t>、改进措施和有关建议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ind w:firstLine="640" w:firstLineChars="200"/>
              <w:outlineLvl w:val="9"/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加强管理，严格实行岗位轮换制，让每个人都有锻炼和提高业务能力的机会。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ind w:firstLine="640" w:firstLineChars="200"/>
              <w:outlineLvl w:val="9"/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2、加强预算管理，进一步细化预算支出科目，严格按照年初预算控制支出，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严格控制非生产性支出。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ind w:firstLine="640" w:firstLineChars="200"/>
              <w:outlineLvl w:val="9"/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3、建议县财政大加对单位的财政预算拨款力度。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ind w:firstLine="640" w:firstLineChars="200"/>
              <w:outlineLvl w:val="9"/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ind w:firstLine="640" w:firstLineChars="200"/>
              <w:outlineLvl w:val="9"/>
              <w:rPr>
                <w:rFonts w:hint="eastAsia" w:ascii="仿宋" w:hAnsi="仿宋" w:eastAsia="仿宋" w:cs="仿宋"/>
                <w:bCs/>
                <w:color w:val="FF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32"/>
                <w:szCs w:val="32"/>
                <w:lang w:val="en-US" w:eastAsia="zh-CN"/>
              </w:rPr>
              <w:t xml:space="preserve">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rPr>
                <w:rFonts w:hint="eastAsia" w:ascii="仿宋" w:hAnsi="仿宋" w:eastAsia="仿宋" w:cs="仿宋"/>
                <w:bCs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rPr>
                <w:rFonts w:eastAsia="楷体_GB2312"/>
                <w:bCs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086449"/>
    <w:multiLevelType w:val="singleLevel"/>
    <w:tmpl w:val="9208644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23F4E00"/>
    <w:multiLevelType w:val="singleLevel"/>
    <w:tmpl w:val="223F4E0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xMGJhNDY5ZWUyNzdhODA4ZGYyOGYwMGM5NWYxZWEifQ=="/>
  </w:docVars>
  <w:rsids>
    <w:rsidRoot w:val="0A1A313F"/>
    <w:rsid w:val="00704336"/>
    <w:rsid w:val="02DA2069"/>
    <w:rsid w:val="06314567"/>
    <w:rsid w:val="06A0349B"/>
    <w:rsid w:val="09562579"/>
    <w:rsid w:val="0A1A313F"/>
    <w:rsid w:val="0A533FDD"/>
    <w:rsid w:val="0B065FC2"/>
    <w:rsid w:val="0C7E3877"/>
    <w:rsid w:val="0D874C5B"/>
    <w:rsid w:val="0D8E229F"/>
    <w:rsid w:val="0DB65991"/>
    <w:rsid w:val="0F201A80"/>
    <w:rsid w:val="0F8E2A2A"/>
    <w:rsid w:val="11DA32AA"/>
    <w:rsid w:val="120174E4"/>
    <w:rsid w:val="12215BDB"/>
    <w:rsid w:val="14AD1543"/>
    <w:rsid w:val="15761F97"/>
    <w:rsid w:val="16946B78"/>
    <w:rsid w:val="17C50FB3"/>
    <w:rsid w:val="18DF2B5E"/>
    <w:rsid w:val="19144D19"/>
    <w:rsid w:val="19422E64"/>
    <w:rsid w:val="1B6F6E2E"/>
    <w:rsid w:val="1B7F0679"/>
    <w:rsid w:val="1B9719D0"/>
    <w:rsid w:val="1BEA0FE8"/>
    <w:rsid w:val="1BEA16A5"/>
    <w:rsid w:val="1D226044"/>
    <w:rsid w:val="1DB45D52"/>
    <w:rsid w:val="1EA62ED2"/>
    <w:rsid w:val="23845D9E"/>
    <w:rsid w:val="25E22D30"/>
    <w:rsid w:val="26A17F53"/>
    <w:rsid w:val="2A077209"/>
    <w:rsid w:val="2A605BE4"/>
    <w:rsid w:val="2B247840"/>
    <w:rsid w:val="2BE72128"/>
    <w:rsid w:val="2BEA2ED3"/>
    <w:rsid w:val="2D20037D"/>
    <w:rsid w:val="2D485B6F"/>
    <w:rsid w:val="30566C9F"/>
    <w:rsid w:val="316F477E"/>
    <w:rsid w:val="31886E82"/>
    <w:rsid w:val="32D875C8"/>
    <w:rsid w:val="33265E11"/>
    <w:rsid w:val="343230D5"/>
    <w:rsid w:val="349211B7"/>
    <w:rsid w:val="370E1E08"/>
    <w:rsid w:val="37D20E57"/>
    <w:rsid w:val="37EB05DA"/>
    <w:rsid w:val="391B4A7F"/>
    <w:rsid w:val="3A2F3BFE"/>
    <w:rsid w:val="3A4D5720"/>
    <w:rsid w:val="3A7D1496"/>
    <w:rsid w:val="3B70245C"/>
    <w:rsid w:val="3BAE6861"/>
    <w:rsid w:val="3E107914"/>
    <w:rsid w:val="3E6D137F"/>
    <w:rsid w:val="3ED62761"/>
    <w:rsid w:val="40405E31"/>
    <w:rsid w:val="41EE1888"/>
    <w:rsid w:val="440F72B8"/>
    <w:rsid w:val="44896249"/>
    <w:rsid w:val="47B5738E"/>
    <w:rsid w:val="487D6BBD"/>
    <w:rsid w:val="49C5081B"/>
    <w:rsid w:val="4B591B02"/>
    <w:rsid w:val="4DDB712A"/>
    <w:rsid w:val="4FA0745D"/>
    <w:rsid w:val="50B22936"/>
    <w:rsid w:val="5232687A"/>
    <w:rsid w:val="524B3663"/>
    <w:rsid w:val="52A31EED"/>
    <w:rsid w:val="55133157"/>
    <w:rsid w:val="55560A06"/>
    <w:rsid w:val="57EC78BB"/>
    <w:rsid w:val="5AA605CD"/>
    <w:rsid w:val="5CAD5ED1"/>
    <w:rsid w:val="5CC3007B"/>
    <w:rsid w:val="5D8F040A"/>
    <w:rsid w:val="5E2430CD"/>
    <w:rsid w:val="5FC64C01"/>
    <w:rsid w:val="5FF60134"/>
    <w:rsid w:val="613D2F35"/>
    <w:rsid w:val="634467FD"/>
    <w:rsid w:val="65BA5EA0"/>
    <w:rsid w:val="661871B9"/>
    <w:rsid w:val="666741CE"/>
    <w:rsid w:val="66F217FA"/>
    <w:rsid w:val="689445B8"/>
    <w:rsid w:val="692F585A"/>
    <w:rsid w:val="6A380D42"/>
    <w:rsid w:val="6C133210"/>
    <w:rsid w:val="6F1E7F02"/>
    <w:rsid w:val="6F80296B"/>
    <w:rsid w:val="706E310B"/>
    <w:rsid w:val="74F56D03"/>
    <w:rsid w:val="75630D65"/>
    <w:rsid w:val="76D71B44"/>
    <w:rsid w:val="775D5A0F"/>
    <w:rsid w:val="77B67919"/>
    <w:rsid w:val="790A14F7"/>
    <w:rsid w:val="7A7C6425"/>
    <w:rsid w:val="7A9E195B"/>
    <w:rsid w:val="7B5C3278"/>
    <w:rsid w:val="7B931F32"/>
    <w:rsid w:val="7BF407DF"/>
    <w:rsid w:val="7C987027"/>
    <w:rsid w:val="7DBE1E4F"/>
    <w:rsid w:val="7E745D91"/>
    <w:rsid w:val="7EFD2393"/>
    <w:rsid w:val="7F45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2399</Words>
  <Characters>2561</Characters>
  <Lines>0</Lines>
  <Paragraphs>0</Paragraphs>
  <TotalTime>64</TotalTime>
  <ScaleCrop>false</ScaleCrop>
  <LinksUpToDate>false</LinksUpToDate>
  <CharactersWithSpaces>2969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2021-07-23T07:46:00Z</dcterms:created>
  <dc:creator>Administrator</dc:creator>
  <cp:lastModifiedBy>Administrator</cp:lastModifiedBy>
  <cp:lastPrinted>2022-10-20T09:06:00Z</cp:lastPrinted>
  <dcterms:modified xsi:type="dcterms:W3CDTF">2023-09-28T01:16:58Z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43A6281B4FA44D92A6EB2404A6805832_13</vt:lpwstr>
  </property>
</Properties>
</file>