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岳阳县建设工程质量监督站</w:t>
      </w:r>
    </w:p>
    <w:p>
      <w:pPr>
        <w:ind w:firstLine="3360" w:firstLineChars="40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部门决算</w:t>
      </w:r>
      <w:r>
        <w:rPr>
          <w:rFonts w:hint="eastAsia" w:ascii="方正小标宋_GBK" w:hAnsi="方正小标宋_GBK" w:eastAsia="方正小标宋_GBK" w:cs="方正小标宋_GBK"/>
          <w:sz w:val="84"/>
          <w:szCs w:val="84"/>
        </w:rPr>
        <w:br w:type="page"/>
      </w:r>
    </w:p>
    <w:p>
      <w:pPr>
        <w:pStyle w:val="11"/>
        <w:spacing w:line="500" w:lineRule="exact"/>
        <w:rPr>
          <w:rFonts w:hint="eastAsia" w:ascii="方正小标宋_GBK" w:hAnsi="方正小标宋_GBK" w:eastAsia="方正小标宋_GBK" w:cs="方正小标宋_GBK"/>
          <w:sz w:val="84"/>
          <w:szCs w:val="84"/>
        </w:rPr>
      </w:pPr>
    </w:p>
    <w:p>
      <w:pPr>
        <w:pStyle w:val="11"/>
        <w:spacing w:line="500" w:lineRule="exact"/>
        <w:jc w:val="center"/>
        <w:rPr>
          <w:b/>
          <w:sz w:val="36"/>
          <w:szCs w:val="28"/>
        </w:rPr>
      </w:pPr>
      <w:r>
        <w:rPr>
          <w:rFonts w:hint="eastAsia"/>
          <w:b/>
          <w:sz w:val="36"/>
          <w:szCs w:val="28"/>
        </w:rPr>
        <w:t>目  录</w:t>
      </w:r>
    </w:p>
    <w:p>
      <w:pPr>
        <w:pStyle w:val="11"/>
        <w:spacing w:line="500" w:lineRule="exact"/>
        <w:outlineLvl w:val="0"/>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岳阳县建设工程质量监督站单位概况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hint="eastAsia" w:cs="仿宋_GB2312" w:asciiTheme="minorEastAsia" w:hAnsiTheme="minorEastAsia" w:eastAsiaTheme="minorEastAsia"/>
          <w:sz w:val="28"/>
          <w:szCs w:val="28"/>
          <w:lang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eastAsia="zh-CN"/>
        </w:rPr>
        <w:t>及部门决算单位构成</w:t>
      </w:r>
    </w:p>
    <w:p>
      <w:pPr>
        <w:pStyle w:val="1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rPr>
        <w:t>部门决算表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七、政府性基金预算财政拨款收入支出决算表</w:t>
      </w:r>
    </w:p>
    <w:p>
      <w:pPr>
        <w:pStyle w:val="11"/>
        <w:spacing w:line="48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八、</w:t>
      </w:r>
      <w:r>
        <w:rPr>
          <w:rFonts w:hint="eastAsia" w:cs="仿宋_GB2312" w:asciiTheme="minorEastAsia" w:hAnsiTheme="minorEastAsia" w:eastAsiaTheme="minorEastAsia"/>
          <w:sz w:val="28"/>
          <w:szCs w:val="28"/>
        </w:rPr>
        <w:t>国有资本经营预算财政拨款支出决算表</w:t>
      </w:r>
    </w:p>
    <w:p>
      <w:pPr>
        <w:pStyle w:val="11"/>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w:t>
      </w:r>
      <w:r>
        <w:rPr>
          <w:rFonts w:cs="仿宋_GB2312" w:asciiTheme="minorEastAsia" w:hAnsiTheme="minorEastAsia" w:eastAsiaTheme="minorEastAsia"/>
          <w:sz w:val="28"/>
          <w:szCs w:val="28"/>
        </w:rPr>
        <w:t>财政拨款“三公”经费支出决算表</w:t>
      </w:r>
    </w:p>
    <w:p>
      <w:pPr>
        <w:pStyle w:val="1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int="eastAsia" w:hAnsi="仿宋_GB2312"/>
          <w:b/>
          <w:sz w:val="28"/>
          <w:szCs w:val="28"/>
        </w:rPr>
        <w:t>部门决算情况说明</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840" w:firstLineChars="30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840" w:firstLineChars="3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十二、</w:t>
      </w:r>
      <w:r>
        <w:rPr>
          <w:rFonts w:hint="eastAsia" w:ascii="仿宋_GB2312" w:hAnsi="仿宋_GB2312" w:cs="仿宋_GB2312"/>
          <w:color w:val="000000"/>
          <w:kern w:val="0"/>
          <w:sz w:val="28"/>
          <w:szCs w:val="28"/>
          <w:lang w:eastAsia="zh-CN"/>
        </w:rPr>
        <w:t>关于</w:t>
      </w:r>
      <w:r>
        <w:rPr>
          <w:rFonts w:hint="eastAsia" w:ascii="仿宋_GB2312" w:hAnsi="仿宋_GB2312" w:cs="仿宋_GB2312"/>
          <w:color w:val="000000"/>
          <w:kern w:val="0"/>
          <w:sz w:val="28"/>
          <w:szCs w:val="28"/>
        </w:rPr>
        <w:t>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ascii="仿宋_GB2312" w:hAnsi="仿宋_GB2312" w:cs="仿宋_GB2312" w:eastAsiaTheme="minorEastAsia"/>
          <w:sz w:val="28"/>
          <w:szCs w:val="28"/>
          <w:lang w:eastAsia="zh-CN"/>
        </w:rPr>
        <w:t>关于</w:t>
      </w:r>
      <w:r>
        <w:rPr>
          <w:rFonts w:hint="eastAsia" w:ascii="仿宋_GB2312" w:hAnsi="仿宋_GB2312" w:cs="仿宋_GB2312" w:eastAsiaTheme="minorEastAsia"/>
          <w:sz w:val="28"/>
          <w:szCs w:val="28"/>
        </w:rPr>
        <w:t>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ascii="仿宋_GB2312" w:hAnsi="仿宋_GB2312" w:cs="仿宋_GB2312" w:eastAsiaTheme="minorEastAsia"/>
          <w:sz w:val="28"/>
          <w:szCs w:val="28"/>
          <w:lang w:eastAsia="zh-CN"/>
        </w:rPr>
        <w:t>关于</w:t>
      </w:r>
      <w:r>
        <w:rPr>
          <w:rFonts w:hint="eastAsia" w:cs="仿宋_GB2312" w:asciiTheme="minorEastAsia" w:hAnsiTheme="minorEastAsia" w:eastAsiaTheme="minorEastAsia"/>
          <w:sz w:val="28"/>
          <w:szCs w:val="28"/>
          <w:lang w:eastAsia="zh-CN"/>
        </w:rPr>
        <w:t>2022</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度绩效</w:t>
      </w:r>
      <w:r>
        <w:rPr>
          <w:rFonts w:hint="eastAsia" w:ascii="仿宋_GB2312" w:hAnsi="仿宋_GB2312" w:cs="仿宋_GB2312" w:eastAsiaTheme="minorEastAsia"/>
          <w:sz w:val="28"/>
          <w:szCs w:val="28"/>
          <w:lang w:eastAsia="zh-CN"/>
        </w:rPr>
        <w:t>评价</w:t>
      </w:r>
      <w:r>
        <w:rPr>
          <w:rFonts w:hint="eastAsia" w:ascii="仿宋_GB2312" w:hAnsi="仿宋_GB2312" w:cs="仿宋_GB2312" w:eastAsiaTheme="minorEastAsia"/>
          <w:sz w:val="28"/>
          <w:szCs w:val="28"/>
        </w:rPr>
        <w:t>情况</w:t>
      </w:r>
      <w:r>
        <w:rPr>
          <w:rFonts w:hint="eastAsia" w:ascii="仿宋_GB2312" w:hAnsi="仿宋_GB2312" w:cs="仿宋_GB2312" w:eastAsiaTheme="minorEastAsia"/>
          <w:sz w:val="28"/>
          <w:szCs w:val="28"/>
          <w:lang w:eastAsia="zh-CN"/>
        </w:rPr>
        <w:t>的</w:t>
      </w:r>
      <w:r>
        <w:rPr>
          <w:rFonts w:hint="eastAsia" w:ascii="仿宋_GB2312" w:hAnsi="仿宋_GB2312" w:cs="仿宋_GB2312" w:eastAsiaTheme="minorEastAsia"/>
          <w:sz w:val="28"/>
          <w:szCs w:val="28"/>
        </w:rPr>
        <w:t>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第五部分附件</w:t>
      </w:r>
    </w:p>
    <w:p>
      <w:pPr>
        <w:autoSpaceDE w:val="0"/>
        <w:autoSpaceDN w:val="0"/>
        <w:adjustRightInd w:val="0"/>
        <w:spacing w:line="500" w:lineRule="exact"/>
        <w:jc w:val="left"/>
        <w:outlineLvl w:val="0"/>
        <w:rPr>
          <w:rFonts w:hint="eastAsia" w:ascii="黑体" w:hAnsi="黑体" w:eastAsia="黑体" w:cs="仿宋_GB2312"/>
          <w:b/>
          <w:color w:val="000000"/>
          <w:kern w:val="0"/>
          <w:sz w:val="28"/>
          <w:szCs w:val="28"/>
        </w:rPr>
      </w:pPr>
    </w:p>
    <w:p>
      <w:pPr>
        <w:autoSpaceDE w:val="0"/>
        <w:autoSpaceDN w:val="0"/>
        <w:adjustRightInd w:val="0"/>
        <w:spacing w:line="500" w:lineRule="exact"/>
        <w:jc w:val="left"/>
        <w:outlineLvl w:val="0"/>
        <w:rPr>
          <w:rFonts w:ascii="黑体" w:hAnsi="黑体" w:eastAsia="黑体" w:cs="仿宋_GB2312"/>
          <w:b/>
          <w:color w:val="000000"/>
          <w:kern w:val="0"/>
          <w:sz w:val="28"/>
          <w:szCs w:val="28"/>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岳阳县建设工程质量监督站概况</w:t>
      </w:r>
    </w:p>
    <w:p>
      <w:pPr>
        <w:pStyle w:val="12"/>
        <w:ind w:left="720" w:firstLine="0" w:firstLineChars="0"/>
        <w:jc w:val="left"/>
        <w:rPr>
          <w:rFonts w:ascii="黑体" w:hAnsi="黑体" w:eastAsia="黑体"/>
          <w:sz w:val="32"/>
          <w:szCs w:val="32"/>
        </w:rPr>
      </w:pPr>
    </w:p>
    <w:p>
      <w:pPr>
        <w:pStyle w:val="12"/>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ind w:firstLine="640" w:firstLineChars="200"/>
        <w:jc w:val="left"/>
        <w:rPr>
          <w:rFonts w:asciiTheme="minorEastAsia" w:hAnsiTheme="minorEastAsia"/>
          <w:sz w:val="32"/>
          <w:szCs w:val="32"/>
        </w:rPr>
      </w:pPr>
      <w:r>
        <w:rPr>
          <w:rFonts w:hint="eastAsia" w:asciiTheme="minorEastAsia" w:hAnsiTheme="minorEastAsia"/>
          <w:sz w:val="32"/>
          <w:szCs w:val="32"/>
        </w:rPr>
        <w:t>全县建筑工程质量监督和监理，技术指导、工程验收、材料质量评定，处理质量事故。</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w:t>
      </w:r>
      <w:r>
        <w:rPr>
          <w:rFonts w:hint="eastAsia" w:ascii="黑体" w:hAnsi="黑体" w:eastAsia="黑体"/>
          <w:bCs/>
          <w:kern w:val="0"/>
          <w:sz w:val="32"/>
          <w:szCs w:val="32"/>
          <w:lang w:eastAsia="zh-CN"/>
        </w:rPr>
        <w:t>部门</w:t>
      </w:r>
      <w:r>
        <w:rPr>
          <w:rFonts w:hint="eastAsia" w:ascii="黑体" w:hAnsi="黑体" w:eastAsia="黑体"/>
          <w:bCs/>
          <w:kern w:val="0"/>
          <w:sz w:val="32"/>
          <w:szCs w:val="32"/>
        </w:rPr>
        <w:t>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6"/>
        <w:widowControl/>
        <w:shd w:val="clear" w:color="auto" w:fill="FFFFFF"/>
        <w:spacing w:before="0" w:beforeAutospacing="0" w:after="0" w:afterAutospacing="0" w:line="33" w:lineRule="atLeast"/>
        <w:ind w:firstLine="640" w:firstLineChars="200"/>
        <w:jc w:val="both"/>
        <w:rPr>
          <w:rFonts w:asciiTheme="minorEastAsia" w:hAnsiTheme="minorEastAsia" w:cstheme="minorBidi"/>
          <w:kern w:val="2"/>
          <w:sz w:val="32"/>
          <w:szCs w:val="32"/>
        </w:rPr>
      </w:pPr>
      <w:r>
        <w:rPr>
          <w:rFonts w:hint="eastAsia" w:asciiTheme="minorEastAsia" w:hAnsiTheme="minorEastAsia" w:cstheme="minorBidi"/>
          <w:kern w:val="2"/>
          <w:sz w:val="32"/>
          <w:szCs w:val="32"/>
        </w:rPr>
        <w:t>岳阳县建设工程质量监督站单位内设股室8个：办公室、财务室、监督一室、监督二室、考评室、档案室、政务中心窗口、宏博工程检测有限公司。</w:t>
      </w:r>
    </w:p>
    <w:p>
      <w:pPr>
        <w:pStyle w:val="6"/>
        <w:widowControl/>
        <w:numPr>
          <w:ilvl w:val="0"/>
          <w:numId w:val="2"/>
        </w:numPr>
        <w:shd w:val="clear" w:color="auto" w:fill="FFFFFF"/>
        <w:spacing w:before="0" w:beforeAutospacing="0" w:after="0" w:afterAutospacing="0" w:line="33" w:lineRule="atLeast"/>
        <w:ind w:firstLine="420"/>
        <w:jc w:val="both"/>
        <w:rPr>
          <w:rFonts w:hint="eastAsia" w:asciiTheme="minorEastAsia" w:hAnsiTheme="minorEastAsia" w:cstheme="minorBidi"/>
          <w:kern w:val="2"/>
          <w:sz w:val="32"/>
          <w:szCs w:val="32"/>
        </w:rPr>
      </w:pPr>
      <w:r>
        <w:rPr>
          <w:rFonts w:hint="eastAsia" w:asciiTheme="minorEastAsia" w:hAnsiTheme="minorEastAsia" w:cstheme="minorBidi"/>
          <w:kern w:val="2"/>
          <w:sz w:val="32"/>
          <w:szCs w:val="32"/>
          <w:lang w:eastAsia="zh-CN"/>
        </w:rPr>
        <w:t>部门</w:t>
      </w:r>
      <w:r>
        <w:rPr>
          <w:rFonts w:hint="eastAsia" w:asciiTheme="minorEastAsia" w:hAnsiTheme="minorEastAsia" w:cstheme="minorBidi"/>
          <w:kern w:val="2"/>
          <w:sz w:val="32"/>
          <w:szCs w:val="32"/>
        </w:rPr>
        <w:t>决算单位构成。</w:t>
      </w:r>
    </w:p>
    <w:p>
      <w:pPr>
        <w:pStyle w:val="6"/>
        <w:widowControl/>
        <w:numPr>
          <w:ilvl w:val="0"/>
          <w:numId w:val="0"/>
        </w:numPr>
        <w:shd w:val="clear" w:color="auto" w:fill="FFFFFF"/>
        <w:spacing w:before="0" w:beforeAutospacing="0" w:after="0" w:afterAutospacing="0" w:line="33" w:lineRule="atLeast"/>
        <w:ind w:firstLine="640" w:firstLineChars="200"/>
        <w:jc w:val="both"/>
        <w:rPr>
          <w:rFonts w:asciiTheme="minorEastAsia" w:hAnsiTheme="minorEastAsia" w:cstheme="minorBidi"/>
          <w:kern w:val="2"/>
          <w:sz w:val="32"/>
          <w:szCs w:val="32"/>
        </w:rPr>
      </w:pPr>
      <w:r>
        <w:rPr>
          <w:rFonts w:hint="eastAsia" w:asciiTheme="minorEastAsia" w:hAnsiTheme="minorEastAsia" w:cstheme="minorBidi"/>
          <w:kern w:val="2"/>
          <w:sz w:val="32"/>
          <w:szCs w:val="32"/>
        </w:rPr>
        <w:t>岳阳县建设工程质量监督站</w:t>
      </w:r>
      <w:r>
        <w:rPr>
          <w:rFonts w:hint="eastAsia" w:ascii="宋体" w:hAnsi="宋体"/>
          <w:bCs/>
          <w:kern w:val="0"/>
          <w:sz w:val="32"/>
          <w:szCs w:val="32"/>
          <w:lang w:eastAsia="zh-CN"/>
        </w:rPr>
        <w:t>2022</w:t>
      </w:r>
      <w:r>
        <w:rPr>
          <w:rFonts w:hint="eastAsia" w:ascii="宋体" w:hAnsi="宋体"/>
          <w:bCs/>
          <w:kern w:val="0"/>
          <w:sz w:val="32"/>
          <w:szCs w:val="32"/>
        </w:rPr>
        <w:t>年部门决算汇总公开单位构成包括：</w:t>
      </w:r>
      <w:r>
        <w:rPr>
          <w:rFonts w:hint="eastAsia" w:asciiTheme="minorEastAsia" w:hAnsiTheme="minorEastAsia" w:cstheme="minorBidi"/>
          <w:kern w:val="2"/>
          <w:sz w:val="32"/>
          <w:szCs w:val="32"/>
        </w:rPr>
        <w:t>岳阳县建设工程质量监督站</w:t>
      </w:r>
      <w:r>
        <w:rPr>
          <w:rFonts w:hint="eastAsia" w:asciiTheme="minorEastAsia" w:hAnsiTheme="minorEastAsia" w:cstheme="minorBidi"/>
          <w:kern w:val="2"/>
          <w:sz w:val="32"/>
          <w:szCs w:val="32"/>
          <w:lang w:val="en-US" w:eastAsia="zh-CN"/>
        </w:rPr>
        <w:t>单位本级，本单位</w:t>
      </w:r>
      <w:r>
        <w:rPr>
          <w:rFonts w:hint="eastAsia" w:asciiTheme="minorEastAsia" w:hAnsiTheme="minorEastAsia" w:cstheme="minorBidi"/>
          <w:kern w:val="2"/>
          <w:sz w:val="32"/>
          <w:szCs w:val="32"/>
        </w:rPr>
        <w:t>没有所属二级机构，因此本年度部门预算仅为本级部门决算。</w:t>
      </w:r>
    </w:p>
    <w:p>
      <w:pPr>
        <w:jc w:val="center"/>
        <w:rPr>
          <w:sz w:val="72"/>
          <w:szCs w:val="72"/>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 部门决算表</w:t>
      </w: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（见附件）</w:t>
      </w: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pPr>
        <w:pStyle w:val="11"/>
        <w:jc w:val="center"/>
        <w:rPr>
          <w:rFonts w:ascii="宋体" w:hAnsi="宋体" w:eastAsia="宋体"/>
          <w:sz w:val="32"/>
          <w:szCs w:val="32"/>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pStyle w:val="11"/>
        <w:outlineLvl w:val="0"/>
        <w:rPr>
          <w:rFonts w:hAnsi="黑体"/>
          <w:b/>
          <w:sz w:val="32"/>
          <w:szCs w:val="32"/>
        </w:rPr>
      </w:pPr>
      <w:r>
        <w:rPr>
          <w:rFonts w:hint="eastAsia" w:hAnsi="黑体"/>
          <w:b/>
          <w:sz w:val="32"/>
          <w:szCs w:val="32"/>
        </w:rPr>
        <w:t>一、收入支出决算总体情况说明</w:t>
      </w:r>
    </w:p>
    <w:p>
      <w:pPr>
        <w:pStyle w:val="11"/>
        <w:ind w:firstLine="640" w:firstLineChars="200"/>
        <w:outlineLvl w:val="0"/>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2022年度收、支总计88.21万元，与上年相比，减少57.72万元，减少39.55%，主要原因是上年度存在年初结转和结余资金。</w:t>
      </w:r>
    </w:p>
    <w:p>
      <w:pPr>
        <w:pStyle w:val="11"/>
        <w:outlineLvl w:val="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43.61</w:t>
      </w:r>
      <w:r>
        <w:rPr>
          <w:rFonts w:hint="eastAsia" w:asciiTheme="minorEastAsia" w:hAnsiTheme="minorEastAsia" w:eastAsiaTheme="minorEastAsia"/>
          <w:sz w:val="32"/>
          <w:szCs w:val="32"/>
        </w:rPr>
        <w:t>万元（不含年初结转和结余资金），其中：财政拨款收入</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上级补助收入</w:t>
      </w:r>
      <w:r>
        <w:rPr>
          <w:rFonts w:hint="eastAsia" w:asciiTheme="minorEastAsia" w:hAnsiTheme="minorEastAsia" w:eastAsiaTheme="minorEastAsia"/>
          <w:sz w:val="32"/>
          <w:szCs w:val="32"/>
          <w:lang w:val="en-US" w:eastAsia="zh-CN"/>
        </w:rPr>
        <w:t>0万元，占0%；事业收入0万元，占0%；经营收入0万元，占0%；附属单位上缴收入0万元，占0%；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0.44</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三、支出决算情况说明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88.21</w:t>
      </w:r>
      <w:r>
        <w:rPr>
          <w:rFonts w:hint="eastAsia" w:asciiTheme="minorEastAsia" w:hAnsiTheme="minorEastAsia" w:eastAsiaTheme="minorEastAsia"/>
          <w:sz w:val="32"/>
          <w:szCs w:val="32"/>
        </w:rPr>
        <w:t>万元（不含年末结转和结余资金），其中：基本支出</w:t>
      </w:r>
      <w:r>
        <w:rPr>
          <w:rFonts w:hint="eastAsia" w:asciiTheme="minorEastAsia" w:hAnsiTheme="minorEastAsia" w:eastAsiaTheme="minorEastAsia"/>
          <w:sz w:val="32"/>
          <w:szCs w:val="32"/>
          <w:lang w:val="en-US" w:eastAsia="zh-CN"/>
        </w:rPr>
        <w:t>88.21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hint="default" w:ascii="宋体" w:hAnsi="宋体" w:eastAsia="宋体"/>
          <w:sz w:val="32"/>
          <w:szCs w:val="32"/>
          <w:lang w:val="en-US" w:eastAsia="zh-CN"/>
        </w:rPr>
      </w:pPr>
      <w:r>
        <w:rPr>
          <w:rFonts w:hint="eastAsia" w:ascii="宋体" w:hAnsi="宋体" w:eastAsia="宋体"/>
          <w:sz w:val="32"/>
          <w:szCs w:val="32"/>
          <w:lang w:eastAsia="zh-CN"/>
        </w:rPr>
        <w:t>2022</w:t>
      </w:r>
      <w:r>
        <w:rPr>
          <w:rFonts w:hint="eastAsia" w:ascii="宋体" w:hAnsi="宋体" w:eastAsia="宋体"/>
          <w:sz w:val="32"/>
          <w:szCs w:val="32"/>
        </w:rPr>
        <w:t>年度财政拨款收</w:t>
      </w:r>
      <w:r>
        <w:rPr>
          <w:rFonts w:hint="eastAsia" w:ascii="宋体" w:hAnsi="宋体" w:eastAsia="宋体"/>
          <w:sz w:val="32"/>
          <w:szCs w:val="32"/>
          <w:lang w:eastAsia="zh-CN"/>
        </w:rPr>
        <w:t>、支总计</w:t>
      </w:r>
      <w:r>
        <w:rPr>
          <w:rFonts w:hint="eastAsia" w:ascii="宋体" w:hAnsi="宋体" w:eastAsia="宋体"/>
          <w:sz w:val="32"/>
          <w:szCs w:val="32"/>
          <w:lang w:val="en-US" w:eastAsia="zh-CN"/>
        </w:rPr>
        <w:t>43.42万元，与上年相比，减少23.62万元，减少35.23%，主要原因是上年度存在年初结转和结余资金。</w:t>
      </w:r>
    </w:p>
    <w:p>
      <w:pPr>
        <w:pStyle w:val="11"/>
        <w:outlineLvl w:val="0"/>
        <w:rPr>
          <w:rFonts w:hAnsi="黑体"/>
          <w:b/>
          <w:sz w:val="32"/>
          <w:szCs w:val="32"/>
        </w:rPr>
      </w:pPr>
      <w:r>
        <w:rPr>
          <w:rFonts w:hint="eastAsia" w:hAnsi="黑体"/>
          <w:b/>
          <w:sz w:val="32"/>
          <w:szCs w:val="32"/>
        </w:rPr>
        <w:t>五、一般公共预算财政拨款支出决算情况说明</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firstLineChars="200"/>
        <w:rPr>
          <w:rFonts w:ascii="宋体" w:hAnsi="宋体" w:eastAsia="宋体"/>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49.22</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15.26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54.19</w:t>
      </w:r>
      <w:r>
        <w:rPr>
          <w:rFonts w:hint="eastAsia" w:asciiTheme="minorEastAsia" w:hAnsiTheme="minorEastAsia" w:eastAsiaTheme="minorEastAsia"/>
          <w:sz w:val="32"/>
          <w:szCs w:val="32"/>
        </w:rPr>
        <w:t>%，主要是因为</w:t>
      </w:r>
      <w:r>
        <w:rPr>
          <w:rFonts w:hint="eastAsia" w:ascii="宋体" w:hAnsi="宋体" w:eastAsia="宋体"/>
          <w:sz w:val="32"/>
          <w:szCs w:val="32"/>
          <w:lang w:val="en-US" w:eastAsia="zh-CN"/>
        </w:rPr>
        <w:t>人员经费增加。</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万元，主要用于以下方面：城乡社区（类）支出</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万元，占100%。</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96.49</w:t>
      </w:r>
      <w:r>
        <w:rPr>
          <w:rFonts w:hint="eastAsia" w:asciiTheme="minorEastAsia" w:hAnsiTheme="minorEastAsia" w:eastAsiaTheme="minorEastAsia"/>
          <w:sz w:val="32"/>
          <w:szCs w:val="32"/>
        </w:rPr>
        <w:t>%，其中：</w:t>
      </w:r>
    </w:p>
    <w:p>
      <w:pPr>
        <w:pStyle w:val="11"/>
        <w:numPr>
          <w:ilvl w:val="0"/>
          <w:numId w:val="3"/>
        </w:numPr>
        <w:ind w:firstLine="800" w:firstLineChars="250"/>
        <w:outlineLvl w:val="2"/>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城乡社区支出（类）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城乡社区管理事务（款）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工程建设标准规划编制与监管（项）</w:t>
      </w:r>
    </w:p>
    <w:p>
      <w:pPr>
        <w:pStyle w:val="11"/>
        <w:numPr>
          <w:ilvl w:val="0"/>
          <w:numId w:val="0"/>
        </w:numPr>
        <w:ind w:firstLine="640" w:firstLineChars="20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43.42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96.49</w:t>
      </w:r>
      <w:r>
        <w:rPr>
          <w:rFonts w:hint="eastAsia" w:asciiTheme="minorEastAsia" w:hAnsiTheme="minorEastAsia" w:eastAsiaTheme="minorEastAsia"/>
          <w:sz w:val="32"/>
          <w:szCs w:val="32"/>
        </w:rPr>
        <w:t>%，决算数小于年初预算数的主要原因是：第13个月工资及年度奖励金跨年度支付。</w:t>
      </w:r>
    </w:p>
    <w:p>
      <w:pPr>
        <w:pStyle w:val="11"/>
        <w:outlineLvl w:val="0"/>
        <w:rPr>
          <w:rFonts w:hAnsi="黑体"/>
          <w:b/>
          <w:sz w:val="32"/>
          <w:szCs w:val="32"/>
        </w:rPr>
      </w:pPr>
      <w:r>
        <w:rPr>
          <w:rFonts w:hint="eastAsia" w:hAnsi="黑体"/>
          <w:b/>
          <w:sz w:val="32"/>
          <w:szCs w:val="32"/>
        </w:rPr>
        <w:t>六、一般公共预算财政拨款基本支出决算情况说明</w:t>
      </w:r>
    </w:p>
    <w:p>
      <w:pPr>
        <w:pStyle w:val="6"/>
        <w:widowControl/>
        <w:shd w:val="clear" w:color="auto" w:fill="FFFFFF"/>
        <w:spacing w:before="0" w:beforeAutospacing="0" w:after="0" w:afterAutospacing="0" w:line="33" w:lineRule="atLeast"/>
        <w:ind w:firstLine="640" w:firstLineChars="200"/>
        <w:jc w:val="both"/>
        <w:rPr>
          <w:rFonts w:ascii="微软雅黑" w:hAnsi="微软雅黑" w:eastAsia="微软雅黑" w:cs="微软雅黑"/>
          <w:color w:val="555555"/>
          <w:shd w:val="clear" w:color="auto" w:fill="FFFFFF"/>
        </w:rPr>
      </w:pPr>
      <w:r>
        <w:rPr>
          <w:rFonts w:hint="eastAsia" w:asciiTheme="minorEastAsia" w:hAnsiTheme="minorEastAsia"/>
          <w:sz w:val="32"/>
          <w:szCs w:val="32"/>
          <w:lang w:eastAsia="zh-CN"/>
        </w:rPr>
        <w:t>2022</w:t>
      </w:r>
      <w:r>
        <w:rPr>
          <w:rFonts w:hint="eastAsia" w:asciiTheme="minorEastAsia" w:hAnsiTheme="minorEastAsia"/>
          <w:sz w:val="32"/>
          <w:szCs w:val="32"/>
        </w:rPr>
        <w:t>年度财政拨款基本支出</w:t>
      </w:r>
      <w:r>
        <w:rPr>
          <w:rFonts w:hint="eastAsia" w:asciiTheme="minorEastAsia" w:hAnsiTheme="minorEastAsia"/>
          <w:sz w:val="32"/>
          <w:szCs w:val="32"/>
          <w:lang w:val="en-US" w:eastAsia="zh-CN"/>
        </w:rPr>
        <w:t>43.42</w:t>
      </w:r>
      <w:r>
        <w:rPr>
          <w:rFonts w:hint="eastAsia" w:asciiTheme="minorEastAsia" w:hAnsiTheme="minorEastAsia"/>
          <w:sz w:val="32"/>
          <w:szCs w:val="32"/>
        </w:rPr>
        <w:t>万元，其中：人员经费</w:t>
      </w:r>
      <w:r>
        <w:rPr>
          <w:rFonts w:hint="eastAsia" w:asciiTheme="minorEastAsia" w:hAnsiTheme="minorEastAsia"/>
          <w:sz w:val="32"/>
          <w:szCs w:val="32"/>
          <w:lang w:val="en-US" w:eastAsia="zh-CN"/>
        </w:rPr>
        <w:t>43.12</w:t>
      </w:r>
      <w:r>
        <w:rPr>
          <w:rFonts w:hint="eastAsia" w:asciiTheme="minorEastAsia" w:hAnsiTheme="minorEastAsia"/>
          <w:sz w:val="32"/>
          <w:szCs w:val="32"/>
        </w:rPr>
        <w:t>万元，占基本支出的</w:t>
      </w:r>
      <w:r>
        <w:rPr>
          <w:rFonts w:hint="eastAsia" w:asciiTheme="minorEastAsia" w:hAnsiTheme="minorEastAsia"/>
          <w:sz w:val="32"/>
          <w:szCs w:val="32"/>
          <w:lang w:val="en-US" w:eastAsia="zh-CN"/>
        </w:rPr>
        <w:t>99.31</w:t>
      </w:r>
      <w:r>
        <w:rPr>
          <w:rFonts w:hint="eastAsia" w:asciiTheme="minorEastAsia" w:hAnsiTheme="minorEastAsia"/>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Theme="minorEastAsia" w:hAnsiTheme="minorEastAsia"/>
          <w:sz w:val="32"/>
          <w:szCs w:val="32"/>
          <w:lang w:val="en-US" w:eastAsia="zh-CN"/>
        </w:rPr>
        <w:t>0.3</w:t>
      </w:r>
      <w:r>
        <w:rPr>
          <w:rFonts w:hint="eastAsia" w:asciiTheme="minorEastAsia" w:hAnsiTheme="minorEastAsia"/>
          <w:sz w:val="32"/>
          <w:szCs w:val="32"/>
        </w:rPr>
        <w:t>元，占基本支出的</w:t>
      </w:r>
      <w:r>
        <w:rPr>
          <w:rFonts w:hint="eastAsia" w:asciiTheme="minorEastAsia" w:hAnsiTheme="minorEastAsia"/>
          <w:sz w:val="32"/>
          <w:szCs w:val="32"/>
          <w:lang w:val="en-US" w:eastAsia="zh-CN"/>
        </w:rPr>
        <w:t>0.69</w:t>
      </w:r>
      <w:r>
        <w:rPr>
          <w:rFonts w:hint="eastAsia" w:asciiTheme="minorEastAsia" w:hAnsi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等支出。</w:t>
      </w:r>
    </w:p>
    <w:p>
      <w:pPr>
        <w:pStyle w:val="11"/>
        <w:outlineLvl w:val="0"/>
        <w:rPr>
          <w:rFonts w:hAnsi="黑体"/>
          <w:b/>
          <w:sz w:val="32"/>
          <w:szCs w:val="32"/>
        </w:rPr>
      </w:pPr>
      <w:r>
        <w:rPr>
          <w:rFonts w:hint="eastAsia" w:hAnsi="黑体"/>
          <w:b/>
          <w:sz w:val="32"/>
          <w:szCs w:val="32"/>
        </w:rPr>
        <w:t>七、政府性基金预算收入支出决算情况</w:t>
      </w:r>
    </w:p>
    <w:p>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年度本单位无政府性基金预算财政拨款收支。</w:t>
      </w:r>
    </w:p>
    <w:p>
      <w:pPr>
        <w:pStyle w:val="11"/>
        <w:numPr>
          <w:numId w:val="0"/>
        </w:numPr>
        <w:outlineLvl w:val="0"/>
        <w:rPr>
          <w:rFonts w:hAnsi="黑体"/>
          <w:b/>
          <w:sz w:val="32"/>
          <w:szCs w:val="32"/>
        </w:rPr>
      </w:pPr>
      <w:r>
        <w:rPr>
          <w:rFonts w:hint="eastAsia" w:hAnsi="黑体"/>
          <w:b/>
          <w:sz w:val="32"/>
          <w:szCs w:val="32"/>
        </w:rPr>
        <w:t>八、国有资本经营预算财政拨款支出决算情况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年度本单位无国有资本经营预算财政拨款收支。</w:t>
      </w:r>
    </w:p>
    <w:p>
      <w:pPr>
        <w:pStyle w:val="11"/>
        <w:outlineLvl w:val="0"/>
        <w:rPr>
          <w:rFonts w:hAnsi="黑体"/>
          <w:b/>
          <w:sz w:val="32"/>
          <w:szCs w:val="32"/>
        </w:rPr>
      </w:pPr>
      <w:r>
        <w:rPr>
          <w:rFonts w:hint="eastAsia" w:hAnsi="黑体"/>
          <w:b/>
          <w:sz w:val="32"/>
          <w:szCs w:val="32"/>
          <w:lang w:eastAsia="zh-CN"/>
        </w:rPr>
        <w:t>九、</w:t>
      </w:r>
      <w:r>
        <w:rPr>
          <w:rFonts w:hint="eastAsia" w:hAnsi="黑体"/>
          <w:b/>
          <w:sz w:val="32"/>
          <w:szCs w:val="32"/>
        </w:rPr>
        <w:t>财政拨款“三公”经费支出决算情况说明</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年度“三公”经费财政拨款支出预算为0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万元，完成预算的0%，其中：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万元，完成预算的0%，</w:t>
      </w:r>
      <w:r>
        <w:rPr>
          <w:rFonts w:hint="eastAsia" w:asciiTheme="minorEastAsia" w:hAnsiTheme="minorEastAsia" w:eastAsiaTheme="minorEastAsia"/>
          <w:sz w:val="32"/>
          <w:szCs w:val="32"/>
          <w:lang w:eastAsia="zh-CN"/>
        </w:rPr>
        <w:t>决算数等于预算数的主要原因是今年未安排出国出境，与上年相比无变化，主要原因是今年及去年均未安排出国出境</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万元，完成预算的0%，</w:t>
      </w:r>
      <w:r>
        <w:rPr>
          <w:rFonts w:hint="eastAsia" w:asciiTheme="minorEastAsia" w:hAnsiTheme="minorEastAsia" w:eastAsiaTheme="minorEastAsia"/>
          <w:sz w:val="32"/>
          <w:szCs w:val="32"/>
          <w:lang w:eastAsia="zh-CN"/>
        </w:rPr>
        <w:t>决算数等于预算数的主要原因是今年无公务接待活动，与上年相比无变化，主要原因是今年及去年均无公务接待活动</w:t>
      </w:r>
      <w:r>
        <w:rPr>
          <w:rFonts w:hint="eastAsia" w:asciiTheme="minorEastAsia" w:hAnsiTheme="minorEastAsia" w:eastAsiaTheme="minorEastAsia"/>
          <w:sz w:val="32"/>
          <w:szCs w:val="32"/>
        </w:rPr>
        <w:t>。</w:t>
      </w:r>
    </w:p>
    <w:p>
      <w:pPr>
        <w:pStyle w:val="11"/>
        <w:ind w:firstLine="640" w:firstLineChars="200"/>
        <w:rPr>
          <w:rFonts w:hint="eastAsia" w:eastAsia="微软雅黑" w:asciiTheme="minorEastAsia" w:hAnsiTheme="minorEastAsia"/>
          <w:sz w:val="32"/>
          <w:szCs w:val="32"/>
          <w:lang w:eastAsia="zh-CN"/>
        </w:rPr>
      </w:pPr>
      <w:r>
        <w:rPr>
          <w:rFonts w:hint="eastAsia" w:asciiTheme="minorEastAsia" w:hAnsiTheme="minorEastAsia" w:eastAsiaTheme="minorEastAsia"/>
          <w:sz w:val="32"/>
          <w:szCs w:val="32"/>
        </w:rPr>
        <w:t>公务用车购置费支出预算为0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万元，完成预算的0%，决算数等于预算数的主要原因是</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rPr>
        <w:t>购置公务用车，与上年相比无变化，主要原因是今年及去年均</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rPr>
        <w:t>购置公务用车</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万元，完成预算的0%，决算数与预算数持平</w:t>
      </w:r>
      <w:r>
        <w:rPr>
          <w:rFonts w:hint="eastAsia" w:asciiTheme="minorEastAsia" w:hAnsiTheme="minorEastAsia" w:eastAsiaTheme="minorEastAsia"/>
          <w:sz w:val="32"/>
          <w:szCs w:val="32"/>
          <w:lang w:val="en-US" w:eastAsia="zh-CN"/>
        </w:rPr>
        <w:t>的主要原因是未安排</w:t>
      </w:r>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主要原因是未安排</w:t>
      </w:r>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eastAsia="zh-CN"/>
        </w:rPr>
        <w:t>。</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年度“三公”经费财政拨款支出决算中，公务接待费支出决算0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万元，占0%,因公出国（境）费支出决算0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万元，占0%,公务用车购置费及运行维护费支出决算0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万元，占0%。其中：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万元，全年安排因公出国（境）团组0个，累计0人次。</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万元，全年共接待来访团组0个、来宾0人次。</w:t>
      </w:r>
    </w:p>
    <w:p>
      <w:pPr>
        <w:ind w:firstLine="800" w:firstLineChars="250"/>
        <w:rPr>
          <w:rFonts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3、公务用车购置费及运行维护费支出决算为0</w:t>
      </w:r>
      <w:r>
        <w:rPr>
          <w:rFonts w:hint="eastAsia" w:asciiTheme="minorEastAsia" w:hAnsiTheme="minorEastAsia"/>
          <w:sz w:val="32"/>
          <w:szCs w:val="32"/>
          <w:lang w:val="en-US" w:eastAsia="zh-CN"/>
        </w:rPr>
        <w:t>.00</w:t>
      </w:r>
      <w:r>
        <w:rPr>
          <w:rFonts w:hint="eastAsia" w:asciiTheme="minorEastAsia" w:hAnsiTheme="minorEastAsia"/>
          <w:sz w:val="32"/>
          <w:szCs w:val="32"/>
        </w:rPr>
        <w:t>万元，其中：公务用车购置费0</w:t>
      </w:r>
      <w:r>
        <w:rPr>
          <w:rFonts w:hint="eastAsia" w:asciiTheme="minorEastAsia" w:hAnsiTheme="minorEastAsia"/>
          <w:sz w:val="32"/>
          <w:szCs w:val="32"/>
          <w:lang w:val="en-US" w:eastAsia="zh-CN"/>
        </w:rPr>
        <w:t>.00</w:t>
      </w:r>
      <w:r>
        <w:rPr>
          <w:rFonts w:hint="eastAsia" w:asciiTheme="minorEastAsia" w:hAnsiTheme="minorEastAsia"/>
          <w:sz w:val="32"/>
          <w:szCs w:val="32"/>
        </w:rPr>
        <w:t>万元，岳阳县建设工程质量监督站更新公务用车0辆。公务用车运行维护费0</w:t>
      </w:r>
      <w:r>
        <w:rPr>
          <w:rFonts w:hint="eastAsia" w:asciiTheme="minorEastAsia" w:hAnsiTheme="minorEastAsia"/>
          <w:sz w:val="32"/>
          <w:szCs w:val="32"/>
          <w:lang w:val="en-US" w:eastAsia="zh-CN"/>
        </w:rPr>
        <w:t>.00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截</w:t>
      </w:r>
      <w:r>
        <w:rPr>
          <w:rFonts w:hint="eastAsia" w:asciiTheme="minorEastAsia" w:hAnsiTheme="minorEastAsia"/>
          <w:sz w:val="32"/>
          <w:szCs w:val="32"/>
          <w:lang w:eastAsia="zh-CN"/>
        </w:rPr>
        <w:t>至2022</w:t>
      </w:r>
      <w:r>
        <w:rPr>
          <w:rFonts w:hint="eastAsia" w:asciiTheme="minorEastAsia" w:hAnsiTheme="minorEastAsia"/>
          <w:sz w:val="32"/>
          <w:szCs w:val="32"/>
        </w:rPr>
        <w:t>年12月31日，我单位开支财政拨款的公务用车保有量为0辆。</w:t>
      </w:r>
    </w:p>
    <w:p>
      <w:pPr>
        <w:pStyle w:val="11"/>
        <w:outlineLvl w:val="0"/>
        <w:rPr>
          <w:rFonts w:hAnsi="黑体"/>
          <w:b/>
          <w:sz w:val="32"/>
          <w:szCs w:val="32"/>
        </w:rPr>
      </w:pPr>
      <w:r>
        <w:rPr>
          <w:rFonts w:hint="eastAsia" w:hAnsi="黑体"/>
          <w:b/>
          <w:sz w:val="32"/>
          <w:szCs w:val="32"/>
        </w:rPr>
        <w:t>十、机关运行经费支出说明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，与年初预算数相比无增减变化情况的原因是贯彻落实“过紧日子”有关要求，压减一般性支出</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十一、一般性支出情况说明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年本部门开支会议费0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，人数为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人数为</w:t>
      </w:r>
      <w:r>
        <w:rPr>
          <w:rFonts w:hint="eastAsia" w:asciiTheme="minorEastAsia" w:hAnsiTheme="minorEastAsia" w:eastAsiaTheme="minorEastAsia"/>
          <w:sz w:val="32"/>
          <w:szCs w:val="32"/>
          <w:lang w:val="en-US" w:eastAsia="zh-CN"/>
        </w:rPr>
        <w:t>0人；未</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w:t>
      </w:r>
    </w:p>
    <w:p>
      <w:pPr>
        <w:pStyle w:val="11"/>
        <w:outlineLvl w:val="0"/>
        <w:rPr>
          <w:rFonts w:hAnsi="黑体"/>
          <w:b/>
          <w:sz w:val="32"/>
          <w:szCs w:val="32"/>
        </w:rPr>
      </w:pPr>
      <w:r>
        <w:rPr>
          <w:rFonts w:hint="eastAsia" w:hAnsi="黑体"/>
          <w:b/>
          <w:sz w:val="32"/>
          <w:szCs w:val="32"/>
        </w:rPr>
        <w:t>十二、政府采购支出说明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年度政府采购支出总额0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万元，其中：政府采购货物支出0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万元、政府采购工程支出0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万元、政府采购服务支出0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万元。授予中小企业合同金额0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万元，占政府采购支出总额的0%，其中：授予小微企业合同金额0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万元，占</w:t>
      </w:r>
      <w:r>
        <w:rPr>
          <w:rFonts w:hint="eastAsia" w:ascii="宋体" w:hAnsi="宋体" w:eastAsia="宋体"/>
          <w:sz w:val="32"/>
          <w:szCs w:val="32"/>
        </w:rPr>
        <w:t>占政府采购支出总额的</w:t>
      </w:r>
      <w:r>
        <w:rPr>
          <w:rFonts w:hint="eastAsia" w:asciiTheme="minorEastAsia" w:hAnsiTheme="minorEastAsia" w:eastAsiaTheme="minorEastAsia"/>
          <w:sz w:val="32"/>
          <w:szCs w:val="32"/>
        </w:rPr>
        <w:t>0%；货物采购授予中小企业合同金额占货物支出金额的0%，工程采购授予中小企业合同金额占工程支出金额的0%，服务采购授予中小企业合同金额占服务支出金额的0%。</w:t>
      </w:r>
    </w:p>
    <w:p>
      <w:pPr>
        <w:pStyle w:val="11"/>
        <w:outlineLvl w:val="0"/>
        <w:rPr>
          <w:rFonts w:hAnsi="黑体"/>
          <w:b/>
          <w:sz w:val="32"/>
          <w:szCs w:val="32"/>
        </w:rPr>
      </w:pPr>
      <w:r>
        <w:rPr>
          <w:rFonts w:hint="eastAsia" w:hAnsi="黑体"/>
          <w:b/>
          <w:sz w:val="32"/>
          <w:szCs w:val="32"/>
        </w:rPr>
        <w:t>十三、国有资产占用情况说明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2022</w:t>
      </w:r>
      <w:r>
        <w:rPr>
          <w:rFonts w:hint="eastAsia" w:asciiTheme="minorEastAsia" w:hAnsiTheme="minorEastAsia" w:eastAsiaTheme="minorEastAsia"/>
          <w:sz w:val="32"/>
          <w:szCs w:val="32"/>
        </w:rPr>
        <w:t>年12月31日，</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部门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1"/>
        <w:outlineLvl w:val="0"/>
        <w:rPr>
          <w:rFonts w:hAnsi="黑体"/>
          <w:b/>
          <w:sz w:val="32"/>
          <w:szCs w:val="32"/>
        </w:rPr>
      </w:pPr>
      <w:r>
        <w:rPr>
          <w:rFonts w:hint="eastAsia" w:hAnsi="黑体"/>
          <w:b/>
          <w:sz w:val="32"/>
          <w:szCs w:val="32"/>
        </w:rPr>
        <w:t>十四、</w:t>
      </w:r>
      <w:r>
        <w:rPr>
          <w:rFonts w:hint="eastAsia" w:hAnsi="黑体"/>
          <w:b/>
          <w:sz w:val="32"/>
          <w:szCs w:val="32"/>
          <w:lang w:eastAsia="zh-CN"/>
        </w:rPr>
        <w:t>2022</w:t>
      </w:r>
      <w:r>
        <w:rPr>
          <w:rFonts w:hint="eastAsia" w:hAnsi="黑体"/>
          <w:b/>
          <w:sz w:val="32"/>
          <w:szCs w:val="32"/>
        </w:rPr>
        <w:t>年度预算绩效情况说明</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根据预算绩效管理要求，我部门组织对</w:t>
      </w:r>
      <w:r>
        <w:rPr>
          <w:rFonts w:hint="eastAsia" w:cs="黑体" w:asciiTheme="minorEastAsia" w:hAnsiTheme="minorEastAsia"/>
          <w:color w:val="000000"/>
          <w:kern w:val="0"/>
          <w:sz w:val="32"/>
          <w:szCs w:val="32"/>
          <w:lang w:eastAsia="zh-CN"/>
        </w:rPr>
        <w:t>2022</w:t>
      </w:r>
      <w:r>
        <w:rPr>
          <w:rFonts w:hint="eastAsia" w:cs="黑体" w:asciiTheme="minorEastAsia" w:hAnsiTheme="minorEastAsia"/>
          <w:color w:val="000000"/>
          <w:kern w:val="0"/>
          <w:sz w:val="32"/>
          <w:szCs w:val="32"/>
        </w:rPr>
        <w:t>年度一般公共预算项目支出全面开展绩效自评，其中，一级项目0个，二级项目0个，共涉及资金0</w:t>
      </w:r>
      <w:r>
        <w:rPr>
          <w:rFonts w:hint="eastAsia" w:cs="黑体" w:asciiTheme="minorEastAsia" w:hAnsiTheme="minorEastAsia"/>
          <w:color w:val="000000"/>
          <w:kern w:val="0"/>
          <w:sz w:val="32"/>
          <w:szCs w:val="32"/>
          <w:lang w:val="en-US" w:eastAsia="zh-CN"/>
        </w:rPr>
        <w:t>.00</w:t>
      </w:r>
      <w:r>
        <w:rPr>
          <w:rFonts w:hint="eastAsia" w:cs="黑体" w:asciiTheme="minorEastAsia" w:hAnsiTheme="minorEastAsia"/>
          <w:color w:val="000000"/>
          <w:kern w:val="0"/>
          <w:sz w:val="32"/>
          <w:szCs w:val="32"/>
        </w:rPr>
        <w:t>万元，占一般公共预算项目支出总额的0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组织对</w:t>
      </w:r>
      <w:r>
        <w:rPr>
          <w:rFonts w:hint="eastAsia" w:cs="黑体" w:asciiTheme="minorEastAsia" w:hAnsiTheme="minorEastAsia"/>
          <w:color w:val="000000"/>
          <w:kern w:val="0"/>
          <w:sz w:val="32"/>
          <w:szCs w:val="32"/>
          <w:lang w:val="en-US" w:eastAsia="zh-CN"/>
        </w:rPr>
        <w:t>2022年度0个政府性基金预算项目支出开展绩效自评，共涉及资金0万元，占政府性基金预算项目支出总额的0%。组织对2022年度0个国有资本经营预算项目支出开展绩效自评，共涉及资金0万元，占国有资本经营预算项目开支总额的0%。</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组织对0个项目开展了部门评价，涉及一般公共预算支出0万元，政府性基金预算支出0万元，国有资本经营预算支出0万元。</w:t>
      </w:r>
    </w:p>
    <w:p>
      <w:pPr>
        <w:autoSpaceDE w:val="0"/>
        <w:autoSpaceDN w:val="0"/>
        <w:adjustRightInd w:val="0"/>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组织对岳阳县建设工程质量监督站一个单位开展整体支出绩效评价，涉及一般公共预算支出43.42万元，政府性基金预算支出0万元。从评价情况来看，本单位严格按照年初预算执行单位开支。</w:t>
      </w:r>
    </w:p>
    <w:p>
      <w:pPr>
        <w:autoSpaceDE w:val="0"/>
        <w:autoSpaceDN w:val="0"/>
        <w:adjustRightInd w:val="0"/>
        <w:ind w:firstLine="640" w:firstLineChars="200"/>
        <w:jc w:val="left"/>
        <w:outlineLvl w:val="1"/>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800" w:firstLineChars="250"/>
        <w:jc w:val="left"/>
        <w:outlineLvl w:val="1"/>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单位本年度无项目。</w:t>
      </w:r>
    </w:p>
    <w:p>
      <w:pPr>
        <w:autoSpaceDE w:val="0"/>
        <w:autoSpaceDN w:val="0"/>
        <w:adjustRightInd w:val="0"/>
        <w:ind w:firstLine="640" w:firstLineChars="200"/>
        <w:jc w:val="left"/>
        <w:outlineLvl w:val="1"/>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800" w:firstLineChars="250"/>
        <w:jc w:val="left"/>
        <w:outlineLvl w:val="1"/>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单位本年度无项目。</w:t>
      </w:r>
    </w:p>
    <w:p>
      <w:pPr>
        <w:autoSpaceDE w:val="0"/>
        <w:autoSpaceDN w:val="0"/>
        <w:adjustRightInd w:val="0"/>
        <w:ind w:firstLine="800" w:firstLineChars="250"/>
        <w:jc w:val="left"/>
        <w:outlineLvl w:val="1"/>
        <w:rPr>
          <w:rFonts w:hint="eastAsia" w:cs="黑体" w:asciiTheme="minorEastAsia" w:hAnsiTheme="minorEastAsia"/>
          <w:color w:val="000000"/>
          <w:kern w:val="0"/>
          <w:sz w:val="32"/>
          <w:szCs w:val="32"/>
        </w:rPr>
      </w:pPr>
    </w:p>
    <w:p>
      <w:pPr>
        <w:pStyle w:val="11"/>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11"/>
        <w:jc w:val="center"/>
        <w:rPr>
          <w:sz w:val="44"/>
          <w:szCs w:val="44"/>
        </w:rPr>
      </w:pPr>
    </w:p>
    <w:p>
      <w:pPr>
        <w:pStyle w:val="6"/>
        <w:widowControl/>
        <w:shd w:val="clear" w:color="auto" w:fill="FFFFFF"/>
        <w:spacing w:before="0" w:beforeAutospacing="0" w:after="0" w:afterAutospacing="0" w:line="33" w:lineRule="atLeast"/>
        <w:ind w:firstLine="320" w:firstLineChars="100"/>
        <w:jc w:val="both"/>
        <w:rPr>
          <w:rFonts w:ascii="黑体" w:eastAsia="黑体" w:cs="黑体"/>
          <w:color w:val="000000"/>
          <w:sz w:val="70"/>
          <w:szCs w:val="70"/>
        </w:rPr>
      </w:pPr>
      <w:r>
        <w:rPr>
          <w:rFonts w:hint="eastAsia" w:cs="黑体" w:asciiTheme="minorEastAsia" w:hAnsiTheme="minorEastAsia"/>
          <w:color w:val="000000"/>
          <w:sz w:val="32"/>
          <w:szCs w:val="32"/>
        </w:rPr>
        <w:t>财政拨款收入：指本级财政当年拨付的资金。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其他收入：指除上述“财政拨款收入”、“上级补助收入”、“事业收入”、“经营收入”、“附属单位上缴收入”等以外的收入。</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上年结转和结余：指以前年度尚未完成、结转到本年按有关规定继续使用的资金。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年末结转和结余资金：指本年度或以前年度预算安排、因客观条件发生变化无法按原计划实施，需要延迟到以后年度按有关规定继续使用的资金。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农林水支出（类）：是指用于农林水事务支出，包括保障机构正常运转、完成日常和特定的工作任务或事业发展目标的支出。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基本支出：指保障机构正常运转、完成支日常工作任务而发生的人员支出和公用支出。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项目支出：指在基本支出之外为完成特定行政任务和事业发展目标所发生的支出。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工资福利支出：反映单位开支的在职职工和编制外长期聘用人员的各类劳动报酬，以及为上述人员缴纳的各项社会保险费等。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奖金：反映机关工作人员年终一次性奖金。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机关事业单位基本养老保险缴费：反映机关事业单位缴纳的基本养老保险费。由单位代扣的工作人员基本养老保险缴费，不在此科目反映。职工基本医疗保险缴费：反映单位为职工缴纳的基本医疗保险费。</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公务员医疗补助缴费：反映按规定可享受公务员医疗补助单位为职工缴纳的公务员医疗补助费。</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其他社会保障缴费：反映单位为职工缴纳的基本医疗、失业、工伤、生育等社会保险费，残疾人就业保障金，军队（含武警）为军人缴纳的伤亡、退役医疗等社会保险费。</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住房公积金：反映行政事业单位按人力资源和社会保障部、财政部规定的基本工资和津贴补贴以及规定比例为职工缴纳的住房公积金。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商品和服务支出：反映单位购买商品和服务的支出（不包括用于购置固定资产的支出、战略性和应急储备支出）。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办公费：反映单位购买按财务会计制度规定不符合固定资产确认标准的日常办公用品、书报杂志等支出。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印刷费：反映单位的印刷费支出。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咨询费：反映单位咨询方面的支出。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水费：反映单位支付的水费、污水处理费等支出。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电费：反映单位的电费支出。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邮电费：反映单位开支的信函、包裹、货物等物品的邮寄费及电话费、电报费、传真费、网络通讯费等。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差旅费：反映单位工作人员出差发生的城市间交通费、住宿费、伙食补贴费和市内交通费。</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维修(护)费：反映单位日常开支的固定资产（不包括车船等交通工具）修理和维护费用，网络信息系统运行与维护费用，以及按规定提取的修购基金。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租赁费：反映租赁办公用房、宿舍、专用通讯网以及其他设备等方面的费用。</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会议费：反映会议中按规定开支的住宿费、伙食费、会议室租金、交通费、文件印刷费、医药费等。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培训费：反映除因公出国（境）培训费以外的各类培训支出。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公务接待费：反映单位按规定开支的各类公务接待（含外宾接待）费用。</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劳务费：反映支付给单位和个人的劳务费用，如临时聘用人员、钟点工工资，稿费、翻译费，评审费等。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工会经费：反映单位按规定提取的工会经费。</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其他交通费用：反映单位除公务用车运行维护费以外的其他交通费用。如公务交通补贴，租车费用、出租车费用，飞机、船舶等的燃料费、维修费、保险费等。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税金及附加费用：反映单位提供劳务或销售产品应负担的税金及附加费用，包括营业税、消费税、城市维护建设税、资源税和教育附加等。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对个人和家庭的补助：反映政府用于对个人和家庭的补助支出。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奖励金：反映政府各部门的奖励支出，如对个体私营经济的奖励、计划生育目标责任奖励、独生子女父母奖励等。</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办公设备购置：反映用于购置并按财务会计制度规定纳入固定资产核算范围的办公家具和办公设备的支出，以及按规定提取的修购基金。</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其他资本性支出：反映上述科目中未包括的资本性支出。</w:t>
      </w:r>
    </w:p>
    <w:p>
      <w:pPr>
        <w:pStyle w:val="6"/>
        <w:widowControl/>
        <w:shd w:val="clear" w:color="auto" w:fill="FFFFFF"/>
        <w:spacing w:before="0" w:beforeAutospacing="0" w:after="0" w:afterAutospacing="0" w:line="33" w:lineRule="atLeast"/>
        <w:ind w:firstLine="420"/>
        <w:jc w:val="both"/>
        <w:rPr>
          <w:rFonts w:cs="黑体" w:asciiTheme="minorEastAsia" w:hAnsiTheme="minorEastAsia"/>
          <w:color w:val="000000"/>
          <w:sz w:val="32"/>
          <w:szCs w:val="32"/>
        </w:rPr>
      </w:pPr>
      <w:r>
        <w:rPr>
          <w:rFonts w:hint="eastAsia" w:cs="黑体" w:asciiTheme="minorEastAsia" w:hAnsiTheme="minorEastAsia"/>
          <w:color w:val="00000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公务用车运行维护费等。</w:t>
      </w:r>
    </w:p>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pStyle w:val="11"/>
        <w:jc w:val="center"/>
        <w:rPr>
          <w:sz w:val="72"/>
          <w:szCs w:val="72"/>
        </w:rPr>
      </w:pPr>
      <w:r>
        <w:rPr>
          <w:rFonts w:hint="eastAsia" w:ascii="黑体" w:eastAsia="黑体" w:cs="黑体"/>
          <w:color w:val="000000"/>
          <w:kern w:val="0"/>
          <w:sz w:val="70"/>
          <w:szCs w:val="70"/>
        </w:rPr>
        <w:t>附件</w:t>
      </w:r>
    </w:p>
    <w:p>
      <w:pPr>
        <w:ind w:firstLine="640" w:firstLineChars="200"/>
        <w:jc w:val="left"/>
        <w:rPr>
          <w:rFonts w:hint="eastAsia" w:ascii="宋体" w:hAnsi="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cs="黑体"/>
          <w:b/>
          <w:color w:val="000000"/>
          <w:kern w:val="0"/>
          <w:sz w:val="32"/>
          <w:szCs w:val="32"/>
          <w:lang w:val="en-US" w:eastAsia="zh-CN"/>
        </w:rPr>
        <w:t>1、2022年部门决算公开表格</w:t>
      </w:r>
    </w:p>
    <w:p>
      <w:pPr>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202</w:t>
      </w: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年度部门整体支出绩效评价报告</w:t>
      </w:r>
    </w:p>
    <w:p>
      <w:pPr>
        <w:jc w:val="left"/>
        <w:rPr>
          <w:rFonts w:cs="黑体" w:asciiTheme="minorEastAsia" w:hAnsiTheme="minorEastAsia"/>
          <w:color w:val="000000"/>
          <w:kern w:val="0"/>
          <w:sz w:val="32"/>
          <w:szCs w:val="32"/>
        </w:rPr>
      </w:pPr>
      <w:bookmarkStart w:id="0" w:name="_GoBack"/>
      <w:bookmarkEnd w:id="0"/>
    </w:p>
    <w:p>
      <w:pPr>
        <w:ind w:firstLine="2560" w:firstLineChars="8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D8DB14"/>
    <w:multiLevelType w:val="singleLevel"/>
    <w:tmpl w:val="56D8DB14"/>
    <w:lvl w:ilvl="0" w:tentative="0">
      <w:start w:val="2"/>
      <w:numFmt w:val="chineseCounting"/>
      <w:suff w:val="nothing"/>
      <w:lvlText w:val="（%1）"/>
      <w:lvlJc w:val="left"/>
      <w:rPr>
        <w:rFonts w:hint="eastAsia"/>
      </w:rPr>
    </w:lvl>
  </w:abstractNum>
  <w:abstractNum w:abstractNumId="2">
    <w:nsid w:val="77F99ACD"/>
    <w:multiLevelType w:val="singleLevel"/>
    <w:tmpl w:val="77F99AC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wMjhlZTY0NmI5YjNlMTU1NTJiMDY4MWRhMjE4MDQifQ=="/>
  </w:docVars>
  <w:rsids>
    <w:rsidRoot w:val="004506F9"/>
    <w:rsid w:val="0002229B"/>
    <w:rsid w:val="000273BD"/>
    <w:rsid w:val="000415B7"/>
    <w:rsid w:val="00041E3F"/>
    <w:rsid w:val="00055DAA"/>
    <w:rsid w:val="00061F7B"/>
    <w:rsid w:val="000658A3"/>
    <w:rsid w:val="00074155"/>
    <w:rsid w:val="000873EF"/>
    <w:rsid w:val="0009469E"/>
    <w:rsid w:val="000A3F69"/>
    <w:rsid w:val="00103957"/>
    <w:rsid w:val="00124A1F"/>
    <w:rsid w:val="00140397"/>
    <w:rsid w:val="00152C6D"/>
    <w:rsid w:val="00162D39"/>
    <w:rsid w:val="001678BD"/>
    <w:rsid w:val="00182373"/>
    <w:rsid w:val="001A67DB"/>
    <w:rsid w:val="001C3C29"/>
    <w:rsid w:val="001D51E5"/>
    <w:rsid w:val="001E080D"/>
    <w:rsid w:val="001E1932"/>
    <w:rsid w:val="001E53D0"/>
    <w:rsid w:val="001F0C3B"/>
    <w:rsid w:val="00202C14"/>
    <w:rsid w:val="00202C82"/>
    <w:rsid w:val="00214427"/>
    <w:rsid w:val="00226CB7"/>
    <w:rsid w:val="00264552"/>
    <w:rsid w:val="00264EF9"/>
    <w:rsid w:val="00265724"/>
    <w:rsid w:val="0027426B"/>
    <w:rsid w:val="002C77A2"/>
    <w:rsid w:val="002E0A30"/>
    <w:rsid w:val="00305146"/>
    <w:rsid w:val="003130C4"/>
    <w:rsid w:val="00316C4B"/>
    <w:rsid w:val="0032192B"/>
    <w:rsid w:val="003479BD"/>
    <w:rsid w:val="0037197D"/>
    <w:rsid w:val="003768D5"/>
    <w:rsid w:val="003C4197"/>
    <w:rsid w:val="003C47E6"/>
    <w:rsid w:val="003C4FC2"/>
    <w:rsid w:val="003E145E"/>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5707C"/>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6123B"/>
    <w:rsid w:val="007733E0"/>
    <w:rsid w:val="00777EB1"/>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39F"/>
    <w:rsid w:val="009C3B52"/>
    <w:rsid w:val="009E6817"/>
    <w:rsid w:val="009E6E9A"/>
    <w:rsid w:val="00A01D2B"/>
    <w:rsid w:val="00A42218"/>
    <w:rsid w:val="00A70249"/>
    <w:rsid w:val="00A70B02"/>
    <w:rsid w:val="00A71D9F"/>
    <w:rsid w:val="00A92E9F"/>
    <w:rsid w:val="00AC2F71"/>
    <w:rsid w:val="00B02713"/>
    <w:rsid w:val="00B33BEA"/>
    <w:rsid w:val="00B57C9F"/>
    <w:rsid w:val="00B63572"/>
    <w:rsid w:val="00B77FDD"/>
    <w:rsid w:val="00B845B3"/>
    <w:rsid w:val="00B85D8B"/>
    <w:rsid w:val="00BB4A40"/>
    <w:rsid w:val="00BD6C3E"/>
    <w:rsid w:val="00BE3674"/>
    <w:rsid w:val="00C10681"/>
    <w:rsid w:val="00C3049A"/>
    <w:rsid w:val="00C31B1E"/>
    <w:rsid w:val="00C41D5D"/>
    <w:rsid w:val="00C77645"/>
    <w:rsid w:val="00CE04C3"/>
    <w:rsid w:val="00CE6B7C"/>
    <w:rsid w:val="00CE76A0"/>
    <w:rsid w:val="00D148C6"/>
    <w:rsid w:val="00D17A8A"/>
    <w:rsid w:val="00D26153"/>
    <w:rsid w:val="00D415BA"/>
    <w:rsid w:val="00D63780"/>
    <w:rsid w:val="00D644EE"/>
    <w:rsid w:val="00D75489"/>
    <w:rsid w:val="00DD06FF"/>
    <w:rsid w:val="00DD5FE9"/>
    <w:rsid w:val="00E00C7A"/>
    <w:rsid w:val="00E209CF"/>
    <w:rsid w:val="00E37D6C"/>
    <w:rsid w:val="00E55B68"/>
    <w:rsid w:val="00E62AFA"/>
    <w:rsid w:val="00E67BE6"/>
    <w:rsid w:val="00E8683C"/>
    <w:rsid w:val="00EA2B72"/>
    <w:rsid w:val="00F74360"/>
    <w:rsid w:val="00FB462F"/>
    <w:rsid w:val="00FE16FA"/>
    <w:rsid w:val="00FE328A"/>
    <w:rsid w:val="00FE6269"/>
    <w:rsid w:val="00FF5CD6"/>
    <w:rsid w:val="034B39E4"/>
    <w:rsid w:val="037E320E"/>
    <w:rsid w:val="03965B7F"/>
    <w:rsid w:val="042C64AE"/>
    <w:rsid w:val="04A10193"/>
    <w:rsid w:val="055E2180"/>
    <w:rsid w:val="07526E7B"/>
    <w:rsid w:val="0AF3628F"/>
    <w:rsid w:val="0B91206B"/>
    <w:rsid w:val="0D3764E2"/>
    <w:rsid w:val="0D435CF0"/>
    <w:rsid w:val="0E2C53D6"/>
    <w:rsid w:val="0F927BB6"/>
    <w:rsid w:val="115F7498"/>
    <w:rsid w:val="12317A65"/>
    <w:rsid w:val="12820749"/>
    <w:rsid w:val="12F46289"/>
    <w:rsid w:val="14A91D56"/>
    <w:rsid w:val="15D1531B"/>
    <w:rsid w:val="16532B7C"/>
    <w:rsid w:val="17DA6D1F"/>
    <w:rsid w:val="1833085F"/>
    <w:rsid w:val="18E37D3D"/>
    <w:rsid w:val="1948588F"/>
    <w:rsid w:val="19591325"/>
    <w:rsid w:val="1A4B61EF"/>
    <w:rsid w:val="1B4C1F99"/>
    <w:rsid w:val="1BA702CF"/>
    <w:rsid w:val="1C2E1911"/>
    <w:rsid w:val="1E145F24"/>
    <w:rsid w:val="1FD72C61"/>
    <w:rsid w:val="1FFC17E1"/>
    <w:rsid w:val="20A96D2B"/>
    <w:rsid w:val="21904D80"/>
    <w:rsid w:val="225A426B"/>
    <w:rsid w:val="23FA0237"/>
    <w:rsid w:val="24386103"/>
    <w:rsid w:val="24D03CD9"/>
    <w:rsid w:val="253D76CB"/>
    <w:rsid w:val="25457290"/>
    <w:rsid w:val="26395046"/>
    <w:rsid w:val="26977926"/>
    <w:rsid w:val="27504864"/>
    <w:rsid w:val="27955252"/>
    <w:rsid w:val="29223335"/>
    <w:rsid w:val="29F85218"/>
    <w:rsid w:val="2A824904"/>
    <w:rsid w:val="2AA4561F"/>
    <w:rsid w:val="2C334EDF"/>
    <w:rsid w:val="2C86010A"/>
    <w:rsid w:val="2CF260ED"/>
    <w:rsid w:val="2E4F4069"/>
    <w:rsid w:val="2EA4043D"/>
    <w:rsid w:val="30CC5AC7"/>
    <w:rsid w:val="30F22CFD"/>
    <w:rsid w:val="314D3C18"/>
    <w:rsid w:val="317909ED"/>
    <w:rsid w:val="317F3B29"/>
    <w:rsid w:val="33110078"/>
    <w:rsid w:val="34260A2C"/>
    <w:rsid w:val="34721F6B"/>
    <w:rsid w:val="34785C23"/>
    <w:rsid w:val="351F3659"/>
    <w:rsid w:val="36452BA8"/>
    <w:rsid w:val="36D91461"/>
    <w:rsid w:val="373D070E"/>
    <w:rsid w:val="37DC0F36"/>
    <w:rsid w:val="38FD77E2"/>
    <w:rsid w:val="39645A7E"/>
    <w:rsid w:val="3A185937"/>
    <w:rsid w:val="3B6D301C"/>
    <w:rsid w:val="3D22539A"/>
    <w:rsid w:val="3DA00FCE"/>
    <w:rsid w:val="3E026F73"/>
    <w:rsid w:val="40274F08"/>
    <w:rsid w:val="437465D6"/>
    <w:rsid w:val="449556E6"/>
    <w:rsid w:val="44A15853"/>
    <w:rsid w:val="45703499"/>
    <w:rsid w:val="4B7558EB"/>
    <w:rsid w:val="4CA67B35"/>
    <w:rsid w:val="4D78636E"/>
    <w:rsid w:val="4DD454D1"/>
    <w:rsid w:val="4DD94895"/>
    <w:rsid w:val="4DED7984"/>
    <w:rsid w:val="4EA07161"/>
    <w:rsid w:val="518A5C2E"/>
    <w:rsid w:val="51D72106"/>
    <w:rsid w:val="52147D6D"/>
    <w:rsid w:val="526C0D64"/>
    <w:rsid w:val="52ED230C"/>
    <w:rsid w:val="53050450"/>
    <w:rsid w:val="538B3751"/>
    <w:rsid w:val="555212FA"/>
    <w:rsid w:val="56C41520"/>
    <w:rsid w:val="5723599B"/>
    <w:rsid w:val="576571CA"/>
    <w:rsid w:val="57CB5E90"/>
    <w:rsid w:val="582A5235"/>
    <w:rsid w:val="585024C9"/>
    <w:rsid w:val="59B84D1B"/>
    <w:rsid w:val="5C630FAA"/>
    <w:rsid w:val="62A843B9"/>
    <w:rsid w:val="62B5766A"/>
    <w:rsid w:val="636A4EC8"/>
    <w:rsid w:val="63CE5636"/>
    <w:rsid w:val="641206A9"/>
    <w:rsid w:val="64170A72"/>
    <w:rsid w:val="64C825CF"/>
    <w:rsid w:val="64D63485"/>
    <w:rsid w:val="68FD1569"/>
    <w:rsid w:val="6A6B3750"/>
    <w:rsid w:val="6B2F1B41"/>
    <w:rsid w:val="6B324A1E"/>
    <w:rsid w:val="6BD733B3"/>
    <w:rsid w:val="6CBC11B2"/>
    <w:rsid w:val="6D6D695C"/>
    <w:rsid w:val="6E19070F"/>
    <w:rsid w:val="6E245261"/>
    <w:rsid w:val="6E4A5E12"/>
    <w:rsid w:val="6E6412C1"/>
    <w:rsid w:val="70344547"/>
    <w:rsid w:val="72AC64D7"/>
    <w:rsid w:val="753D336A"/>
    <w:rsid w:val="78833BB1"/>
    <w:rsid w:val="79294BA1"/>
    <w:rsid w:val="7A366746"/>
    <w:rsid w:val="7A5375F6"/>
    <w:rsid w:val="7AAD6672"/>
    <w:rsid w:val="7C224DAA"/>
    <w:rsid w:val="7C6D6F74"/>
    <w:rsid w:val="7C81665C"/>
    <w:rsid w:val="7C86358B"/>
    <w:rsid w:val="7FC9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ACA3-4B7E-4013-8609-7B47FC454D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6014</Words>
  <Characters>6365</Characters>
  <Lines>45</Lines>
  <Paragraphs>12</Paragraphs>
  <TotalTime>0</TotalTime>
  <ScaleCrop>false</ScaleCrop>
  <LinksUpToDate>false</LinksUpToDate>
  <CharactersWithSpaces>6380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曹井井</cp:lastModifiedBy>
  <cp:lastPrinted>2022-07-27T12:55:00Z</cp:lastPrinted>
  <dcterms:modified xsi:type="dcterms:W3CDTF">2023-10-10T11:11:17Z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79C7EF67F3374D4692BE1892E0EDBBD3</vt:lpwstr>
  </property>
</Properties>
</file>