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0" w:firstLineChars="0"/>
        <w:jc w:val="center"/>
        <w:rPr>
          <w:b/>
          <w:bCs/>
          <w:sz w:val="32"/>
          <w:szCs w:val="32"/>
        </w:rPr>
      </w:pPr>
    </w:p>
    <w:p>
      <w:pPr>
        <w:pStyle w:val="18"/>
        <w:ind w:firstLine="0" w:firstLineChars="0"/>
        <w:jc w:val="center"/>
        <w:rPr>
          <w:b/>
          <w:bCs/>
          <w:sz w:val="32"/>
          <w:szCs w:val="32"/>
        </w:rPr>
      </w:pPr>
    </w:p>
    <w:p>
      <w:pPr>
        <w:pStyle w:val="18"/>
        <w:ind w:firstLine="0" w:firstLineChars="0"/>
        <w:rPr>
          <w:b/>
          <w:bCs/>
          <w:sz w:val="32"/>
          <w:szCs w:val="32"/>
        </w:rPr>
      </w:pPr>
    </w:p>
    <w:p>
      <w:pPr>
        <w:pStyle w:val="18"/>
        <w:ind w:firstLine="0" w:firstLineChars="0"/>
        <w:jc w:val="right"/>
        <w:rPr>
          <w:rFonts w:ascii="仿宋" w:hAnsi="仿宋" w:eastAsia="仿宋"/>
          <w:b/>
          <w:bCs/>
          <w:sz w:val="32"/>
          <w:szCs w:val="32"/>
        </w:rPr>
      </w:pPr>
      <w:r>
        <w:rPr>
          <w:rFonts w:hint="eastAsia" w:ascii="仿宋" w:hAnsi="仿宋" w:eastAsia="仿宋" w:cs="宋体"/>
          <w:sz w:val="32"/>
          <w:szCs w:val="32"/>
        </w:rPr>
        <w:t>岳县环评﹝2023﹞</w:t>
      </w:r>
      <w:r>
        <w:rPr>
          <w:rFonts w:hint="eastAsia" w:ascii="仿宋" w:hAnsi="仿宋" w:eastAsia="仿宋" w:cs="宋体"/>
          <w:sz w:val="32"/>
          <w:szCs w:val="32"/>
          <w:lang w:val="en-US" w:eastAsia="zh-CN"/>
        </w:rPr>
        <w:t>25</w:t>
      </w:r>
      <w:r>
        <w:rPr>
          <w:rFonts w:hint="eastAsia" w:ascii="仿宋" w:hAnsi="仿宋" w:eastAsia="仿宋" w:cs="宋体"/>
          <w:sz w:val="32"/>
          <w:szCs w:val="32"/>
        </w:rPr>
        <w:t>号</w:t>
      </w:r>
    </w:p>
    <w:p>
      <w:pPr>
        <w:spacing w:after="0" w:line="500" w:lineRule="exact"/>
        <w:jc w:val="center"/>
        <w:rPr>
          <w:rFonts w:asciiTheme="minorEastAsia" w:hAnsiTheme="minorEastAsia" w:eastAsiaTheme="minorEastAsia"/>
          <w:spacing w:val="-20"/>
          <w:sz w:val="44"/>
          <w:szCs w:val="44"/>
        </w:rPr>
      </w:pPr>
      <w:r>
        <w:rPr>
          <w:rFonts w:hint="eastAsia" w:asciiTheme="minorEastAsia" w:hAnsiTheme="minorEastAsia" w:eastAsiaTheme="minorEastAsia"/>
          <w:spacing w:val="-20"/>
          <w:sz w:val="44"/>
          <w:szCs w:val="44"/>
        </w:rPr>
        <w:t>关于</w:t>
      </w:r>
      <w:r>
        <w:rPr>
          <w:rFonts w:hint="eastAsia" w:asciiTheme="minorEastAsia" w:hAnsiTheme="minorEastAsia" w:eastAsiaTheme="minorEastAsia"/>
          <w:bCs/>
          <w:spacing w:val="-20"/>
          <w:sz w:val="44"/>
          <w:szCs w:val="44"/>
          <w:lang w:eastAsia="zh-CN"/>
        </w:rPr>
        <w:t>岳阳索菲特矿山机械有限责任公司矿山机械设备生产项目</w:t>
      </w:r>
      <w:r>
        <w:rPr>
          <w:rFonts w:hint="eastAsia" w:asciiTheme="minorEastAsia" w:hAnsiTheme="minorEastAsia" w:eastAsiaTheme="minorEastAsia"/>
          <w:bCs/>
          <w:spacing w:val="-20"/>
          <w:sz w:val="44"/>
          <w:szCs w:val="44"/>
        </w:rPr>
        <w:t>环境影响</w:t>
      </w:r>
      <w:r>
        <w:rPr>
          <w:rFonts w:hint="eastAsia" w:asciiTheme="minorEastAsia" w:hAnsiTheme="minorEastAsia" w:eastAsiaTheme="minorEastAsia"/>
          <w:spacing w:val="-20"/>
          <w:sz w:val="44"/>
          <w:szCs w:val="44"/>
        </w:rPr>
        <w:t>报告表的批复</w:t>
      </w:r>
    </w:p>
    <w:p>
      <w:pPr>
        <w:spacing w:after="0" w:line="520" w:lineRule="exact"/>
        <w:jc w:val="both"/>
        <w:rPr>
          <w:rFonts w:ascii="仿宋" w:hAnsi="仿宋" w:eastAsia="仿宋"/>
          <w:sz w:val="32"/>
          <w:szCs w:val="32"/>
        </w:rPr>
      </w:pPr>
      <w:r>
        <w:rPr>
          <w:rFonts w:hint="eastAsia" w:ascii="仿宋" w:hAnsi="仿宋" w:eastAsia="仿宋"/>
          <w:bCs/>
          <w:sz w:val="32"/>
          <w:szCs w:val="32"/>
          <w:lang w:eastAsia="zh-CN"/>
        </w:rPr>
        <w:t>岳阳索菲特矿山机械有限责任公司</w:t>
      </w:r>
      <w:r>
        <w:rPr>
          <w:rFonts w:hint="eastAsia" w:ascii="仿宋" w:hAnsi="仿宋" w:eastAsia="仿宋"/>
          <w:sz w:val="32"/>
          <w:szCs w:val="32"/>
        </w:rPr>
        <w:t>：</w:t>
      </w:r>
    </w:p>
    <w:p>
      <w:pPr>
        <w:widowControl w:val="0"/>
        <w:adjustRightInd/>
        <w:snapToGrid/>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你公司报送的《</w:t>
      </w:r>
      <w:r>
        <w:rPr>
          <w:rFonts w:hint="eastAsia" w:ascii="仿宋" w:hAnsi="仿宋" w:eastAsia="仿宋"/>
          <w:bCs/>
          <w:sz w:val="32"/>
          <w:szCs w:val="32"/>
          <w:lang w:eastAsia="zh-CN"/>
        </w:rPr>
        <w:t>矿山机械设备生产项目</w:t>
      </w:r>
      <w:r>
        <w:rPr>
          <w:rFonts w:hint="eastAsia" w:ascii="仿宋" w:hAnsi="仿宋" w:eastAsia="仿宋"/>
          <w:sz w:val="32"/>
          <w:szCs w:val="32"/>
        </w:rPr>
        <w:t>环境影响报告表》及报批申请书、岳阳市岳阳县生态环境事务中心《</w:t>
      </w:r>
      <w:r>
        <w:rPr>
          <w:rFonts w:hint="eastAsia" w:ascii="仿宋" w:hAnsi="仿宋" w:eastAsia="仿宋"/>
          <w:sz w:val="32"/>
          <w:szCs w:val="32"/>
          <w:lang w:eastAsia="zh-CN"/>
        </w:rPr>
        <w:t>岳阳索菲特矿山机械有限责任公司矿山机械设备生产项目</w:t>
      </w:r>
      <w:r>
        <w:rPr>
          <w:rFonts w:hint="eastAsia" w:ascii="仿宋" w:hAnsi="仿宋" w:eastAsia="仿宋"/>
          <w:sz w:val="32"/>
          <w:szCs w:val="32"/>
        </w:rPr>
        <w:t>环境影响报告表技术评估报告》（岳县环事评估〔2023〕</w:t>
      </w:r>
      <w:r>
        <w:rPr>
          <w:rFonts w:hint="eastAsia" w:ascii="仿宋" w:hAnsi="仿宋" w:eastAsia="仿宋"/>
          <w:sz w:val="32"/>
          <w:szCs w:val="32"/>
          <w:lang w:val="en-US" w:eastAsia="zh-CN"/>
        </w:rPr>
        <w:t>10</w:t>
      </w:r>
      <w:r>
        <w:rPr>
          <w:rFonts w:hint="eastAsia" w:ascii="仿宋" w:hAnsi="仿宋" w:eastAsia="仿宋"/>
          <w:sz w:val="32"/>
          <w:szCs w:val="32"/>
        </w:rPr>
        <w:t>号）收悉。经研究，批复如下：</w:t>
      </w:r>
    </w:p>
    <w:p>
      <w:pPr>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你公司委托江西南风环保技术有限公司编制的《</w:t>
      </w:r>
      <w:r>
        <w:rPr>
          <w:rFonts w:hint="default" w:ascii="仿宋" w:hAnsi="仿宋" w:eastAsia="仿宋"/>
          <w:sz w:val="32"/>
          <w:szCs w:val="32"/>
          <w:lang w:val="en-US" w:eastAsia="zh-CN"/>
        </w:rPr>
        <w:t>矿山机械设备生产项目环境影响报告</w:t>
      </w:r>
      <w:r>
        <w:rPr>
          <w:rFonts w:hint="eastAsia" w:ascii="仿宋" w:hAnsi="仿宋" w:eastAsia="仿宋"/>
          <w:sz w:val="32"/>
          <w:szCs w:val="32"/>
          <w:lang w:val="en-US" w:eastAsia="zh-CN"/>
        </w:rPr>
        <w:t>表</w:t>
      </w:r>
      <w:r>
        <w:rPr>
          <w:rFonts w:hint="eastAsia" w:ascii="仿宋" w:hAnsi="仿宋" w:eastAsia="仿宋"/>
          <w:sz w:val="32"/>
          <w:szCs w:val="32"/>
          <w:lang w:eastAsia="zh-CN"/>
        </w:rPr>
        <w:t>》于</w:t>
      </w:r>
      <w:r>
        <w:rPr>
          <w:rFonts w:hint="eastAsia" w:ascii="仿宋" w:hAnsi="仿宋" w:eastAsia="仿宋"/>
          <w:sz w:val="32"/>
          <w:szCs w:val="32"/>
          <w:lang w:val="en-US" w:eastAsia="zh-CN"/>
        </w:rPr>
        <w:t>2019年8</w:t>
      </w:r>
      <w:r>
        <w:rPr>
          <w:rFonts w:hint="default" w:ascii="仿宋" w:hAnsi="仿宋" w:eastAsia="仿宋"/>
          <w:sz w:val="32"/>
          <w:szCs w:val="32"/>
          <w:lang w:val="en-US" w:eastAsia="zh-CN"/>
        </w:rPr>
        <w:t>月</w:t>
      </w:r>
      <w:r>
        <w:rPr>
          <w:rFonts w:hint="eastAsia" w:ascii="仿宋" w:hAnsi="仿宋" w:eastAsia="仿宋"/>
          <w:sz w:val="32"/>
          <w:szCs w:val="32"/>
          <w:lang w:eastAsia="zh-CN"/>
        </w:rPr>
        <w:t>取得岳阳县环境保护局批复（岳县环评批</w:t>
      </w:r>
      <w:r>
        <w:rPr>
          <w:rFonts w:hint="default" w:ascii="仿宋" w:hAnsi="仿宋" w:eastAsia="仿宋"/>
          <w:sz w:val="32"/>
          <w:szCs w:val="32"/>
          <w:lang w:eastAsia="zh-CN"/>
        </w:rPr>
        <w:t>[201</w:t>
      </w:r>
      <w:r>
        <w:rPr>
          <w:rFonts w:hint="eastAsia" w:ascii="仿宋" w:hAnsi="仿宋" w:eastAsia="仿宋"/>
          <w:sz w:val="32"/>
          <w:szCs w:val="32"/>
          <w:lang w:val="en-US" w:eastAsia="zh-CN"/>
        </w:rPr>
        <w:t>9</w:t>
      </w:r>
      <w:r>
        <w:rPr>
          <w:rFonts w:hint="default" w:ascii="仿宋" w:hAnsi="仿宋" w:eastAsia="仿宋"/>
          <w:sz w:val="32"/>
          <w:szCs w:val="32"/>
          <w:lang w:eastAsia="zh-CN"/>
        </w:rPr>
        <w:t>]3</w:t>
      </w:r>
      <w:r>
        <w:rPr>
          <w:rFonts w:hint="eastAsia" w:ascii="仿宋" w:hAnsi="仿宋" w:eastAsia="仿宋"/>
          <w:sz w:val="32"/>
          <w:szCs w:val="32"/>
          <w:lang w:val="en-US" w:eastAsia="zh-CN"/>
        </w:rPr>
        <w:t>4</w:t>
      </w:r>
      <w:r>
        <w:rPr>
          <w:rFonts w:hint="default" w:ascii="仿宋" w:hAnsi="仿宋" w:eastAsia="仿宋"/>
          <w:sz w:val="32"/>
          <w:szCs w:val="32"/>
          <w:lang w:eastAsia="zh-CN"/>
        </w:rPr>
        <w:t>号</w:t>
      </w:r>
      <w:r>
        <w:rPr>
          <w:rFonts w:hint="eastAsia" w:ascii="仿宋" w:hAnsi="仿宋" w:eastAsia="仿宋"/>
          <w:sz w:val="32"/>
          <w:szCs w:val="32"/>
          <w:lang w:eastAsia="zh-CN"/>
        </w:rPr>
        <w:t>），</w:t>
      </w:r>
      <w:r>
        <w:rPr>
          <w:rFonts w:hint="eastAsia" w:ascii="仿宋" w:hAnsi="仿宋" w:eastAsia="仿宋"/>
          <w:sz w:val="32"/>
          <w:szCs w:val="32"/>
          <w:lang w:val="en-US" w:eastAsia="zh-CN"/>
        </w:rPr>
        <w:t>于2020年7月填报了排污登记表（登记编号：</w:t>
      </w:r>
      <w:r>
        <w:rPr>
          <w:rFonts w:hint="default" w:ascii="仿宋" w:hAnsi="仿宋" w:eastAsia="仿宋"/>
          <w:sz w:val="32"/>
          <w:szCs w:val="32"/>
          <w:lang w:val="en-US" w:eastAsia="zh-CN"/>
        </w:rPr>
        <w:t>91430600750614669U001Z</w:t>
      </w:r>
      <w:r>
        <w:rPr>
          <w:rFonts w:hint="eastAsia" w:ascii="仿宋" w:hAnsi="仿宋" w:eastAsia="仿宋"/>
          <w:sz w:val="32"/>
          <w:szCs w:val="32"/>
          <w:lang w:val="en-US" w:eastAsia="zh-CN"/>
        </w:rPr>
        <w:t>），该项目</w:t>
      </w:r>
      <w:r>
        <w:rPr>
          <w:rFonts w:hint="eastAsia" w:ascii="仿宋" w:hAnsi="仿宋" w:eastAsia="仿宋"/>
          <w:sz w:val="32"/>
          <w:szCs w:val="32"/>
          <w:lang w:eastAsia="zh-CN"/>
        </w:rPr>
        <w:t>位于岳阳高新技术产业园区，总</w:t>
      </w:r>
      <w:r>
        <w:rPr>
          <w:rFonts w:hint="eastAsia" w:ascii="仿宋" w:hAnsi="仿宋" w:eastAsia="仿宋"/>
          <w:sz w:val="32"/>
          <w:szCs w:val="32"/>
          <w:lang w:val="en-US" w:eastAsia="zh-CN"/>
        </w:rPr>
        <w:t>投资1000万元，占地面积13441.29m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。你公司拟变更生产工艺流程，增加抛丸、静电粉末喷涂工序</w:t>
      </w:r>
      <w:r>
        <w:rPr>
          <w:rFonts w:hint="eastAsia" w:ascii="仿宋_GB2312" w:hAnsi="仿宋_GB2312" w:eastAsia="仿宋_GB2312" w:cs="仿宋_GB2312"/>
          <w:color w:val="auto"/>
          <w:sz w:val="32"/>
          <w:szCs w:val="32"/>
          <w:u w:val="none" w:color="auto"/>
          <w:lang w:val="en-US" w:eastAsia="zh-CN"/>
        </w:rPr>
        <w:t>，故重新报批“</w:t>
      </w:r>
      <w:r>
        <w:rPr>
          <w:rFonts w:hint="default" w:ascii="仿宋_GB2312" w:hAnsi="仿宋_GB2312" w:eastAsia="仿宋_GB2312" w:cs="仿宋_GB2312"/>
          <w:color w:val="auto"/>
          <w:sz w:val="32"/>
          <w:szCs w:val="32"/>
          <w:u w:val="none" w:color="auto"/>
          <w:lang w:val="en-US" w:eastAsia="zh-CN"/>
        </w:rPr>
        <w:t>矿山机械设备生产项目</w:t>
      </w:r>
      <w:r>
        <w:rPr>
          <w:rFonts w:hint="eastAsia" w:ascii="仿宋_GB2312" w:hAnsi="仿宋_GB2312" w:eastAsia="仿宋_GB2312" w:cs="仿宋_GB2312"/>
          <w:color w:val="auto"/>
          <w:sz w:val="32"/>
          <w:szCs w:val="32"/>
          <w:u w:val="none" w:color="auto"/>
          <w:lang w:val="en-US" w:eastAsia="zh-CN"/>
        </w:rPr>
        <w:t>”。项目外购零配件与钢材经钻孔、车削、电焊、组装、抛丸、喷漆（或喷塑）等工序生产</w:t>
      </w:r>
      <w:r>
        <w:rPr>
          <w:rFonts w:hint="default" w:ascii="仿宋_GB2312" w:hAnsi="仿宋_GB2312" w:eastAsia="仿宋_GB2312" w:cs="仿宋_GB2312"/>
          <w:color w:val="auto"/>
          <w:sz w:val="32"/>
          <w:szCs w:val="32"/>
          <w:u w:val="none" w:color="auto"/>
          <w:lang w:val="en-US" w:eastAsia="zh-CN"/>
        </w:rPr>
        <w:t>矿山机械设备</w:t>
      </w:r>
      <w:r>
        <w:rPr>
          <w:rFonts w:hint="eastAsia" w:ascii="仿宋_GB2312" w:hAnsi="仿宋_GB2312" w:eastAsia="仿宋_GB2312" w:cs="仿宋_GB2312"/>
          <w:color w:val="auto"/>
          <w:sz w:val="32"/>
          <w:szCs w:val="32"/>
          <w:u w:val="none" w:color="auto"/>
          <w:lang w:val="en-US" w:eastAsia="zh-CN"/>
        </w:rPr>
        <w:t>，年用溶剂型涂料（含稀释剂）10吨以下。</w:t>
      </w:r>
      <w:r>
        <w:rPr>
          <w:rFonts w:hint="eastAsia" w:ascii="仿宋" w:hAnsi="仿宋" w:eastAsia="仿宋"/>
          <w:sz w:val="32"/>
          <w:szCs w:val="32"/>
        </w:rPr>
        <w:t>根</w:t>
      </w:r>
      <w:r>
        <w:rPr>
          <w:rFonts w:hint="eastAsia" w:ascii="仿宋" w:hAnsi="仿宋" w:eastAsia="仿宋" w:cs="宋体"/>
          <w:sz w:val="32"/>
          <w:szCs w:val="32"/>
        </w:rPr>
        <w:t>据湖南聚星励志环保科技有限公司编制的建设项目环境影响报告表的基本内容、结论和</w:t>
      </w:r>
      <w:r>
        <w:rPr>
          <w:rFonts w:hint="eastAsia" w:ascii="仿宋" w:hAnsi="仿宋" w:eastAsia="仿宋"/>
          <w:sz w:val="32"/>
          <w:szCs w:val="32"/>
        </w:rPr>
        <w:t>岳阳市岳阳县生态环境事务中心《</w:t>
      </w:r>
      <w:r>
        <w:rPr>
          <w:rFonts w:hint="eastAsia" w:ascii="仿宋" w:hAnsi="仿宋" w:eastAsia="仿宋"/>
          <w:sz w:val="32"/>
          <w:szCs w:val="32"/>
          <w:lang w:eastAsia="zh-CN"/>
        </w:rPr>
        <w:t>岳阳索菲特矿山机械有限责任公司矿山机械设备生产项目</w:t>
      </w:r>
      <w:r>
        <w:rPr>
          <w:rFonts w:hint="eastAsia" w:ascii="仿宋" w:hAnsi="仿宋" w:eastAsia="仿宋"/>
          <w:sz w:val="32"/>
          <w:szCs w:val="32"/>
        </w:rPr>
        <w:t>环境影响报告表技术评估报告》（岳县环事评估〔2023〕</w:t>
      </w:r>
      <w:r>
        <w:rPr>
          <w:rFonts w:hint="eastAsia" w:ascii="仿宋" w:hAnsi="仿宋" w:eastAsia="仿宋"/>
          <w:sz w:val="32"/>
          <w:szCs w:val="32"/>
          <w:lang w:val="en-US" w:eastAsia="zh-CN"/>
        </w:rPr>
        <w:t>10</w:t>
      </w:r>
      <w:r>
        <w:rPr>
          <w:rFonts w:hint="eastAsia" w:ascii="仿宋" w:hAnsi="仿宋" w:eastAsia="仿宋"/>
          <w:sz w:val="32"/>
          <w:szCs w:val="32"/>
        </w:rPr>
        <w:t>号）</w:t>
      </w:r>
      <w:r>
        <w:rPr>
          <w:rFonts w:hint="eastAsia" w:ascii="仿宋" w:hAnsi="仿宋" w:eastAsia="仿宋" w:cs="宋体"/>
          <w:sz w:val="32"/>
          <w:szCs w:val="32"/>
        </w:rPr>
        <w:t>，我局原则同意你公司环境影响报告表所列建设内容的环境影响评价结论和环境保护对策措施。</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二、项目运营过程中必须全面落实环境影响报告表提出的各项生态环境保护措施和环境风险防范措施，并着重做好以下环保工作：</w:t>
      </w:r>
    </w:p>
    <w:p>
      <w:pPr>
        <w:spacing w:after="0" w:line="520" w:lineRule="exact"/>
        <w:ind w:firstLine="640" w:firstLineChars="200"/>
        <w:jc w:val="both"/>
        <w:rPr>
          <w:rFonts w:hint="eastAsia" w:ascii="仿宋_GB2312" w:hAnsi="仿宋_GB2312" w:eastAsia="仿宋_GB2312" w:cs="仿宋_GB2312"/>
          <w:color w:val="auto"/>
          <w:sz w:val="32"/>
          <w:szCs w:val="32"/>
          <w:u w:val="none" w:color="auto"/>
          <w:lang w:val="en-US" w:eastAsia="zh-CN"/>
        </w:rPr>
      </w:pPr>
      <w:r>
        <w:rPr>
          <w:rFonts w:hint="eastAsia" w:ascii="仿宋" w:hAnsi="仿宋" w:eastAsia="仿宋" w:cs="宋体"/>
          <w:sz w:val="32"/>
          <w:szCs w:val="32"/>
        </w:rPr>
        <w:t>1.落实</w:t>
      </w:r>
      <w:r>
        <w:rPr>
          <w:rFonts w:hint="eastAsia" w:ascii="仿宋" w:hAnsi="仿宋" w:eastAsia="仿宋" w:cs="宋体"/>
          <w:sz w:val="32"/>
          <w:szCs w:val="32"/>
          <w:lang w:val="en-US" w:eastAsia="zh-CN"/>
        </w:rPr>
        <w:t>大气</w:t>
      </w:r>
      <w:r>
        <w:rPr>
          <w:rFonts w:hint="eastAsia" w:ascii="仿宋" w:hAnsi="仿宋" w:eastAsia="仿宋" w:cs="宋体"/>
          <w:sz w:val="32"/>
          <w:szCs w:val="32"/>
        </w:rPr>
        <w:t>污染防治措施。</w:t>
      </w:r>
      <w:r>
        <w:rPr>
          <w:rFonts w:hint="eastAsia" w:ascii="仿宋_GB2312" w:hAnsi="仿宋_GB2312" w:eastAsia="仿宋_GB2312" w:cs="仿宋_GB2312"/>
          <w:color w:val="auto"/>
          <w:sz w:val="32"/>
          <w:szCs w:val="32"/>
          <w:u w:val="none" w:color="auto"/>
        </w:rPr>
        <w:t>①</w:t>
      </w:r>
      <w:r>
        <w:rPr>
          <w:rFonts w:hint="eastAsia" w:ascii="仿宋_GB2312" w:hAnsi="仿宋_GB2312" w:eastAsia="仿宋_GB2312" w:cs="仿宋_GB2312"/>
          <w:color w:val="auto"/>
          <w:sz w:val="32"/>
          <w:szCs w:val="32"/>
          <w:u w:val="none" w:color="auto"/>
          <w:lang w:eastAsia="zh-CN"/>
        </w:rPr>
        <w:t>焊接工序产生的烟尘经</w:t>
      </w:r>
      <w:r>
        <w:rPr>
          <w:rFonts w:hint="default" w:ascii="仿宋_GB2312" w:hAnsi="仿宋_GB2312" w:eastAsia="仿宋_GB2312" w:cs="仿宋_GB2312"/>
          <w:color w:val="auto"/>
          <w:sz w:val="32"/>
          <w:szCs w:val="32"/>
          <w:u w:val="none" w:color="auto"/>
          <w:lang w:val="en-US" w:eastAsia="zh-CN"/>
        </w:rPr>
        <w:t>移动式烟尘净化器</w:t>
      </w:r>
      <w:r>
        <w:rPr>
          <w:rFonts w:hint="eastAsia" w:ascii="仿宋_GB2312" w:hAnsi="仿宋_GB2312" w:eastAsia="仿宋_GB2312" w:cs="仿宋_GB2312"/>
          <w:color w:val="auto"/>
          <w:sz w:val="32"/>
          <w:szCs w:val="32"/>
          <w:u w:val="none" w:color="auto"/>
          <w:lang w:val="en-US" w:eastAsia="zh-CN"/>
        </w:rPr>
        <w:t>处理。②抛丸工序产生的粉尘经1套布袋除尘器处理后通过1根15m的排气筒（DA002）外排，颗粒物执行</w:t>
      </w:r>
      <w:r>
        <w:rPr>
          <w:rFonts w:hint="default" w:ascii="仿宋_GB2312" w:hAnsi="仿宋_GB2312" w:eastAsia="仿宋_GB2312" w:cs="仿宋_GB2312"/>
          <w:color w:val="auto"/>
          <w:sz w:val="32"/>
          <w:szCs w:val="32"/>
          <w:u w:val="none" w:color="auto"/>
          <w:lang w:val="en-US" w:eastAsia="zh-CN"/>
        </w:rPr>
        <w:t>《大气污染物综合排放标准》（GB16297-1996）中标准</w:t>
      </w:r>
      <w:r>
        <w:rPr>
          <w:rFonts w:hint="eastAsia" w:ascii="仿宋_GB2312" w:hAnsi="仿宋_GB2312" w:eastAsia="仿宋_GB2312" w:cs="仿宋_GB2312"/>
          <w:color w:val="auto"/>
          <w:sz w:val="32"/>
          <w:szCs w:val="32"/>
          <w:u w:val="none" w:color="auto"/>
          <w:lang w:val="en-US" w:eastAsia="zh-CN"/>
        </w:rPr>
        <w:t>限值。③静电喷涂、烘烤固化工序产生的废气经“过滤棉+UV光氧催化+活性炭吸附”装置进行处理后通过1根15高排气筒（DA003）外排，</w:t>
      </w:r>
      <w:r>
        <w:rPr>
          <w:rFonts w:hint="eastAsia" w:ascii="仿宋_GB2312" w:hAnsi="仿宋_GB2312" w:eastAsia="仿宋_GB2312" w:cs="仿宋_GB2312"/>
          <w:color w:val="000000"/>
          <w:sz w:val="32"/>
          <w:szCs w:val="32"/>
          <w:u w:val="none" w:color="auto"/>
          <w:lang w:val="en-US" w:eastAsia="zh-CN"/>
        </w:rPr>
        <w:t>颗粒物</w:t>
      </w:r>
      <w:r>
        <w:rPr>
          <w:rFonts w:hint="eastAsia" w:ascii="仿宋_GB2312" w:hAnsi="仿宋_GB2312" w:eastAsia="仿宋_GB2312" w:cs="仿宋_GB2312"/>
          <w:color w:val="auto"/>
          <w:sz w:val="32"/>
          <w:szCs w:val="32"/>
          <w:u w:val="none" w:color="auto"/>
          <w:lang w:val="en-US" w:eastAsia="zh-CN"/>
        </w:rPr>
        <w:t>执行</w:t>
      </w:r>
      <w:r>
        <w:rPr>
          <w:rFonts w:hint="default" w:ascii="仿宋_GB2312" w:hAnsi="仿宋_GB2312" w:eastAsia="仿宋_GB2312" w:cs="仿宋_GB2312"/>
          <w:color w:val="auto"/>
          <w:sz w:val="32"/>
          <w:szCs w:val="32"/>
          <w:u w:val="none" w:color="auto"/>
          <w:lang w:val="en-US" w:eastAsia="zh-CN"/>
        </w:rPr>
        <w:t>《大气污染物综合排放标准》（GB16297-1996）中标准</w:t>
      </w:r>
      <w:r>
        <w:rPr>
          <w:rFonts w:hint="eastAsia" w:ascii="仿宋_GB2312" w:hAnsi="仿宋_GB2312" w:eastAsia="仿宋_GB2312" w:cs="仿宋_GB2312"/>
          <w:color w:val="auto"/>
          <w:sz w:val="32"/>
          <w:szCs w:val="32"/>
          <w:u w:val="none" w:color="auto"/>
          <w:lang w:val="en-US" w:eastAsia="zh-CN"/>
        </w:rPr>
        <w:t>限值；非甲烷总烃执行湖南省地方标准《表面涂装（汽车制造及维修）挥发性有机物、镍排放标准》（DB43/1356-2017）中表1汽车制造的排放浓度限值。④</w:t>
      </w:r>
      <w:r>
        <w:rPr>
          <w:rFonts w:hint="default" w:ascii="仿宋_GB2312" w:hAnsi="仿宋_GB2312" w:eastAsia="仿宋_GB2312" w:cs="仿宋_GB2312"/>
          <w:color w:val="auto"/>
          <w:sz w:val="32"/>
          <w:szCs w:val="32"/>
          <w:u w:val="none" w:color="auto"/>
          <w:lang w:val="en-US" w:eastAsia="zh-CN"/>
        </w:rPr>
        <w:t>喷漆房产生</w:t>
      </w:r>
      <w:r>
        <w:rPr>
          <w:rFonts w:hint="eastAsia" w:ascii="仿宋_GB2312" w:hAnsi="仿宋_GB2312" w:eastAsia="仿宋_GB2312" w:cs="仿宋_GB2312"/>
          <w:color w:val="auto"/>
          <w:sz w:val="32"/>
          <w:szCs w:val="32"/>
          <w:u w:val="none" w:color="auto"/>
          <w:lang w:val="en-US" w:eastAsia="zh-CN"/>
        </w:rPr>
        <w:t>的</w:t>
      </w:r>
      <w:r>
        <w:rPr>
          <w:rFonts w:hint="default" w:ascii="仿宋_GB2312" w:hAnsi="仿宋_GB2312" w:eastAsia="仿宋_GB2312" w:cs="仿宋_GB2312"/>
          <w:color w:val="auto"/>
          <w:sz w:val="32"/>
          <w:szCs w:val="32"/>
          <w:u w:val="none" w:color="auto"/>
          <w:lang w:val="en-US" w:eastAsia="zh-CN"/>
        </w:rPr>
        <w:t>有机废气</w:t>
      </w:r>
      <w:r>
        <w:rPr>
          <w:rFonts w:hint="eastAsia" w:ascii="仿宋_GB2312" w:hAnsi="仿宋_GB2312" w:eastAsia="仿宋_GB2312" w:cs="仿宋_GB2312"/>
          <w:color w:val="auto"/>
          <w:sz w:val="32"/>
          <w:szCs w:val="32"/>
          <w:u w:val="none" w:color="auto"/>
          <w:lang w:val="en-US" w:eastAsia="zh-CN"/>
        </w:rPr>
        <w:t>经“过滤棉+活性炭吸附+UV光氧催化”装置处理后通过1根15m排气筒（DA001）排放，</w:t>
      </w:r>
      <w:r>
        <w:rPr>
          <w:rFonts w:hint="eastAsia" w:ascii="仿宋_GB2312" w:hAnsi="仿宋_GB2312" w:eastAsia="仿宋_GB2312" w:cs="仿宋_GB2312"/>
          <w:color w:val="000000"/>
          <w:sz w:val="32"/>
          <w:szCs w:val="32"/>
          <w:u w:val="none" w:color="auto"/>
          <w:lang w:val="en-US" w:eastAsia="zh-CN"/>
        </w:rPr>
        <w:t>颗粒物</w:t>
      </w:r>
      <w:r>
        <w:rPr>
          <w:rFonts w:hint="eastAsia" w:ascii="仿宋_GB2312" w:hAnsi="仿宋_GB2312" w:eastAsia="仿宋_GB2312" w:cs="仿宋_GB2312"/>
          <w:color w:val="auto"/>
          <w:sz w:val="32"/>
          <w:szCs w:val="32"/>
          <w:u w:val="none" w:color="auto"/>
          <w:lang w:val="en-US" w:eastAsia="zh-CN"/>
        </w:rPr>
        <w:t>执行</w:t>
      </w:r>
      <w:r>
        <w:rPr>
          <w:rFonts w:hint="default" w:ascii="仿宋_GB2312" w:hAnsi="仿宋_GB2312" w:eastAsia="仿宋_GB2312" w:cs="仿宋_GB2312"/>
          <w:color w:val="auto"/>
          <w:sz w:val="32"/>
          <w:szCs w:val="32"/>
          <w:u w:val="none" w:color="auto"/>
          <w:lang w:val="en-US" w:eastAsia="zh-CN"/>
        </w:rPr>
        <w:t>《大气污染物综合排放标准》（GB16297-1996）中标准</w:t>
      </w:r>
      <w:r>
        <w:rPr>
          <w:rFonts w:hint="eastAsia" w:ascii="仿宋_GB2312" w:hAnsi="仿宋_GB2312" w:eastAsia="仿宋_GB2312" w:cs="仿宋_GB2312"/>
          <w:color w:val="auto"/>
          <w:sz w:val="32"/>
          <w:szCs w:val="32"/>
          <w:u w:val="none" w:color="auto"/>
          <w:lang w:val="en-US" w:eastAsia="zh-CN"/>
        </w:rPr>
        <w:t>限值，</w:t>
      </w:r>
      <w:r>
        <w:rPr>
          <w:rFonts w:hint="default" w:ascii="仿宋_GB2312" w:hAnsi="仿宋_GB2312" w:eastAsia="仿宋_GB2312" w:cs="仿宋_GB2312"/>
          <w:color w:val="auto"/>
          <w:sz w:val="32"/>
          <w:szCs w:val="32"/>
          <w:u w:val="none" w:color="auto"/>
          <w:lang w:val="en-US" w:eastAsia="zh-CN"/>
        </w:rPr>
        <w:t>二甲苯、非甲烷总烃</w:t>
      </w:r>
      <w:r>
        <w:rPr>
          <w:rFonts w:hint="eastAsia" w:ascii="仿宋_GB2312" w:hAnsi="仿宋_GB2312" w:eastAsia="仿宋_GB2312" w:cs="仿宋_GB2312"/>
          <w:color w:val="auto"/>
          <w:sz w:val="32"/>
          <w:szCs w:val="32"/>
          <w:u w:val="none" w:color="auto"/>
          <w:lang w:val="en-US" w:eastAsia="zh-CN"/>
        </w:rPr>
        <w:t>执行湖南省地方标准《表面涂装（汽车制造及维修）挥发性有机物、镍排放标准》（DB43/1356-2017）中表1汽车制造的排放浓度限值。</w:t>
      </w:r>
    </w:p>
    <w:p>
      <w:pPr>
        <w:spacing w:after="0" w:line="520" w:lineRule="exact"/>
        <w:ind w:firstLine="640" w:firstLineChars="200"/>
        <w:jc w:val="both"/>
        <w:rPr>
          <w:rFonts w:hint="eastAsia" w:ascii="仿宋" w:hAnsi="仿宋" w:eastAsia="仿宋" w:cs="宋体"/>
          <w:sz w:val="32"/>
          <w:szCs w:val="32"/>
        </w:rPr>
      </w:pPr>
      <w:r>
        <w:rPr>
          <w:rFonts w:ascii="仿宋" w:hAnsi="仿宋" w:eastAsia="仿宋" w:cs="宋体"/>
          <w:sz w:val="32"/>
          <w:szCs w:val="32"/>
        </w:rPr>
        <w:t>加强无组织废气污染防治。</w:t>
      </w:r>
      <w:r>
        <w:rPr>
          <w:rFonts w:hint="default" w:ascii="仿宋_GB2312" w:hAnsi="仿宋_GB2312" w:eastAsia="仿宋_GB2312" w:cs="仿宋_GB2312"/>
          <w:color w:val="auto"/>
          <w:sz w:val="32"/>
          <w:szCs w:val="32"/>
          <w:u w:val="none" w:color="auto"/>
          <w:lang w:val="en-US" w:eastAsia="zh-CN"/>
        </w:rPr>
        <w:t>厂区内</w:t>
      </w:r>
      <w:r>
        <w:rPr>
          <w:rFonts w:hint="eastAsia" w:ascii="仿宋_GB2312" w:hAnsi="仿宋_GB2312" w:eastAsia="仿宋_GB2312" w:cs="仿宋_GB2312"/>
          <w:color w:val="auto"/>
          <w:sz w:val="32"/>
          <w:szCs w:val="32"/>
          <w:u w:val="none" w:color="auto"/>
          <w:lang w:val="en-US" w:eastAsia="zh-CN"/>
        </w:rPr>
        <w:t>VOC</w:t>
      </w:r>
      <w:r>
        <w:rPr>
          <w:rFonts w:hint="eastAsia" w:ascii="仿宋_GB2312" w:hAnsi="仿宋_GB2312" w:eastAsia="仿宋_GB2312" w:cs="仿宋_GB2312"/>
          <w:color w:val="auto"/>
          <w:sz w:val="32"/>
          <w:szCs w:val="32"/>
          <w:u w:val="none" w:color="auto"/>
          <w:vertAlign w:val="subscript"/>
          <w:lang w:val="en-US" w:eastAsia="zh-CN"/>
        </w:rPr>
        <w:t>S</w:t>
      </w:r>
      <w:r>
        <w:rPr>
          <w:rFonts w:hint="eastAsia" w:ascii="仿宋_GB2312" w:hAnsi="仿宋_GB2312" w:eastAsia="仿宋_GB2312" w:cs="仿宋_GB2312"/>
          <w:color w:val="auto"/>
          <w:sz w:val="32"/>
          <w:szCs w:val="32"/>
          <w:u w:val="none" w:color="auto"/>
          <w:lang w:val="en-US" w:eastAsia="zh-CN"/>
        </w:rPr>
        <w:t>无组织排放</w:t>
      </w:r>
      <w:r>
        <w:rPr>
          <w:rFonts w:hint="default" w:ascii="仿宋_GB2312" w:hAnsi="仿宋_GB2312" w:eastAsia="仿宋_GB2312" w:cs="仿宋_GB2312"/>
          <w:color w:val="auto"/>
          <w:sz w:val="32"/>
          <w:szCs w:val="32"/>
          <w:u w:val="none" w:color="auto"/>
          <w:lang w:val="en-US" w:eastAsia="zh-CN"/>
        </w:rPr>
        <w:t>执行《挥发性有机物无组织排放控制标准》（GB37822-2019）</w:t>
      </w:r>
      <w:r>
        <w:rPr>
          <w:rFonts w:hint="eastAsia" w:ascii="仿宋_GB2312" w:hAnsi="仿宋_GB2312" w:eastAsia="仿宋_GB2312" w:cs="仿宋_GB2312"/>
          <w:color w:val="auto"/>
          <w:sz w:val="32"/>
          <w:szCs w:val="32"/>
          <w:u w:val="none" w:color="auto"/>
          <w:lang w:val="en-US" w:eastAsia="zh-CN"/>
        </w:rPr>
        <w:t>中附录A要求</w:t>
      </w:r>
      <w:r>
        <w:rPr>
          <w:rFonts w:hint="eastAsia" w:ascii="仿宋_GB2312" w:hAnsi="仿宋_GB2312" w:eastAsia="仿宋_GB2312" w:cs="仿宋_GB2312"/>
          <w:color w:val="000000"/>
          <w:sz w:val="32"/>
          <w:szCs w:val="32"/>
          <w:u w:val="none" w:color="auto"/>
          <w:lang w:val="en-US" w:eastAsia="zh-CN"/>
        </w:rPr>
        <w:t>。</w:t>
      </w:r>
    </w:p>
    <w:p>
      <w:pPr>
        <w:spacing w:after="0" w:line="520" w:lineRule="exact"/>
        <w:ind w:firstLine="640" w:firstLineChars="200"/>
        <w:jc w:val="both"/>
        <w:rPr>
          <w:rFonts w:ascii="仿宋" w:hAnsi="仿宋" w:eastAsia="仿宋"/>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落实废水污染防治措施。按照“清污分流、雨污分流”原则完善项目区域内的雨水及污水管网。雨水经厂区雨水管道收集后排入园区雨水管网；</w:t>
      </w:r>
      <w:r>
        <w:rPr>
          <w:rFonts w:hint="eastAsia" w:ascii="仿宋_GB2312" w:hAnsi="仿宋_GB2312" w:eastAsia="仿宋_GB2312" w:cs="仿宋_GB2312"/>
          <w:color w:val="auto"/>
          <w:sz w:val="32"/>
          <w:szCs w:val="32"/>
          <w:u w:val="none" w:color="auto"/>
          <w:lang w:val="en-US" w:eastAsia="zh-CN"/>
        </w:rPr>
        <w:t>生活废水经化粪池预处理达到岳阳高新技术产业园区污水处理厂接纳标准后排入园区的纳污管网，进入</w:t>
      </w:r>
      <w:r>
        <w:rPr>
          <w:rStyle w:val="35"/>
          <w:rFonts w:hint="eastAsia" w:ascii="仿宋_GB2312" w:hAnsi="仿宋_GB2312" w:eastAsia="仿宋_GB2312" w:cs="仿宋_GB2312"/>
          <w:color w:val="auto"/>
          <w:sz w:val="32"/>
          <w:szCs w:val="32"/>
          <w:u w:val="none" w:color="auto"/>
          <w:lang w:val="en-US" w:eastAsia="zh-CN"/>
        </w:rPr>
        <w:t>园区</w:t>
      </w:r>
      <w:r>
        <w:rPr>
          <w:rStyle w:val="35"/>
          <w:rFonts w:hint="eastAsia" w:ascii="仿宋_GB2312" w:hAnsi="仿宋_GB2312" w:eastAsia="仿宋_GB2312" w:cs="仿宋_GB2312"/>
          <w:color w:val="auto"/>
          <w:sz w:val="32"/>
          <w:szCs w:val="32"/>
          <w:u w:val="none" w:color="auto"/>
          <w:lang w:eastAsia="zh-CN"/>
        </w:rPr>
        <w:t>污水处理厂</w:t>
      </w:r>
      <w:r>
        <w:rPr>
          <w:rFonts w:hint="eastAsia" w:ascii="仿宋_GB2312" w:hAnsi="仿宋_GB2312" w:eastAsia="仿宋_GB2312" w:cs="仿宋_GB2312"/>
          <w:b w:val="0"/>
          <w:bCs w:val="0"/>
          <w:color w:val="auto"/>
          <w:sz w:val="32"/>
          <w:szCs w:val="32"/>
          <w:highlight w:val="none"/>
          <w:u w:val="none" w:color="auto"/>
          <w:lang w:eastAsia="zh-CN"/>
        </w:rPr>
        <w:t>集中处置</w:t>
      </w:r>
      <w:r>
        <w:rPr>
          <w:rFonts w:hint="eastAsia" w:ascii="仿宋_GB2312" w:hAnsi="仿宋_GB2312" w:eastAsia="仿宋_GB2312" w:cs="仿宋_GB2312"/>
          <w:color w:val="auto"/>
          <w:sz w:val="32"/>
          <w:szCs w:val="32"/>
          <w:u w:val="none" w:color="auto"/>
        </w:rPr>
        <w:t>。</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lang w:val="en-US" w:eastAsia="zh-CN"/>
        </w:rPr>
        <w:t>3</w:t>
      </w:r>
      <w:r>
        <w:rPr>
          <w:rFonts w:hint="eastAsia" w:ascii="仿宋" w:hAnsi="仿宋" w:eastAsia="仿宋" w:cs="宋体"/>
          <w:sz w:val="32"/>
          <w:szCs w:val="32"/>
        </w:rPr>
        <w:t>.落实噪声污染防治措施。合理布局、选用低噪声设备；对</w:t>
      </w:r>
      <w:r>
        <w:rPr>
          <w:rFonts w:hint="eastAsia" w:ascii="仿宋_GB2312" w:hAnsi="仿宋_GB2312" w:eastAsia="仿宋_GB2312" w:cs="仿宋_GB2312"/>
          <w:color w:val="auto"/>
          <w:sz w:val="32"/>
          <w:szCs w:val="32"/>
          <w:u w:val="none" w:color="auto"/>
          <w:lang w:val="en-US" w:eastAsia="zh-CN"/>
        </w:rPr>
        <w:t>抛丸机</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弯管机、钻床、铣床、剪板机、切割机</w:t>
      </w:r>
      <w:r>
        <w:rPr>
          <w:rFonts w:hint="eastAsia" w:ascii="仿宋" w:hAnsi="仿宋" w:eastAsia="仿宋" w:cs="宋体"/>
          <w:sz w:val="32"/>
          <w:szCs w:val="32"/>
        </w:rPr>
        <w:t>等高噪声设备采取消声、减振、密封等措施；加强对设备的维护和保养；项目厂界噪声执行《工业企业厂界环境噪声排放标准》（GB12348-2008）3类标准。</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.落实固体废物管理措施。按照“减量化、资源化、无害化”原则，对固体废物进行分类收集、贮存、处理和处置，建立健全固体废物产生、收集、储存、转运、处置等相关管理台账。</w:t>
      </w:r>
      <w:r>
        <w:rPr>
          <w:rFonts w:hint="eastAsia" w:ascii="仿宋_GB2312" w:hAnsi="仿宋_GB2312" w:eastAsia="仿宋_GB2312" w:cs="仿宋_GB2312"/>
          <w:color w:val="auto"/>
          <w:sz w:val="32"/>
          <w:szCs w:val="32"/>
          <w:u w:val="none" w:color="auto"/>
          <w:lang w:val="zh-CN" w:eastAsia="zh-CN"/>
        </w:rPr>
        <w:t>废过滤棉、废</w:t>
      </w:r>
      <w:r>
        <w:rPr>
          <w:rFonts w:hint="eastAsia" w:ascii="仿宋_GB2312" w:hAnsi="仿宋_GB2312" w:eastAsia="仿宋_GB2312" w:cs="仿宋_GB2312"/>
          <w:color w:val="auto"/>
          <w:sz w:val="32"/>
          <w:szCs w:val="32"/>
          <w:u w:val="none" w:color="auto"/>
          <w:lang w:val="en-US" w:eastAsia="zh-CN"/>
        </w:rPr>
        <w:t>UV灯管、</w:t>
      </w:r>
      <w:r>
        <w:rPr>
          <w:rFonts w:hint="eastAsia" w:ascii="仿宋_GB2312" w:hAnsi="仿宋_GB2312" w:eastAsia="仿宋_GB2312" w:cs="仿宋_GB2312"/>
          <w:color w:val="auto"/>
          <w:sz w:val="32"/>
          <w:szCs w:val="32"/>
          <w:u w:val="none" w:color="auto"/>
          <w:lang w:val="zh-CN" w:eastAsia="zh-CN"/>
        </w:rPr>
        <w:t>废漆桶、废漆渣</w:t>
      </w:r>
      <w:r>
        <w:rPr>
          <w:rFonts w:hint="eastAsia" w:ascii="仿宋" w:hAnsi="仿宋" w:eastAsia="仿宋" w:cs="宋体"/>
          <w:sz w:val="32"/>
          <w:szCs w:val="32"/>
        </w:rPr>
        <w:t>等危险废物采用专用容器盛装后暂存危废暂存间，定期交由有资质单位处置并严格执行转移联单制度。严格按照《一般工业固体废物贮存和填埋污染控制标准》（GB18599-2020）中要求规范</w:t>
      </w:r>
      <w:r>
        <w:rPr>
          <w:rFonts w:hint="eastAsia" w:ascii="仿宋" w:hAnsi="仿宋" w:eastAsia="仿宋" w:cs="宋体"/>
          <w:sz w:val="32"/>
          <w:szCs w:val="32"/>
          <w:lang w:eastAsia="zh-CN"/>
        </w:rPr>
        <w:t>设置</w:t>
      </w:r>
      <w:r>
        <w:rPr>
          <w:rFonts w:hint="eastAsia" w:ascii="仿宋" w:hAnsi="仿宋" w:eastAsia="仿宋" w:cs="宋体"/>
          <w:sz w:val="32"/>
          <w:szCs w:val="32"/>
        </w:rPr>
        <w:t>一般固体废物暂存间，需暂存的</w:t>
      </w:r>
      <w:r>
        <w:rPr>
          <w:rFonts w:hint="eastAsia" w:ascii="仿宋_GB2312" w:hAnsi="仿宋_GB2312" w:eastAsia="仿宋_GB2312" w:cs="仿宋_GB2312"/>
          <w:color w:val="auto"/>
          <w:sz w:val="32"/>
          <w:szCs w:val="32"/>
          <w:u w:val="none" w:color="auto"/>
          <w:lang w:eastAsia="zh-CN"/>
        </w:rPr>
        <w:t>废钢丸、废边角料、</w:t>
      </w:r>
      <w:r>
        <w:rPr>
          <w:rFonts w:hint="default" w:ascii="仿宋_GB2312" w:hAnsi="仿宋_GB2312" w:eastAsia="仿宋_GB2312" w:cs="仿宋_GB2312"/>
          <w:color w:val="auto"/>
          <w:sz w:val="32"/>
          <w:szCs w:val="32"/>
          <w:u w:val="none" w:color="auto"/>
          <w:lang w:eastAsia="zh-CN"/>
        </w:rPr>
        <w:t>废包装</w:t>
      </w:r>
      <w:r>
        <w:rPr>
          <w:rFonts w:hint="eastAsia" w:ascii="仿宋_GB2312" w:hAnsi="仿宋_GB2312" w:eastAsia="仿宋_GB2312" w:cs="仿宋_GB2312"/>
          <w:color w:val="auto"/>
          <w:sz w:val="32"/>
          <w:szCs w:val="32"/>
          <w:u w:val="none" w:color="auto"/>
          <w:lang w:eastAsia="zh-CN"/>
        </w:rPr>
        <w:t>材料、废焊渣、抛丸工序</w:t>
      </w:r>
      <w:r>
        <w:rPr>
          <w:rFonts w:hint="default" w:ascii="仿宋_GB2312" w:hAnsi="仿宋_GB2312" w:eastAsia="仿宋_GB2312" w:cs="仿宋_GB2312"/>
          <w:color w:val="auto"/>
          <w:sz w:val="32"/>
          <w:szCs w:val="32"/>
          <w:u w:val="none" w:color="auto"/>
          <w:lang w:eastAsia="zh-CN"/>
        </w:rPr>
        <w:t>除尘器</w:t>
      </w:r>
      <w:r>
        <w:rPr>
          <w:rFonts w:hint="eastAsia" w:ascii="仿宋_GB2312" w:hAnsi="仿宋_GB2312" w:eastAsia="仿宋_GB2312" w:cs="仿宋_GB2312"/>
          <w:color w:val="auto"/>
          <w:sz w:val="32"/>
          <w:szCs w:val="32"/>
          <w:u w:val="none" w:color="auto"/>
          <w:lang w:eastAsia="zh-CN"/>
        </w:rPr>
        <w:t>收集的</w:t>
      </w:r>
      <w:r>
        <w:rPr>
          <w:rFonts w:hint="default" w:ascii="仿宋_GB2312" w:hAnsi="仿宋_GB2312" w:eastAsia="仿宋_GB2312" w:cs="仿宋_GB2312"/>
          <w:color w:val="auto"/>
          <w:sz w:val="32"/>
          <w:szCs w:val="32"/>
          <w:u w:val="none" w:color="auto"/>
          <w:lang w:eastAsia="zh-CN"/>
        </w:rPr>
        <w:t>粉尘</w:t>
      </w:r>
      <w:r>
        <w:rPr>
          <w:rFonts w:hint="eastAsia" w:ascii="仿宋_GB2312" w:hAnsi="仿宋_GB2312" w:eastAsia="仿宋_GB2312" w:cs="仿宋_GB2312"/>
          <w:color w:val="auto"/>
          <w:sz w:val="32"/>
          <w:szCs w:val="32"/>
          <w:u w:val="none" w:color="auto"/>
          <w:lang w:eastAsia="zh-CN"/>
        </w:rPr>
        <w:t>等分类收集暂存后外售；</w:t>
      </w:r>
      <w:r>
        <w:rPr>
          <w:rFonts w:hint="eastAsia" w:ascii="仿宋" w:hAnsi="仿宋" w:eastAsia="仿宋" w:cs="宋体"/>
          <w:sz w:val="32"/>
          <w:szCs w:val="32"/>
        </w:rPr>
        <w:t>生活垃圾委托环卫部门统一处理。</w:t>
      </w:r>
    </w:p>
    <w:p>
      <w:pPr>
        <w:widowControl w:val="0"/>
        <w:autoSpaceDE w:val="0"/>
        <w:autoSpaceDN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lang w:val="en-US" w:eastAsia="zh-CN"/>
        </w:rPr>
        <w:t>5</w:t>
      </w:r>
      <w:bookmarkStart w:id="0" w:name="_GoBack"/>
      <w:bookmarkEnd w:id="0"/>
      <w:r>
        <w:rPr>
          <w:rFonts w:hint="eastAsia" w:ascii="仿宋" w:hAnsi="仿宋" w:eastAsia="仿宋" w:cs="宋体"/>
          <w:sz w:val="32"/>
          <w:szCs w:val="32"/>
        </w:rPr>
        <w:t>.强化风险防范措施。加强厂区现场管理，设专门的环保机构及人员，加强各类生产设备的检修、保养及人员培训，储备相关应急物资并组织应急演练，确保周边环境安全。</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三、依法须经批准的项目，经相关部门批准后方可开展建设活动。</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四、项目建设必须严格执行环境保护“三同时”等相关环境管理制度</w:t>
      </w:r>
      <w:r>
        <w:rPr>
          <w:rFonts w:ascii="仿宋" w:hAnsi="仿宋" w:eastAsia="仿宋" w:cs="宋体"/>
          <w:sz w:val="32"/>
          <w:szCs w:val="32"/>
        </w:rPr>
        <w:t>。</w:t>
      </w:r>
      <w:r>
        <w:rPr>
          <w:rFonts w:hint="eastAsia" w:ascii="仿宋" w:hAnsi="仿宋" w:eastAsia="仿宋" w:cs="宋体"/>
          <w:sz w:val="32"/>
          <w:szCs w:val="32"/>
        </w:rPr>
        <w:t>环境影响报告表经批准后，建设项目的性质、规模、地点、采用的生产工艺或者防治污染措施发生重大变动的，建设单位应当重新报批建设项目的环境影响评价文件。</w:t>
      </w:r>
      <w:r>
        <w:rPr>
          <w:rFonts w:hint="eastAsia" w:ascii="仿宋" w:hAnsi="仿宋" w:eastAsia="仿宋" w:cs="宋体"/>
          <w:sz w:val="32"/>
          <w:szCs w:val="32"/>
          <w:lang w:eastAsia="zh-CN"/>
        </w:rPr>
        <w:t>本</w:t>
      </w:r>
      <w:r>
        <w:rPr>
          <w:rFonts w:hint="eastAsia" w:ascii="仿宋" w:hAnsi="仿宋" w:eastAsia="仿宋" w:cs="宋体"/>
          <w:sz w:val="32"/>
          <w:szCs w:val="32"/>
        </w:rPr>
        <w:t>项目投产前</w:t>
      </w:r>
      <w:r>
        <w:rPr>
          <w:rFonts w:hint="eastAsia" w:ascii="仿宋" w:hAnsi="仿宋" w:eastAsia="仿宋" w:cs="宋体"/>
          <w:sz w:val="32"/>
          <w:szCs w:val="32"/>
          <w:lang w:eastAsia="zh-CN"/>
        </w:rPr>
        <w:t>应办理排污变更手续</w:t>
      </w:r>
      <w:r>
        <w:rPr>
          <w:rFonts w:hint="eastAsia" w:ascii="仿宋" w:hAnsi="仿宋" w:eastAsia="仿宋" w:cs="宋体"/>
          <w:sz w:val="32"/>
          <w:szCs w:val="32"/>
        </w:rPr>
        <w:t>。</w:t>
      </w:r>
    </w:p>
    <w:p>
      <w:pPr>
        <w:pStyle w:val="5"/>
      </w:pPr>
    </w:p>
    <w:p>
      <w:pPr>
        <w:pStyle w:val="5"/>
      </w:pPr>
    </w:p>
    <w:p>
      <w:pPr>
        <w:spacing w:after="0" w:line="520" w:lineRule="exact"/>
        <w:jc w:val="both"/>
        <w:rPr>
          <w:rFonts w:ascii="仿宋" w:hAnsi="仿宋" w:eastAsia="仿宋"/>
          <w:sz w:val="32"/>
          <w:szCs w:val="32"/>
        </w:rPr>
      </w:pPr>
      <w:r>
        <w:rPr>
          <w:rFonts w:hint="eastAsia" w:ascii="仿宋" w:hAnsi="仿宋" w:eastAsia="仿宋"/>
          <w:sz w:val="32"/>
          <w:szCs w:val="32"/>
        </w:rPr>
        <w:t>经办人：许  峰                   2023年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tbl>
      <w:tblPr>
        <w:tblStyle w:val="14"/>
        <w:tblpPr w:leftFromText="180" w:rightFromText="180" w:vertAnchor="text" w:horzAnchor="page" w:tblpX="1883" w:tblpY="759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pPr>
              <w:spacing w:after="0" w:line="520" w:lineRule="exact"/>
              <w:rPr>
                <w:rFonts w:ascii="仿宋" w:hAnsi="仿宋" w:eastAsia="仿宋" w:cs="仿宋_GB2312"/>
                <w:sz w:val="32"/>
                <w:szCs w:val="32"/>
              </w:rPr>
            </w:pPr>
            <w:r>
              <w:rPr>
                <w:rFonts w:hint="eastAsia" w:ascii="仿宋" w:hAnsi="仿宋" w:eastAsia="仿宋" w:cs="宋体"/>
                <w:sz w:val="32"/>
                <w:szCs w:val="32"/>
              </w:rPr>
              <w:t>抄送：</w:t>
            </w:r>
            <w:r>
              <w:rPr>
                <w:rFonts w:hint="eastAsia" w:ascii="仿宋" w:hAnsi="仿宋" w:eastAsia="仿宋"/>
                <w:sz w:val="32"/>
                <w:szCs w:val="32"/>
              </w:rPr>
              <w:t>岳阳高新技术产业园区管委会</w:t>
            </w:r>
            <w:r>
              <w:rPr>
                <w:rFonts w:hint="eastAsia" w:ascii="仿宋" w:hAnsi="仿宋" w:eastAsia="仿宋" w:cs="宋体"/>
                <w:sz w:val="32"/>
                <w:szCs w:val="32"/>
              </w:rPr>
              <w:t>，湖南聚星励志环保科技有限公司</w:t>
            </w:r>
          </w:p>
        </w:tc>
      </w:tr>
    </w:tbl>
    <w:p>
      <w:pPr>
        <w:spacing w:after="0" w:line="560" w:lineRule="exact"/>
      </w:pPr>
    </w:p>
    <w:sectPr>
      <w:headerReference r:id="rId4" w:type="default"/>
      <w:footerReference r:id="rId5" w:type="default"/>
      <w:pgSz w:w="11906" w:h="16838"/>
      <w:pgMar w:top="1440" w:right="1800" w:bottom="1440" w:left="1800" w:header="851" w:footer="992" w:gutter="0"/>
      <w:pgNumType w:fmt="upperRoma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III</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0"/>
      <w:lvlText w:val="%3."/>
      <w:lvlJc w:val="right"/>
      <w:pPr>
        <w:tabs>
          <w:tab w:val="left" w:pos="1260"/>
        </w:tabs>
        <w:ind w:left="1260" w:hanging="420"/>
      </w:pPr>
    </w:lvl>
    <w:lvl w:ilvl="3" w:tentative="0">
      <w:start w:val="1"/>
      <w:numFmt w:val="decimal"/>
      <w:pStyle w:val="2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zhkNGJhNWNkZjQzODlhZTM4NWJmMGRkYjg0YjgzNmMifQ=="/>
  </w:docVars>
  <w:rsids>
    <w:rsidRoot w:val="00D31D50"/>
    <w:rsid w:val="00000CBF"/>
    <w:rsid w:val="00003B0B"/>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435EF1"/>
    <w:rsid w:val="026F1557"/>
    <w:rsid w:val="031D766C"/>
    <w:rsid w:val="035F24F7"/>
    <w:rsid w:val="03CC6E75"/>
    <w:rsid w:val="057E0254"/>
    <w:rsid w:val="06A65CED"/>
    <w:rsid w:val="07DD536D"/>
    <w:rsid w:val="07F9103A"/>
    <w:rsid w:val="0899026A"/>
    <w:rsid w:val="097C485E"/>
    <w:rsid w:val="0985666A"/>
    <w:rsid w:val="0A5C568E"/>
    <w:rsid w:val="0A6A05DC"/>
    <w:rsid w:val="0C963102"/>
    <w:rsid w:val="0CED3C33"/>
    <w:rsid w:val="0DA11135"/>
    <w:rsid w:val="0E803C6F"/>
    <w:rsid w:val="1051635E"/>
    <w:rsid w:val="115A7068"/>
    <w:rsid w:val="126104A5"/>
    <w:rsid w:val="12F9530C"/>
    <w:rsid w:val="147F6DE6"/>
    <w:rsid w:val="16EB25B6"/>
    <w:rsid w:val="18FE27B3"/>
    <w:rsid w:val="1925210B"/>
    <w:rsid w:val="1C4A6D5F"/>
    <w:rsid w:val="1C8956D6"/>
    <w:rsid w:val="1CDF74BF"/>
    <w:rsid w:val="1D684B88"/>
    <w:rsid w:val="218C7786"/>
    <w:rsid w:val="21E95DFE"/>
    <w:rsid w:val="22AD2D70"/>
    <w:rsid w:val="233D3D5B"/>
    <w:rsid w:val="24DA20F4"/>
    <w:rsid w:val="261E463F"/>
    <w:rsid w:val="266C291D"/>
    <w:rsid w:val="274C0DA9"/>
    <w:rsid w:val="282910EA"/>
    <w:rsid w:val="28303C1A"/>
    <w:rsid w:val="291475E8"/>
    <w:rsid w:val="2B902987"/>
    <w:rsid w:val="2C301C58"/>
    <w:rsid w:val="2DEA745F"/>
    <w:rsid w:val="2E567F4A"/>
    <w:rsid w:val="2F633134"/>
    <w:rsid w:val="2F75482D"/>
    <w:rsid w:val="3196159F"/>
    <w:rsid w:val="34682E77"/>
    <w:rsid w:val="36050F29"/>
    <w:rsid w:val="361C52BB"/>
    <w:rsid w:val="36A164EA"/>
    <w:rsid w:val="377E47D8"/>
    <w:rsid w:val="3AB72586"/>
    <w:rsid w:val="3BCA0854"/>
    <w:rsid w:val="3CBC6CA3"/>
    <w:rsid w:val="3F2F7F48"/>
    <w:rsid w:val="41156A5C"/>
    <w:rsid w:val="42500DFE"/>
    <w:rsid w:val="426C4BF7"/>
    <w:rsid w:val="46DF6675"/>
    <w:rsid w:val="47574ED5"/>
    <w:rsid w:val="475F23DC"/>
    <w:rsid w:val="49204116"/>
    <w:rsid w:val="4B611D5C"/>
    <w:rsid w:val="4BEC5B04"/>
    <w:rsid w:val="4CDE39A2"/>
    <w:rsid w:val="51CD6957"/>
    <w:rsid w:val="52902274"/>
    <w:rsid w:val="53303F2B"/>
    <w:rsid w:val="551045DB"/>
    <w:rsid w:val="5596306C"/>
    <w:rsid w:val="55B313A7"/>
    <w:rsid w:val="55FA2AB8"/>
    <w:rsid w:val="561A06CC"/>
    <w:rsid w:val="56AD263F"/>
    <w:rsid w:val="57AD7A56"/>
    <w:rsid w:val="57C14700"/>
    <w:rsid w:val="58942BC6"/>
    <w:rsid w:val="5A822260"/>
    <w:rsid w:val="5DB91FEB"/>
    <w:rsid w:val="5DE305D4"/>
    <w:rsid w:val="616B3D62"/>
    <w:rsid w:val="623A31B8"/>
    <w:rsid w:val="63835861"/>
    <w:rsid w:val="6524775C"/>
    <w:rsid w:val="67795BE8"/>
    <w:rsid w:val="681F6013"/>
    <w:rsid w:val="68B74DF5"/>
    <w:rsid w:val="6A73045B"/>
    <w:rsid w:val="6A9E17D6"/>
    <w:rsid w:val="6B277C9A"/>
    <w:rsid w:val="6B2A452A"/>
    <w:rsid w:val="6B9052EC"/>
    <w:rsid w:val="6CE13944"/>
    <w:rsid w:val="6D0A227B"/>
    <w:rsid w:val="6E59029D"/>
    <w:rsid w:val="6E704B85"/>
    <w:rsid w:val="6F2F6BE9"/>
    <w:rsid w:val="710D7763"/>
    <w:rsid w:val="737A29C8"/>
    <w:rsid w:val="74516E5E"/>
    <w:rsid w:val="75216649"/>
    <w:rsid w:val="76571277"/>
    <w:rsid w:val="7781145A"/>
    <w:rsid w:val="77E233DF"/>
    <w:rsid w:val="79297BE8"/>
    <w:rsid w:val="7A6F538E"/>
    <w:rsid w:val="7B1B0A5C"/>
    <w:rsid w:val="7BD55DED"/>
    <w:rsid w:val="7BDF70F5"/>
    <w:rsid w:val="7DA617D2"/>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20"/>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3">
    <w:name w:val="Document Map"/>
    <w:basedOn w:val="1"/>
    <w:link w:val="22"/>
    <w:semiHidden/>
    <w:unhideWhenUsed/>
    <w:qFormat/>
    <w:uiPriority w:val="99"/>
    <w:rPr>
      <w:rFonts w:ascii="宋体" w:eastAsia="宋体"/>
      <w:sz w:val="18"/>
      <w:szCs w:val="18"/>
    </w:rPr>
  </w:style>
  <w:style w:type="paragraph" w:styleId="4">
    <w:name w:val="annotation text"/>
    <w:basedOn w:val="1"/>
    <w:semiHidden/>
    <w:unhideWhenUsed/>
    <w:qFormat/>
    <w:uiPriority w:val="99"/>
  </w:style>
  <w:style w:type="paragraph" w:styleId="5">
    <w:name w:val="Body Text"/>
    <w:basedOn w:val="1"/>
    <w:next w:val="6"/>
    <w:qFormat/>
    <w:uiPriority w:val="0"/>
    <w:pPr>
      <w:spacing w:before="60" w:after="160" w:line="259" w:lineRule="auto"/>
      <w:ind w:right="113"/>
    </w:pPr>
    <w:rPr>
      <w:sz w:val="18"/>
      <w:szCs w:val="20"/>
    </w:rPr>
  </w:style>
  <w:style w:type="paragraph" w:customStyle="1" w:styleId="6">
    <w:name w:val="xl27"/>
    <w:basedOn w:val="1"/>
    <w:next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7">
    <w:name w:val="Body Text Indent"/>
    <w:basedOn w:val="1"/>
    <w:next w:val="8"/>
    <w:qFormat/>
    <w:uiPriority w:val="0"/>
    <w:pPr>
      <w:spacing w:after="120"/>
      <w:ind w:left="420" w:leftChars="200"/>
    </w:pPr>
    <w:rPr>
      <w:sz w:val="24"/>
      <w:szCs w:val="20"/>
    </w:rPr>
  </w:style>
  <w:style w:type="paragraph" w:styleId="8">
    <w:name w:val="Body Text First Indent 2"/>
    <w:basedOn w:val="7"/>
    <w:next w:val="1"/>
    <w:qFormat/>
    <w:uiPriority w:val="0"/>
    <w:pPr>
      <w:tabs>
        <w:tab w:val="left" w:pos="540"/>
      </w:tabs>
      <w:ind w:firstLine="420" w:firstLineChars="200"/>
    </w:pPr>
    <w:rPr>
      <w:sz w:val="21"/>
    </w:rPr>
  </w:style>
  <w:style w:type="paragraph" w:styleId="9">
    <w:name w:val="Balloon Text"/>
    <w:basedOn w:val="1"/>
    <w:link w:val="33"/>
    <w:semiHidden/>
    <w:unhideWhenUsed/>
    <w:qFormat/>
    <w:uiPriority w:val="99"/>
    <w:pPr>
      <w:spacing w:after="0"/>
    </w:pPr>
    <w:rPr>
      <w:sz w:val="18"/>
      <w:szCs w:val="18"/>
    </w:rPr>
  </w:style>
  <w:style w:type="paragraph" w:styleId="10">
    <w:name w:val="footer"/>
    <w:basedOn w:val="1"/>
    <w:link w:val="19"/>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qFormat/>
    <w:uiPriority w:val="0"/>
    <w:pPr>
      <w:spacing w:before="100" w:beforeAutospacing="1" w:after="100" w:afterAutospacing="1"/>
    </w:pPr>
    <w:rPr>
      <w:rFonts w:ascii="宋体" w:hAnsi="宋体" w:cs="宋体"/>
      <w:sz w:val="24"/>
      <w:szCs w:val="24"/>
    </w:rPr>
  </w:style>
  <w:style w:type="paragraph" w:styleId="13">
    <w:name w:val="Body Text First Indent"/>
    <w:basedOn w:val="5"/>
    <w:qFormat/>
    <w:uiPriority w:val="0"/>
    <w:pPr>
      <w:spacing w:beforeLines="50" w:line="360" w:lineRule="auto"/>
      <w:ind w:firstLine="200" w:firstLineChars="2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paragraph" w:customStyle="1" w:styleId="18">
    <w:name w:val="报告正文"/>
    <w:basedOn w:val="1"/>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19">
    <w:name w:val="页脚 Char"/>
    <w:basedOn w:val="16"/>
    <w:link w:val="10"/>
    <w:qFormat/>
    <w:uiPriority w:val="99"/>
    <w:rPr>
      <w:rFonts w:ascii="Times New Roman" w:hAnsi="Times New Roman" w:eastAsia="宋体" w:cs="Times New Roman"/>
      <w:kern w:val="2"/>
      <w:sz w:val="18"/>
      <w:szCs w:val="18"/>
    </w:rPr>
  </w:style>
  <w:style w:type="character" w:customStyle="1" w:styleId="20">
    <w:name w:val="正文缩进 Char"/>
    <w:link w:val="2"/>
    <w:qFormat/>
    <w:uiPriority w:val="0"/>
    <w:rPr>
      <w:rFonts w:ascii="Times New Roman" w:hAnsi="Times New Roman" w:eastAsia="宋体"/>
      <w:kern w:val="2"/>
      <w:sz w:val="21"/>
    </w:rPr>
  </w:style>
  <w:style w:type="character" w:customStyle="1" w:styleId="21">
    <w:name w:val="页眉 Char"/>
    <w:basedOn w:val="16"/>
    <w:link w:val="11"/>
    <w:semiHidden/>
    <w:qFormat/>
    <w:uiPriority w:val="99"/>
    <w:rPr>
      <w:rFonts w:ascii="Tahoma" w:hAnsi="Tahoma"/>
      <w:sz w:val="18"/>
      <w:szCs w:val="18"/>
    </w:rPr>
  </w:style>
  <w:style w:type="character" w:customStyle="1" w:styleId="22">
    <w:name w:val="文档结构图 Char"/>
    <w:basedOn w:val="16"/>
    <w:link w:val="3"/>
    <w:semiHidden/>
    <w:qFormat/>
    <w:uiPriority w:val="99"/>
    <w:rPr>
      <w:rFonts w:ascii="宋体" w:hAnsi="Tahoma" w:eastAsia="宋体"/>
      <w:sz w:val="18"/>
      <w:szCs w:val="18"/>
    </w:rPr>
  </w:style>
  <w:style w:type="paragraph" w:customStyle="1" w:styleId="23">
    <w:name w:val="Char Char Char Char Char"/>
    <w:basedOn w:val="1"/>
    <w:next w:val="1"/>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24">
    <w:name w:val="List Paragraph"/>
    <w:basedOn w:val="1"/>
    <w:qFormat/>
    <w:uiPriority w:val="34"/>
    <w:pPr>
      <w:ind w:firstLine="420" w:firstLineChars="200"/>
    </w:pPr>
  </w:style>
  <w:style w:type="paragraph" w:customStyle="1" w:styleId="25">
    <w:name w:val="Char Char Char Char Char1"/>
    <w:basedOn w:val="1"/>
    <w:next w:val="1"/>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四级条标题"/>
    <w:basedOn w:val="28"/>
    <w:next w:val="32"/>
    <w:qFormat/>
    <w:uiPriority w:val="0"/>
    <w:pPr>
      <w:tabs>
        <w:tab w:val="left" w:pos="1260"/>
      </w:tabs>
      <w:outlineLvl w:val="5"/>
    </w:pPr>
    <w:rPr>
      <w:szCs w:val="20"/>
    </w:rPr>
  </w:style>
  <w:style w:type="paragraph" w:customStyle="1" w:styleId="28">
    <w:name w:val="三级条标题"/>
    <w:basedOn w:val="29"/>
    <w:next w:val="32"/>
    <w:qFormat/>
    <w:uiPriority w:val="0"/>
    <w:pPr>
      <w:numPr>
        <w:ilvl w:val="0"/>
        <w:numId w:val="0"/>
      </w:numPr>
      <w:tabs>
        <w:tab w:val="left" w:pos="1260"/>
      </w:tabs>
      <w:outlineLvl w:val="4"/>
    </w:pPr>
  </w:style>
  <w:style w:type="paragraph" w:customStyle="1" w:styleId="29">
    <w:name w:val="二级条标题"/>
    <w:basedOn w:val="30"/>
    <w:next w:val="32"/>
    <w:qFormat/>
    <w:uiPriority w:val="0"/>
    <w:pPr>
      <w:numPr>
        <w:ilvl w:val="3"/>
      </w:numPr>
      <w:tabs>
        <w:tab w:val="left" w:pos="1260"/>
      </w:tabs>
      <w:outlineLvl w:val="3"/>
    </w:pPr>
  </w:style>
  <w:style w:type="paragraph" w:customStyle="1" w:styleId="30">
    <w:name w:val="一级条标题"/>
    <w:basedOn w:val="31"/>
    <w:next w:val="32"/>
    <w:qFormat/>
    <w:uiPriority w:val="0"/>
    <w:pPr>
      <w:numPr>
        <w:ilvl w:val="2"/>
        <w:numId w:val="1"/>
      </w:numPr>
      <w:spacing w:beforeLines="0" w:afterLines="0"/>
      <w:outlineLvl w:val="2"/>
    </w:pPr>
  </w:style>
  <w:style w:type="paragraph" w:customStyle="1" w:styleId="31">
    <w:name w:val="章标题"/>
    <w:next w:val="32"/>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3">
    <w:name w:val="批注框文本 Char"/>
    <w:basedOn w:val="16"/>
    <w:link w:val="9"/>
    <w:semiHidden/>
    <w:qFormat/>
    <w:uiPriority w:val="99"/>
    <w:rPr>
      <w:rFonts w:ascii="Tahoma" w:hAnsi="Tahoma" w:eastAsia="微软雅黑" w:cstheme="minorBidi"/>
      <w:sz w:val="18"/>
      <w:szCs w:val="18"/>
    </w:rPr>
  </w:style>
  <w:style w:type="paragraph" w:customStyle="1" w:styleId="34">
    <w:name w:val="正文1"/>
    <w:link w:val="35"/>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35">
    <w:name w:val="正文1 Char"/>
    <w:link w:val="34"/>
    <w:qFormat/>
    <w:locked/>
    <w:uiPriority w:val="0"/>
    <w:rPr>
      <w:rFonts w:ascii="宋体"/>
      <w:sz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1780</Words>
  <Characters>1966</Characters>
  <Lines>11</Lines>
  <Paragraphs>3</Paragraphs>
  <TotalTime>9</TotalTime>
  <ScaleCrop>false</ScaleCrop>
  <LinksUpToDate>false</LinksUpToDate>
  <CharactersWithSpaces>1987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宇灏</cp:lastModifiedBy>
  <cp:lastPrinted>2023-10-17T01:55:30Z</cp:lastPrinted>
  <dcterms:modified xsi:type="dcterms:W3CDTF">2023-10-17T01:57:19Z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A7071521C464449290D89BA52F96FD80</vt:lpwstr>
  </property>
</Properties>
</file>