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620" w:lineRule="exact"/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</w:pPr>
      <w:r>
        <w:rPr>
          <w:rFonts w:hint="eastAsia" w:eastAsia="华光小标宋_CNKI" w:cs="Times New Roman"/>
          <w:b/>
          <w:bCs/>
          <w:sz w:val="40"/>
          <w:szCs w:val="40"/>
          <w:u w:val="single"/>
          <w:lang w:val="en-US" w:eastAsia="zh-CN" w:bidi="ar-SA"/>
        </w:rPr>
        <w:t xml:space="preserve"> 熊山水库供水工程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  <w:t>申报</w:t>
      </w:r>
      <w:r>
        <w:rPr>
          <w:rFonts w:hint="eastAsia" w:ascii="Times New Roman" w:hAnsi="Times New Roman" w:eastAsia="华光小标宋_CNKI" w:cs="Times New Roman"/>
          <w:b/>
          <w:bCs/>
          <w:sz w:val="40"/>
          <w:szCs w:val="40"/>
          <w:lang w:val="en-US" w:eastAsia="zh-CN" w:bidi="ar-SA"/>
        </w:rPr>
        <w:t>县</w:t>
      </w:r>
      <w:r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  <w:t>级农村供水标准化管理工程评价赋分表</w:t>
      </w:r>
    </w:p>
    <w:p>
      <w:pPr>
        <w:pStyle w:val="3"/>
        <w:spacing w:line="620" w:lineRule="exact"/>
        <w:rPr>
          <w:rFonts w:ascii="Times New Roman" w:hAnsi="Times New Roman" w:eastAsia="华光小标宋_CNKI" w:cs="Times New Roman"/>
          <w:b/>
          <w:bCs/>
          <w:sz w:val="40"/>
          <w:szCs w:val="40"/>
          <w:lang w:bidi="ar-SA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303"/>
        <w:gridCol w:w="10095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tblHeader/>
          <w:jc w:val="center"/>
        </w:trPr>
        <w:tc>
          <w:tcPr>
            <w:tcW w:w="2355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项  目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评价内容及要求</w:t>
            </w: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（每个单项分值，扣完为止）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方正黑体_GBK" w:cs="Times New Roman"/>
                <w:b/>
                <w:kern w:val="0"/>
                <w:sz w:val="22"/>
                <w:szCs w:val="22"/>
                <w:lang w:bidi="ar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良好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1.水源稳定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1.水源供水量低于设计供/取水量，扣3分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2.水源保证率90%—95%，扣1分；低于90%，扣2分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2.净水设施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（7分）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1.未按要求配备净化设备且未采取净化措施的，不得分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2.地表水水源水质不符合《地表水环境质量标准（GB 3838）》规定，地下水水源水质不符合《地下水质量标准（GB/T 14848）》规定，限于条件需加以利用，但未采取净化处理，扣4分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3.净水工艺和净水设备（含措施）选择不合理，扣3分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3.消毒设备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（6分）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1.未配备消毒设备且未采取消毒措施的，不得分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2.消毒工艺和消毒设备（含措施）选择不合理，扣3分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3.千吨万人供水工程消毒剂不能根据水量变化自动投加，扣1分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4.消毒剂及其制备原材料存放不符合有关规定，千吨万人供水工程扣2分，千人及以下供水工程扣3分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4.调节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建筑物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1.调节构筑物设计不合理，如：容积过大或过小，清水池未加盖、未设置人孔、溢流管和排空管，每项扣0.2分，扣完1分为止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2.调节构筑物破损、漏水、防腐不到位，存在安全、卫生隐患，每项扣0.2分，扣完1分为止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5.管道选材及埋设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1.所选管材不符合有关标准要求，扣1分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2.埋深或安全防冻保护措施不符合有关标准和设计要求，扣2分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良好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6.其他设施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设备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1.水厂未设置围墙/栏等封闭措施，扣1分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2.水厂泵房、配电间、中控室、仓库等建（构）筑物配套不合理，每项扣0.2分，扣完1分为止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3.水泵机组、阀门、流量计、拦污栅、搅拌机、排泥等主要供水设备配备不齐全不合理，每项扣0.2分，扣完1分为止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4.千吨万人水厂未配备水质化验室，扣1分；已配备水质化验室但不满足日检能力要求的，扣0.5分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7.自动化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监控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1.千吨万人供水工程未配置视频安防监视系统，系统运行不正常，每项扣0.5分，扣完1分为止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2.千吨万人供水工程未配置计算机监控系统，系统运行不正常，每项扣1分，扣完2分为止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规范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1.管理机构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1.水厂管理组织架构未建立，扣1分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2.厂长或主要负责同志不了解供水情况或履职尽责不到位，扣1分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3.员工岗位职责不清，扣1分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2.制度建设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1.农村供水生产运行、水质检测、维修养护、水费收缴、安全巡查等制度不健全的，每缺一项扣0.2分，扣完1分为止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2.主要制度及关键操作规程未上墙的，每项扣0.2分，扣完1分为止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3.安全生产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1.安全生产制度不完善，责任人未确定，一票否决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2.发生安全事故及人员伤亡，一票否决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3.未配备消防设施设备或器材，扣1分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4.安全生产措施不齐全、不合理，扣2分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规范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4.管理人员配备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1.管理人员队伍未配备或配备不全的，扣1分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2.管理人员不具备日常供水管理能力，扣1分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3.制水人员没有有效的健康证，扣1分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4.未对管水人员进行培训，扣1分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5.水厂布局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及环境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1.厂区功能区划分不合理，扣1分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2.厂区环境状况差，每发现1处扣0.2分，扣完1分为止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6.标识标牌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1.未设立标识标牌，不得分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2.每发现1处标识标牌设置不合理、不醒目，扣0.2分，扣完1分为止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7.应急预案（4分）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1.千人以上供水工程未编制农村供水应急预案的，不得分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2.农村供水应急预案缺乏针对性、可操作性不强的，扣1分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3.农村供水应急预案未落实到具体单位和人员的，责任不落实的，扣1分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4.未配备应急物资和应急队伍的，扣1分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5.农村供水应急预案未演练的，扣1分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8.供水服务（5分）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1.水厂责任人信息未公开，扣0.5分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2.未建立或未公开水厂供水服务电话（工程为县级统管的，未公开统管机构监督服务电话），扣0.5分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3.未建立问题台账，扣1分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4.问题处理不到位，发现1个扣0.2分，扣完2分为止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5.未开展一年一次的用户满意度调查或用水户满意度不高，扣1分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供水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达标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1.水源保护（4分）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1.千人以上供水工程水源保护区或保护范围未依法划定，扣2分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2.未设立水源保护标志牌或者设置不醒目不完整，扣1分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3.未落实水源保护措施，千人以上供水工程扣1分，百人供水工程扣3分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2.水量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（7分）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1.正常运行条件下，供水水量不符合相关标准要求的，一票否决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2.未依法依规办理取水许可证或取水许可证已过期，扣2分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3.千人以上供水工程未供水到户（院），百人供水工程供水入户（院）率低于95%的，扣3分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4.供水保证率低于95%的，扣2分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3.水质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1.具备条件的没有依法依规办理卫生许可证或卫生许可证过期，扣2分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2.地表水水源水质不符合《地表水环境质量标准（GB 3838）》规定，地下水水源水质不符合《地下水质量标准（GB/T 14848）》规定，扣3分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3.正常运行条件下，千人以上供水工程出厂水或末梢水水质不符合《生活饮用水卫生标准》（GB 5749）要求，一票否决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水价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合理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（14分）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1.水价制度（3分）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1.未建立水价制度或制定水价，一票否决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2.未根据需要对特种用水、非居民用水进行分类定价，扣1分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3.定价未征求用水户代表意见，扣2分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2.可覆盖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成本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1.执行水价加上财政补助不能满足工程良性运行的，扣2分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2.执行水价无法覆盖供水成本，且未落实财政补助的，扣3分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3.水费收缴（6分）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1.不收缴水费，一票否决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2.水厂未安装取水或出厂水计量总表的，扣1分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3.未安装一户一表，实行计量收费的，扣1分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4.水费收缴率低于95%的，扣2分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5.未建立用水户台账，扣1分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6.水费收缴账目不清，未建立工作台账，扣1分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运行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可靠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1.设施设备运行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取水、输水、净水、配水等主要设施设备运行不正常的，每发现1个，扣1分，扣完4分为止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2.管网管护（4分）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1.未对供水管网开展安全巡查，扣1分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2.供水管网维护不当，管网漏损率超过15%，扣2分；管网漏损率12%—15%，扣1分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3.未采取防冻保暖措施，导致管道冻损影响供水，扣1分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运行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可靠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（16分）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3.运行管护（4分）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1.供水管理不到位，一年内出现2次及以上大面积停水断水或水质超标事件，一票否决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2.未建立供水设施设备日常保养、定期维护和大修理等运行管理三级制度，扣2分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3.供水设施设备日常保养、定期维护不及时不到位，扣1分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4.供水设施设备大修理不及时不到位，扣1分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  <w:bookmarkEnd w:id="0"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>
            <w:pPr>
              <w:rPr>
                <w:rFonts w:eastAsia="宋体" w:cs="Times New Roman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4.维修养护（4分）</w:t>
            </w:r>
          </w:p>
        </w:tc>
        <w:tc>
          <w:tcPr>
            <w:tcW w:w="1009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1.未制定维修养护计划，扣1分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2.未配备维修养护物资，扣2分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2"/>
                <w:lang w:bidi="ar"/>
              </w:rPr>
              <w:t>3.未落实维修养护经费，扣1分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光小标宋_CNKI">
    <w:altName w:val="宋体"/>
    <w:panose1 w:val="02000500000000000000"/>
    <w:charset w:val="00"/>
    <w:family w:val="auto"/>
    <w:pitch w:val="default"/>
    <w:sig w:usb0="00000000" w:usb1="00000000" w:usb2="00000016" w:usb3="00000000" w:csb0="0004000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wMWUwY2VmNzBkNTVmMzM1NDg4ODBlNWYwOGFmYzUifQ=="/>
  </w:docVars>
  <w:rsids>
    <w:rsidRoot w:val="7BD84B56"/>
    <w:rsid w:val="6B7C7CBB"/>
    <w:rsid w:val="7BD8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next w:val="3"/>
    <w:qFormat/>
    <w:uiPriority w:val="0"/>
    <w:rPr>
      <w:rFonts w:ascii="Microsoft YaHei UI" w:hAnsi="Microsoft YaHei UI" w:eastAsia="Microsoft YaHei UI"/>
      <w:sz w:val="18"/>
      <w:szCs w:val="18"/>
    </w:rPr>
  </w:style>
  <w:style w:type="paragraph" w:styleId="3">
    <w:name w:val="Block Text"/>
    <w:basedOn w:val="1"/>
    <w:qFormat/>
    <w:uiPriority w:val="0"/>
    <w:pPr>
      <w:jc w:val="center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2023-10-29T11:50:00Z</dcterms:created>
  <dc:creator>匝雀床匾篮</dc:creator>
  <cp:lastModifiedBy>人民毕</cp:lastModifiedBy>
  <cp:lastPrinted>2023-10-30T00:51:34Z</cp:lastPrinted>
  <dcterms:modified xsi:type="dcterms:W3CDTF">2023-10-30T03:15:11Z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DA4176F1FC4E4B0FAEFF3899BC2A77F6_11</vt:lpwstr>
  </property>
</Properties>
</file>