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附件1-1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hint="eastAsia" w:eastAsia="方正小标宋简体"/>
          <w:bCs/>
          <w:sz w:val="46"/>
          <w:szCs w:val="46"/>
        </w:rPr>
      </w:pPr>
      <w:r>
        <w:rPr>
          <w:rFonts w:hint="eastAsia" w:eastAsia="方正小标宋简体"/>
          <w:bCs/>
          <w:sz w:val="46"/>
          <w:szCs w:val="46"/>
        </w:rPr>
        <w:t>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岳阳县机关事务管理中心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443001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ind w:firstLine="2219" w:firstLineChars="70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许杏梅</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18274079686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tabs>
                <w:tab w:val="left" w:pos="614"/>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 xml:space="preserve">1、负责政府大院办公区设施和大型会议场所的管理与服务工作，承办县四套班子领导交办的有关会议及重要活动的后勤供应工作；                          </w:t>
            </w:r>
          </w:p>
          <w:p>
            <w:pPr>
              <w:tabs>
                <w:tab w:val="left" w:pos="614"/>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2、负责机关车辆管理和调配；</w:t>
            </w:r>
          </w:p>
          <w:p>
            <w:pPr>
              <w:tabs>
                <w:tab w:val="left" w:pos="614"/>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3、负责机关办公用房的调配、管理、办公设施维修。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任务1：做好重要会议、重大活动的会务保障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任务2：做好机关后勤的保障服务工作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任务3：做好公务用车调配工作 </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任务4：做好办公用房及配套设施的购置、清查登记、产权界定、维修、处置等工作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岳阳县</w:t>
            </w:r>
            <w:r>
              <w:rPr>
                <w:rFonts w:hint="eastAsia" w:ascii="仿宋_GB2312" w:hAnsi="仿宋_GB2312" w:eastAsia="仿宋_GB2312" w:cs="仿宋_GB2312"/>
                <w:color w:val="000000"/>
                <w:sz w:val="24"/>
                <w:lang w:val="en-US" w:eastAsia="zh-CN"/>
              </w:rPr>
              <w:t>机关事务管理中心在市机关事务局</w:t>
            </w:r>
            <w:r>
              <w:rPr>
                <w:rFonts w:hint="eastAsia" w:ascii="仿宋_GB2312" w:hAnsi="仿宋_GB2312" w:eastAsia="仿宋_GB2312" w:cs="仿宋_GB2312"/>
                <w:color w:val="000000"/>
                <w:sz w:val="24"/>
              </w:rPr>
              <w:t>的正确指导和县委、</w:t>
            </w:r>
            <w:r>
              <w:rPr>
                <w:rFonts w:hint="eastAsia" w:ascii="仿宋_GB2312" w:hAnsi="仿宋_GB2312" w:eastAsia="仿宋_GB2312" w:cs="仿宋_GB2312"/>
                <w:color w:val="000000"/>
                <w:sz w:val="24"/>
                <w:lang w:val="en-US" w:eastAsia="zh-CN"/>
              </w:rPr>
              <w:t>县政府</w:t>
            </w:r>
            <w:r>
              <w:rPr>
                <w:rFonts w:hint="eastAsia" w:ascii="仿宋_GB2312" w:hAnsi="仿宋_GB2312" w:eastAsia="仿宋_GB2312" w:cs="仿宋_GB2312"/>
                <w:color w:val="000000"/>
                <w:sz w:val="24"/>
              </w:rPr>
              <w:t>的坚强领导下，</w:t>
            </w:r>
            <w:r>
              <w:rPr>
                <w:rFonts w:hint="eastAsia" w:ascii="仿宋_GB2312" w:hAnsi="仿宋_GB2312" w:eastAsia="仿宋_GB2312" w:cs="仿宋_GB2312"/>
                <w:color w:val="000000"/>
                <w:sz w:val="24"/>
                <w:lang w:val="en-US" w:eastAsia="zh-CN"/>
              </w:rPr>
              <w:t>全面深化服务保障工作，增强管理手段，提高服务意思。</w:t>
            </w:r>
            <w:r>
              <w:rPr>
                <w:rFonts w:hint="eastAsia" w:ascii="仿宋_GB2312" w:hAnsi="仿宋_GB2312" w:eastAsia="仿宋_GB2312" w:cs="仿宋_GB2312"/>
                <w:color w:val="000000"/>
                <w:sz w:val="24"/>
              </w:rPr>
              <w:t>认真履行“统筹协调、指导督导、服务保障”职能，着力抓学习、强队伍、作表率，</w:t>
            </w:r>
            <w:r>
              <w:rPr>
                <w:rFonts w:hint="eastAsia" w:ascii="仿宋" w:hAnsi="仿宋" w:eastAsia="仿宋" w:cs="仿宋"/>
                <w:b w:val="0"/>
                <w:bCs w:val="0"/>
                <w:i w:val="0"/>
                <w:iCs w:val="0"/>
                <w:caps w:val="0"/>
                <w:color w:val="auto"/>
                <w:spacing w:val="0"/>
                <w:sz w:val="24"/>
                <w:szCs w:val="24"/>
                <w:u w:val="none"/>
                <w:vertAlign w:val="baseline"/>
              </w:rPr>
              <w:t>通过加强预算收支管理，不断建立健全内部管理制度，梳理内部管理流程，部门整体支出管理水平得到提升。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岳阳县机关事务管理中心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1808.49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1641.62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7"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岳阳县机关事务管理中心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1735.91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1595.91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575.03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926.59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岳阳县机关事务管理中心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383.33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46.45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290.32</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46.56</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岳阳县机关事务管理中心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408.5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408.5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目标1：保证人员经费正常发放，单位正常运转，工作顺利开展。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目标2：保障四大机关事业单位公务用车正常运行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目标3：做好重要会议及活动的接待工作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目标4：完成县委和市局交办的其它工作。</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已完成各项</w:t>
            </w:r>
            <w:r>
              <w:rPr>
                <w:rFonts w:hint="eastAsia" w:ascii="仿宋_GB2312" w:hAnsi="仿宋_GB2312" w:eastAsia="仿宋_GB2312" w:cs="仿宋_GB2312"/>
                <w:bCs/>
                <w:color w:val="000000"/>
                <w:sz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指标1：公车安全运行率</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指标2：条码化管理覆盖率</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指标2：管理公车数量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资金给付及时率</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指标2：报送</w:t>
            </w:r>
            <w:r>
              <w:rPr>
                <w:rFonts w:hint="eastAsia" w:ascii="仿宋_GB2312" w:hAnsi="仿宋_GB2312" w:eastAsia="仿宋_GB2312" w:cs="仿宋_GB2312"/>
                <w:color w:val="000000"/>
                <w:sz w:val="24"/>
                <w:lang w:val="en-US" w:eastAsia="zh-CN"/>
              </w:rPr>
              <w:t>财务</w:t>
            </w:r>
            <w:r>
              <w:rPr>
                <w:rFonts w:hint="eastAsia" w:ascii="仿宋_GB2312" w:hAnsi="仿宋_GB2312" w:eastAsia="仿宋_GB2312" w:cs="仿宋_GB2312"/>
                <w:color w:val="000000"/>
                <w:sz w:val="24"/>
              </w:rPr>
              <w:t>报表及时率</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预算控制数</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指标1：解决司机就业问题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问题整改率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58个</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指标1：车辆减少排污量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指标1：社会群众对工作满意程度</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服务对象满意度</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98%</w:t>
            </w:r>
          </w:p>
          <w:p>
            <w:pPr>
              <w:autoSpaceDN w:val="0"/>
              <w:spacing w:line="320" w:lineRule="exact"/>
              <w:jc w:val="both"/>
              <w:textAlignment w:val="center"/>
              <w:rPr>
                <w:rFonts w:hint="eastAsia" w:ascii="仿宋_GB2312" w:hAnsi="仿宋_GB2312" w:eastAsia="仿宋_GB2312" w:cs="仿宋_GB2312"/>
                <w:b/>
                <w:color w:val="000000"/>
                <w:sz w:val="24"/>
                <w:lang w:val="en-US" w:eastAsia="zh-CN"/>
              </w:rPr>
            </w:pP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98%</w:t>
            </w:r>
          </w:p>
          <w:p>
            <w:pPr>
              <w:autoSpaceDN w:val="0"/>
              <w:spacing w:line="320" w:lineRule="exact"/>
              <w:jc w:val="both"/>
              <w:textAlignment w:val="center"/>
              <w:rPr>
                <w:rFonts w:hint="default" w:ascii="仿宋_GB2312" w:hAnsi="仿宋_GB2312" w:eastAsia="仿宋_GB2312" w:cs="仿宋_GB2312"/>
                <w:b/>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关  毅</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岳阳县机关事务管理中心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孙雄宇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计财股股长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岳阳县机关事务管理中心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许杏梅</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计财股会计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岳阳县机关事务管理中心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万鹏程</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岳阳县机关事务管理中心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8"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5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许杏梅</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18274079686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840" w:firstLineChars="3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我单位设8个内设部门，包括：办公室、接待股、财务股、公务用车股、办公用房股、公共机构节能股、工会、公务用车管理服务中心。事业编制14名，设主任1名，副主任3名，正科级领导职数1名，副科级领导职数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　　　2022年末在职实有人数17人，其中：行政编制人员1人，机关工勤人员3人，事业编制人员11人。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 xml:space="preserve">      2022年主要工作内容是：一是做好重要会议、重大活动的会务保障，二是做好机关后勤的保障服务工作，三是做好公务用车调配工作，四是做好办公用房及配套设施的购置、清查登记、产权界</w:t>
            </w:r>
            <w:bookmarkStart w:id="0" w:name="_GoBack"/>
            <w:bookmarkEnd w:id="0"/>
            <w:r>
              <w:rPr>
                <w:rFonts w:hint="eastAsia" w:ascii="仿宋_GB2312" w:hAnsi="仿宋_GB2312" w:eastAsia="仿宋_GB2312" w:cs="仿宋_GB2312"/>
                <w:bCs/>
                <w:kern w:val="2"/>
                <w:sz w:val="28"/>
                <w:szCs w:val="28"/>
                <w:lang w:val="en-US" w:eastAsia="zh-CN" w:bidi="ar-SA"/>
              </w:rPr>
              <w:t>定、维修、处置等工作。</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年支出合计</w:t>
            </w:r>
            <w:r>
              <w:rPr>
                <w:rFonts w:hint="eastAsia" w:ascii="仿宋_GB2312" w:hAnsi="仿宋_GB2312" w:eastAsia="仿宋_GB2312" w:cs="仿宋_GB2312"/>
                <w:bCs/>
                <w:sz w:val="28"/>
                <w:szCs w:val="28"/>
                <w:lang w:val="en-US" w:eastAsia="zh-CN"/>
              </w:rPr>
              <w:t>1735.91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其中基本支出1595.91万元，项目支出140万元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基本支出中</w:t>
            </w:r>
            <w:r>
              <w:rPr>
                <w:rFonts w:hint="eastAsia" w:ascii="仿宋_GB2312" w:hAnsi="仿宋_GB2312" w:eastAsia="仿宋_GB2312" w:cs="仿宋_GB2312"/>
                <w:bCs/>
                <w:sz w:val="28"/>
                <w:szCs w:val="28"/>
              </w:rPr>
              <w:t>人员支出</w:t>
            </w:r>
            <w:r>
              <w:rPr>
                <w:rFonts w:hint="eastAsia" w:ascii="仿宋_GB2312" w:hAnsi="仿宋_GB2312" w:eastAsia="仿宋_GB2312" w:cs="仿宋_GB2312"/>
                <w:bCs/>
                <w:sz w:val="28"/>
                <w:szCs w:val="28"/>
                <w:lang w:val="en-US" w:eastAsia="zh-CN"/>
              </w:rPr>
              <w:t>575.03</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926.59</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其它支出94.29万元</w:t>
            </w:r>
            <w:r>
              <w:rPr>
                <w:rFonts w:hint="eastAsia" w:ascii="仿宋_GB2312" w:hAnsi="仿宋_GB2312" w:eastAsia="仿宋_GB2312" w:cs="仿宋_GB2312"/>
                <w:bCs/>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840" w:firstLineChars="3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基本</w:t>
            </w:r>
            <w:r>
              <w:rPr>
                <w:rFonts w:hint="eastAsia" w:ascii="仿宋_GB2312" w:hAnsi="仿宋_GB2312" w:eastAsia="仿宋_GB2312" w:cs="仿宋_GB2312"/>
                <w:bCs/>
                <w:sz w:val="28"/>
                <w:szCs w:val="28"/>
              </w:rPr>
              <w:t>支出合计</w:t>
            </w:r>
            <w:r>
              <w:rPr>
                <w:rFonts w:hint="eastAsia" w:ascii="仿宋_GB2312" w:hAnsi="仿宋_GB2312" w:eastAsia="仿宋_GB2312" w:cs="仿宋_GB2312"/>
                <w:bCs/>
                <w:sz w:val="28"/>
                <w:szCs w:val="28"/>
                <w:lang w:val="en-US" w:eastAsia="zh-CN"/>
              </w:rPr>
              <w:t>1595.91万元，其中</w:t>
            </w:r>
            <w:r>
              <w:rPr>
                <w:rFonts w:hint="eastAsia" w:ascii="仿宋_GB2312" w:hAnsi="仿宋_GB2312" w:eastAsia="仿宋_GB2312" w:cs="仿宋_GB2312"/>
                <w:bCs/>
                <w:sz w:val="28"/>
                <w:szCs w:val="28"/>
              </w:rPr>
              <w:t>人员支出</w:t>
            </w:r>
            <w:r>
              <w:rPr>
                <w:rFonts w:hint="eastAsia" w:ascii="仿宋_GB2312" w:hAnsi="仿宋_GB2312" w:eastAsia="仿宋_GB2312" w:cs="仿宋_GB2312"/>
                <w:bCs/>
                <w:sz w:val="28"/>
                <w:szCs w:val="28"/>
                <w:lang w:val="en-US" w:eastAsia="zh-CN"/>
              </w:rPr>
              <w:t>575.03</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926.59</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其它支出94.29万元</w:t>
            </w:r>
            <w:r>
              <w:rPr>
                <w:rFonts w:hint="eastAsia" w:ascii="仿宋_GB2312" w:hAnsi="仿宋_GB2312" w:eastAsia="仿宋_GB2312" w:cs="仿宋_GB2312"/>
                <w:bCs/>
                <w:sz w:val="28"/>
                <w:szCs w:val="28"/>
              </w:rPr>
              <w:t>。</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专项支出</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项目</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val="en-US" w:eastAsia="zh-CN"/>
              </w:rPr>
              <w:t>140</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其中招待所家属区老旧小区改造80万元，中心办公楼改造60万元</w:t>
            </w:r>
            <w:r>
              <w:rPr>
                <w:rFonts w:hint="eastAsia" w:ascii="仿宋_GB2312" w:hAnsi="仿宋_GB2312" w:eastAsia="仿宋_GB2312" w:cs="仿宋_GB2312"/>
                <w:bCs/>
                <w:sz w:val="28"/>
                <w:szCs w:val="28"/>
              </w:rPr>
              <w:t>。</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专项资金安排落实、总投入等情况分析</w:t>
            </w:r>
          </w:p>
          <w:p>
            <w:pPr>
              <w:numPr>
                <w:ilvl w:val="0"/>
                <w:numId w:val="0"/>
              </w:numPr>
              <w:spacing w:line="560" w:lineRule="exact"/>
              <w:ind w:firstLine="840" w:firstLineChars="3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本年项目支出金额合计140万元，主要用于招待所老旧小区改造和中心办公室改造。</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项目竣工已完成。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840" w:firstLineChars="3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我单位严格按照审核审批制度进行资金拨付，按照项目建设相关制度进行建设。</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我单位编制了合理的绩效目标，制定了切合实际、可量化、可考评的年度目标。按季度开展绩效动态监控工作，及时收集汇总季度目标完成情况，发现严重偏差，及时反馈，采取有效措施，重点跟踪，及时纠偏，阶段性任务能够按计划完成，全年性任务基本能够按进度执行，保证了年度目标任务按值或超额完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年县财政预算批复经</w:t>
            </w:r>
            <w:r>
              <w:rPr>
                <w:rFonts w:hint="eastAsia" w:ascii="仿宋_GB2312" w:hAnsi="仿宋_GB2312" w:eastAsia="仿宋_GB2312" w:cs="仿宋_GB2312"/>
                <w:bCs/>
                <w:sz w:val="28"/>
                <w:szCs w:val="28"/>
                <w:lang w:val="en-US" w:eastAsia="zh-CN"/>
              </w:rPr>
              <w:t>费1641.62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其他收入166.87万元</w:t>
            </w:r>
            <w:r>
              <w:rPr>
                <w:rFonts w:hint="eastAsia" w:ascii="仿宋_GB2312" w:hAnsi="仿宋_GB2312" w:eastAsia="仿宋_GB2312" w:cs="仿宋_GB2312"/>
                <w:bCs/>
                <w:sz w:val="28"/>
                <w:szCs w:val="28"/>
              </w:rPr>
              <w:t>。我单位严格执行机关财务管理制度，会计核算做到真实、完整、及时，支出审批程序严谨。</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ascii="仿宋_GB2312" w:hAnsi="黑体" w:eastAsia="仿宋_GB2312" w:cs="黑体"/>
                <w:bCs/>
                <w:sz w:val="28"/>
                <w:szCs w:val="28"/>
              </w:rPr>
            </w:pPr>
            <w:r>
              <w:rPr>
                <w:rFonts w:hint="eastAsia" w:ascii="黑体" w:hAnsi="黑体" w:eastAsia="黑体" w:cs="黑体"/>
                <w:bCs/>
                <w:sz w:val="28"/>
                <w:szCs w:val="28"/>
                <w:lang w:val="en-US" w:eastAsia="zh-CN"/>
              </w:rPr>
              <w:t xml:space="preserve">  </w:t>
            </w:r>
            <w:r>
              <w:rPr>
                <w:rFonts w:hint="eastAsia" w:ascii="仿宋_GB2312" w:hAnsi="黑体" w:eastAsia="仿宋_GB2312" w:cs="黑体"/>
                <w:bCs/>
                <w:sz w:val="28"/>
                <w:szCs w:val="28"/>
              </w:rPr>
              <w:t>绩效自评综合得分为98分。</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hint="eastAsia" w:ascii="仿宋_GB2312" w:hAnsi="黑体" w:eastAsia="仿宋_GB2312" w:cs="黑体"/>
                <w:bCs/>
                <w:sz w:val="28"/>
                <w:szCs w:val="28"/>
              </w:rPr>
            </w:pPr>
            <w:r>
              <w:rPr>
                <w:rFonts w:hint="eastAsia" w:ascii="黑体" w:hAnsi="黑体" w:eastAsia="黑体" w:cs="黑体"/>
                <w:bCs/>
                <w:sz w:val="28"/>
                <w:szCs w:val="28"/>
                <w:lang w:val="en-US" w:eastAsia="zh-CN"/>
              </w:rPr>
              <w:t xml:space="preserve">  </w:t>
            </w:r>
            <w:r>
              <w:rPr>
                <w:rFonts w:hint="eastAsia" w:ascii="仿宋_GB2312" w:hAnsi="黑体" w:eastAsia="仿宋_GB2312" w:cs="黑体"/>
                <w:bCs/>
                <w:sz w:val="28"/>
                <w:szCs w:val="28"/>
                <w:lang w:val="en-US" w:eastAsia="zh-CN"/>
              </w:rPr>
              <w:t>1.</w:t>
            </w:r>
            <w:r>
              <w:rPr>
                <w:rFonts w:hint="eastAsia" w:ascii="仿宋_GB2312" w:hAnsi="黑体" w:eastAsia="仿宋_GB2312" w:cs="黑体"/>
                <w:bCs/>
                <w:sz w:val="28"/>
                <w:szCs w:val="28"/>
              </w:rPr>
              <w:t>经办人员业务水平不够高。</w:t>
            </w:r>
          </w:p>
          <w:p>
            <w:pPr>
              <w:numPr>
                <w:ilvl w:val="0"/>
                <w:numId w:val="0"/>
              </w:numPr>
              <w:spacing w:line="560" w:lineRule="exact"/>
              <w:ind w:firstLine="840" w:firstLineChars="300"/>
              <w:rPr>
                <w:rFonts w:hint="default" w:ascii="黑体" w:hAnsi="黑体" w:eastAsia="黑体" w:cs="黑体"/>
                <w:bCs/>
                <w:sz w:val="28"/>
                <w:szCs w:val="28"/>
                <w:lang w:val="en-US" w:eastAsia="zh-CN"/>
              </w:rPr>
            </w:pPr>
            <w:r>
              <w:rPr>
                <w:rFonts w:hint="eastAsia" w:ascii="仿宋_GB2312" w:hAnsi="黑体" w:eastAsia="仿宋_GB2312" w:cs="黑体"/>
                <w:bCs/>
                <w:sz w:val="28"/>
                <w:szCs w:val="28"/>
                <w:lang w:val="en-US" w:eastAsia="zh-CN"/>
              </w:rPr>
              <w:t>2.对于绩效评价的认识不够深入，把预算绩效简单等同于工作目标、工作考核和业务管理。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仿宋_GB2312" w:hAnsi="黑体" w:eastAsia="仿宋_GB2312" w:cs="黑体"/>
                <w:bCs/>
                <w:sz w:val="28"/>
                <w:szCs w:val="28"/>
                <w:lang w:val="en-US" w:eastAsia="zh-CN"/>
              </w:rPr>
            </w:pPr>
            <w:r>
              <w:rPr>
                <w:rFonts w:hint="eastAsia" w:eastAsia="楷体_GB2312"/>
                <w:bCs/>
                <w:sz w:val="28"/>
                <w:szCs w:val="28"/>
                <w:lang w:val="en-US" w:eastAsia="zh-CN"/>
              </w:rPr>
              <w:t xml:space="preserve">  </w:t>
            </w:r>
            <w:r>
              <w:rPr>
                <w:rFonts w:hint="eastAsia" w:ascii="仿宋_GB2312" w:hAnsi="黑体" w:eastAsia="仿宋_GB2312" w:cs="黑体"/>
                <w:bCs/>
                <w:sz w:val="28"/>
                <w:szCs w:val="28"/>
                <w:lang w:val="en-US" w:eastAsia="zh-CN"/>
              </w:rPr>
              <w:t>1.健全单位财务管理制度体系，加强单位财务管理，规范单位财务行为。在费用报账支付时，按照预算规定的费用项目和用途进行资金使用审核、列报支付、财务核算。</w:t>
            </w:r>
          </w:p>
          <w:p>
            <w:pPr>
              <w:spacing w:line="560" w:lineRule="exact"/>
              <w:ind w:firstLine="840" w:firstLineChars="300"/>
              <w:rPr>
                <w:rFonts w:hint="default" w:ascii="仿宋_GB2312" w:hAnsi="黑体" w:eastAsia="仿宋_GB2312" w:cs="黑体"/>
                <w:bCs/>
                <w:sz w:val="28"/>
                <w:szCs w:val="28"/>
                <w:lang w:val="en-US" w:eastAsia="zh-CN"/>
              </w:rPr>
            </w:pPr>
            <w:r>
              <w:rPr>
                <w:rFonts w:hint="eastAsia" w:ascii="仿宋_GB2312" w:hAnsi="黑体" w:eastAsia="仿宋_GB2312" w:cs="黑体"/>
                <w:bCs/>
                <w:sz w:val="28"/>
                <w:szCs w:val="28"/>
                <w:lang w:val="en-US" w:eastAsia="zh-CN"/>
              </w:rPr>
              <w:t>2.建议加强财务人员的培训，提高预算编制的精确度，提高财政资金使用的效率，尽量减少预算调整、结转和结余注销的情形。</w:t>
            </w:r>
          </w:p>
          <w:p>
            <w:pPr>
              <w:spacing w:line="560" w:lineRule="exact"/>
              <w:ind w:firstLine="560" w:firstLineChars="200"/>
              <w:rPr>
                <w:rFonts w:ascii="仿宋_GB2312" w:hAnsi="黑体" w:eastAsia="仿宋_GB2312" w:cs="黑体"/>
                <w:bCs/>
                <w:sz w:val="28"/>
                <w:szCs w:val="28"/>
              </w:rPr>
            </w:pPr>
          </w:p>
          <w:p>
            <w:pPr>
              <w:rPr>
                <w:rFonts w:hint="default" w:eastAsia="楷体_GB2312"/>
                <w:bCs/>
                <w:sz w:val="28"/>
                <w:szCs w:val="28"/>
                <w:lang w:val="en-US" w:eastAsia="zh-CN"/>
              </w:rPr>
            </w:pPr>
          </w:p>
        </w:tc>
      </w:tr>
    </w:tbl>
    <w:p>
      <w:pPr>
        <w:spacing w:line="348" w:lineRule="auto"/>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附件1-2</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投资评审率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项目投资评审率达100％以上的，得1分。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p>
          <w:p>
            <w:pPr>
              <w:widowControl/>
              <w:spacing w:line="240" w:lineRule="exact"/>
              <w:jc w:val="center"/>
              <w:rPr>
                <w:rFonts w:ascii="仿宋_GB2312" w:hAnsi="宋体" w:eastAsia="仿宋_GB2312" w:cs="宋体"/>
                <w:kern w:val="0"/>
                <w:sz w:val="18"/>
                <w:szCs w:val="18"/>
              </w:rPr>
            </w:pP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推进高质量发展目标完成情况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根据县考办法【2022】2号中共岳阳县委考核工作领导小组办公室《2022年度县直单位绩效考核实施细则》的通知考核折算</w:t>
            </w: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p>
            <w:pPr>
              <w:rPr>
                <w:rFonts w:ascii="仿宋_GB2312" w:hAnsi="宋体" w:eastAsia="仿宋_GB2312" w:cs="宋体"/>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w:t>
            </w:r>
            <w:r>
              <w:rPr>
                <w:rFonts w:hint="eastAsia" w:ascii="仿宋_GB2312" w:hAnsi="宋体" w:eastAsia="仿宋_GB2312" w:cs="宋体"/>
                <w:kern w:val="0"/>
                <w:sz w:val="18"/>
                <w:szCs w:val="18"/>
              </w:rPr>
              <w:t>四区</w:t>
            </w:r>
            <w:r>
              <w:rPr>
                <w:rFonts w:ascii="仿宋_GB2312" w:hAnsi="宋体" w:eastAsia="仿宋_GB2312" w:cs="宋体"/>
                <w:kern w:val="0"/>
                <w:sz w:val="18"/>
                <w:szCs w:val="18"/>
              </w:rPr>
              <w:t>”</w:t>
            </w:r>
            <w:r>
              <w:rPr>
                <w:rFonts w:hint="eastAsia" w:ascii="仿宋_GB2312" w:hAnsi="宋体" w:eastAsia="仿宋_GB2312" w:cs="宋体"/>
                <w:kern w:val="0"/>
                <w:sz w:val="18"/>
                <w:szCs w:val="18"/>
              </w:rPr>
              <w:t>建设目标任务完成情况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问题整改率不足100%，个别问题需长期整改。</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备注：如部门（单位）根据本部门实际情况修改调整了《部门整体支出绩效评价评分表（参考样表）》，须相应修改调整本表中的对应部分。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BAE46"/>
    <w:multiLevelType w:val="singleLevel"/>
    <w:tmpl w:val="5B7BAE46"/>
    <w:lvl w:ilvl="0" w:tentative="0">
      <w:start w:val="2"/>
      <w:numFmt w:val="chineseCounting"/>
      <w:suff w:val="nothing"/>
      <w:lvlText w:val="（%1）"/>
      <w:lvlJc w:val="left"/>
      <w:rPr>
        <w:rFonts w:hint="eastAsia"/>
      </w:rPr>
    </w:lvl>
  </w:abstractNum>
  <w:abstractNum w:abstractNumId="1">
    <w:nsid w:val="5F021050"/>
    <w:multiLevelType w:val="singleLevel"/>
    <w:tmpl w:val="5F021050"/>
    <w:lvl w:ilvl="0" w:tentative="0">
      <w:start w:val="1"/>
      <w:numFmt w:val="decimal"/>
      <w:suff w:val="nothing"/>
      <w:lvlText w:val="%1、"/>
      <w:lvlJc w:val="left"/>
    </w:lvl>
  </w:abstractNum>
  <w:abstractNum w:abstractNumId="2">
    <w:nsid w:val="776C1AB2"/>
    <w:multiLevelType w:val="singleLevel"/>
    <w:tmpl w:val="776C1AB2"/>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OGZlZjkzZTc0MDQ5ZmI4YWI2YTY3MzU2MWE3NjIifQ=="/>
  </w:docVars>
  <w:rsids>
    <w:rsidRoot w:val="00000000"/>
    <w:rsid w:val="0E925DBF"/>
    <w:rsid w:val="144059D9"/>
    <w:rsid w:val="1A5324A0"/>
    <w:rsid w:val="1C9C04DC"/>
    <w:rsid w:val="1E4D233D"/>
    <w:rsid w:val="2D92328E"/>
    <w:rsid w:val="3F3331F4"/>
    <w:rsid w:val="465062C7"/>
    <w:rsid w:val="489845A6"/>
    <w:rsid w:val="717625BF"/>
    <w:rsid w:val="7B7E0E46"/>
    <w:rsid w:val="7CD7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3809</Words>
  <Characters>4153</Characters>
  <Lines>0</Lines>
  <Paragraphs>0</Paragraphs>
  <TotalTime>3</TotalTime>
  <ScaleCrop>false</ScaleCrop>
  <LinksUpToDate>false</LinksUpToDate>
  <CharactersWithSpaces>4646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2023-06-20T08:55:00Z</cp:lastPrinted>
  <dcterms:modified xsi:type="dcterms:W3CDTF">2023-06-21T07:33:47Z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D61301C5B4774D2C8F0033C113F04A07_12</vt:lpwstr>
  </property>
</Properties>
</file>