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城市公共交通执法大队202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2024年单位预算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 xml:space="preserve"> 1、服务县域、负责县域公共汽车、出租汽车的的行政管理，行政执法及行业管理，经营权的出让等。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 xml:space="preserve">  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、完成上级主管部门交办的其他工作任务。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城市公共交通执法大队无内设机构，现有全额拨款事业编制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名。其中所长1名，副所长2名。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243.18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243.18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本单位2024年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收入较去年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5.48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万元，主要是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因为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人员退休及调出，减少了基本支出经费预算。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hint="default" w:eastAsia="仿宋_GB2312" w:cs="仿宋_GB2312"/>
          <w:color w:val="auto"/>
          <w:kern w:val="0"/>
          <w:sz w:val="32"/>
          <w:szCs w:val="32"/>
          <w:u w:val="none"/>
          <w:lang w:val="en-US"/>
        </w:rPr>
      </w:pPr>
      <w:r>
        <w:rPr>
          <w:rFonts w:hint="eastAsia" w:eastAsia="仿宋_GB2312"/>
          <w:sz w:val="32"/>
          <w:szCs w:val="32"/>
          <w:lang w:eastAsia="zh-CN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243.18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15.06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卫生和健康支出8.42万元，交通运输支出209.06万元，住房保障支出10.63万元。</w:t>
      </w:r>
      <w:r>
        <w:rPr>
          <w:rFonts w:hint="eastAsia" w:eastAsia="仿宋_GB2312"/>
          <w:sz w:val="32"/>
          <w:szCs w:val="32"/>
        </w:rPr>
        <w:t>支出较去年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5.48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其中</w:t>
      </w:r>
      <w:r>
        <w:rPr>
          <w:rFonts w:hint="eastAsia" w:eastAsia="仿宋_GB2312"/>
          <w:sz w:val="32"/>
          <w:szCs w:val="32"/>
        </w:rPr>
        <w:t>基本支出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11.8</w:t>
      </w:r>
      <w:r>
        <w:rPr>
          <w:rFonts w:hint="eastAsia" w:eastAsia="仿宋_GB2312"/>
          <w:color w:val="auto"/>
          <w:sz w:val="32"/>
          <w:szCs w:val="32"/>
          <w:u w:val="none"/>
        </w:rPr>
        <w:t>万元，项目支出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6.32</w:t>
      </w:r>
      <w:r>
        <w:rPr>
          <w:rFonts w:hint="eastAsia" w:eastAsia="仿宋_GB2312"/>
          <w:color w:val="auto"/>
          <w:sz w:val="32"/>
          <w:szCs w:val="32"/>
          <w:u w:val="none"/>
        </w:rPr>
        <w:t>万元。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其中基本支出较上年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因为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人员退休及调出，减少了基本支出经费预算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因为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本年度业务范围扩大。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243.18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15.06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6.20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卫生和健康支出8.42万元，占3.46%；交通运输支出209.06万元，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85.97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住房保障支出10.63万元，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4.37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：2024年基本支出年初预算数为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162.33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80.85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34.85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城市公共交通执法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46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市场客运整治</w:t>
      </w:r>
      <w:r>
        <w:rPr>
          <w:rFonts w:hint="eastAsia" w:eastAsia="仿宋_GB2312"/>
          <w:sz w:val="32"/>
          <w:szCs w:val="32"/>
        </w:rPr>
        <w:t>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本单位2024年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机关运行经费当年一般公共预算拨款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18.78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万元，比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0.06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增加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0.32</w:t>
      </w:r>
      <w:r>
        <w:rPr>
          <w:rFonts w:eastAsia="仿宋_GB2312"/>
          <w:color w:val="auto"/>
          <w:kern w:val="0"/>
          <w:sz w:val="32"/>
          <w:szCs w:val="32"/>
          <w:u w:val="none"/>
        </w:rPr>
        <w:t>%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。主要原因是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本年度业务范围扩大。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auto"/>
          <w:kern w:val="0"/>
          <w:sz w:val="32"/>
          <w:szCs w:val="32"/>
          <w:u w:val="none"/>
          <w:lang w:val="en-US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本单位2024年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“三公”经费预算数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万元，其中，公务接待费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万元，因公出国（境）费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万元，公务用车购置及运行费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其中公务用车购置费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万元，公务用车运行费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与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持平。本单位严格执行中央八项规定和省委九条规定，执行公务公函制度，接受纪律监督。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FF0000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本单位2024年培训费预算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0.74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54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人，内容为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城市公交执法业务知识培训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2024年度本单位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未计划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安排会议，未计划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举办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节庆、晚会、</w:t>
      </w:r>
      <w:r>
        <w:rPr>
          <w:rFonts w:eastAsia="仿宋_GB2312"/>
          <w:color w:val="auto"/>
          <w:kern w:val="0"/>
          <w:sz w:val="32"/>
          <w:szCs w:val="32"/>
          <w:u w:val="none"/>
        </w:rPr>
        <w:t>论坛、赛事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活动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政府采购情况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960" w:firstLineChars="300"/>
        <w:textAlignment w:val="auto"/>
        <w:rPr>
          <w:rFonts w:hint="default" w:eastAsia="仿宋_GB2312" w:cs="仿宋_GB2312"/>
          <w:kern w:val="0"/>
          <w:sz w:val="36"/>
          <w:szCs w:val="36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243.18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162.33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80.85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岳阳县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城市公共交通执法大队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79D450-E64A-49AF-AF0B-48BC377AAC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3FE4C5CF-940B-4A2B-8038-FF0776FDA33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B9915E9-4DE0-4875-A69C-F41DA18BAA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6304D59-508C-4B80-AAA6-A88526D3CB6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F5B34E9-DB24-4B37-93E0-D1A475855C4F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09495"/>
    <w:multiLevelType w:val="singleLevel"/>
    <w:tmpl w:val="0620949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2F3070E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2687</Words>
  <Characters>2902</Characters>
  <Lines>38</Lines>
  <Paragraphs>10</Paragraphs>
  <TotalTime>1</TotalTime>
  <ScaleCrop>false</ScaleCrop>
  <LinksUpToDate>false</LinksUpToDate>
  <CharactersWithSpaces>2925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2024-03-13T00:37:20Z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ADAE5B3E2A4B4D0A8D7D06E48D89584D</vt:lpwstr>
  </property>
</Properties>
</file>