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8"/>
          <w:szCs w:val="4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48"/>
          <w:szCs w:val="48"/>
          <w:lang w:eastAsia="zh-CN"/>
        </w:rPr>
        <w:t>岳阳县</w:t>
      </w:r>
      <w:r>
        <w:rPr>
          <w:rFonts w:hint="eastAsia" w:ascii="微软雅黑" w:hAnsi="微软雅黑" w:eastAsia="微软雅黑" w:cs="微软雅黑"/>
          <w:kern w:val="0"/>
          <w:sz w:val="48"/>
          <w:szCs w:val="48"/>
          <w:lang w:val="en-US" w:eastAsia="zh-CN"/>
        </w:rPr>
        <w:t>道路</w:t>
      </w:r>
      <w:r>
        <w:rPr>
          <w:rFonts w:hint="eastAsia" w:ascii="微软雅黑" w:hAnsi="微软雅黑" w:eastAsia="微软雅黑" w:cs="微软雅黑"/>
          <w:kern w:val="0"/>
          <w:sz w:val="48"/>
          <w:szCs w:val="48"/>
          <w:lang w:eastAsia="zh-CN"/>
        </w:rPr>
        <w:t>运输服务中心2024年度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8"/>
          <w:szCs w:val="4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48"/>
          <w:szCs w:val="48"/>
          <w:lang w:eastAsia="zh-CN"/>
        </w:rPr>
        <w:t>单位预算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8"/>
          <w:szCs w:val="4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48"/>
          <w:szCs w:val="48"/>
          <w:lang w:eastAsia="zh-CN"/>
        </w:rPr>
        <w:t>目录</w:t>
      </w:r>
    </w:p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第一部分2024年单位预算说明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第二部分  单位预算公开表格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1、收支总表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2、收入总表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3、支出总表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4、支出预算分类汇总表（按政府预算经济分类）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5、支出预算分类汇总表（按部门预算经济分类）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6、财政拨款收支总表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7、一般公共预算支出表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一般公共预算基本支出表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、一般公共预算基本支出表-人员经费（工资福利支出）（按政府预算经济分类）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sz w:val="28"/>
          <w:szCs w:val="28"/>
        </w:rPr>
        <w:t>、一般公共预算基本支出表-人员经费（工资福利支出）（按部门预算经济分类）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、一般公共预算基本支出表-人员经费（对个人和家庭的补助）（按政府预算经济分类）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、一般公共预算基本支出表-人员经费（对个人和家庭的补助）（按部门预算经济分类）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、一般公共预算基本支出表-</w:t>
      </w:r>
      <w:r>
        <w:rPr>
          <w:rFonts w:hint="eastAsia"/>
          <w:sz w:val="28"/>
          <w:szCs w:val="28"/>
        </w:rPr>
        <w:t>公用</w:t>
      </w:r>
      <w:r>
        <w:rPr>
          <w:sz w:val="28"/>
          <w:szCs w:val="28"/>
        </w:rPr>
        <w:t>经费（商品和服务支出）（按政府预算经济分类）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、一般公共预算基本支出表-</w:t>
      </w:r>
      <w:r>
        <w:rPr>
          <w:rFonts w:hint="eastAsia"/>
          <w:sz w:val="28"/>
          <w:szCs w:val="28"/>
        </w:rPr>
        <w:t>公用</w:t>
      </w:r>
      <w:r>
        <w:rPr>
          <w:sz w:val="28"/>
          <w:szCs w:val="28"/>
        </w:rPr>
        <w:t>经费（商品和服务支出）（按部门预算经济分类）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、一般公共预算“三公”经费支出表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、政府性基金预算支出表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、政府性基金预算支出分类汇总表</w:t>
      </w:r>
      <w:bookmarkStart w:id="0" w:name="_GoBack"/>
      <w:bookmarkEnd w:id="0"/>
      <w:r>
        <w:rPr>
          <w:sz w:val="28"/>
          <w:szCs w:val="28"/>
        </w:rPr>
        <w:t>（按政府预算经济分类）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、政府性基金预算支出分类汇总表（按部门预算经济分类）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、国有资本经营预算支出表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、财政专户管理资金预算支出表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、专项资金预算汇总表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2、项目支出</w:t>
      </w:r>
      <w:r>
        <w:rPr>
          <w:sz w:val="28"/>
          <w:szCs w:val="28"/>
        </w:rPr>
        <w:t>绩效目标表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、部门整体支出绩效目标表</w:t>
      </w:r>
    </w:p>
    <w:p>
      <w:pPr>
        <w:rPr>
          <w:rFonts w:cs="仿宋_GB2312"/>
          <w:sz w:val="28"/>
          <w:szCs w:val="28"/>
        </w:rPr>
      </w:pPr>
      <w:r>
        <w:rPr>
          <w:sz w:val="28"/>
          <w:szCs w:val="28"/>
        </w:rPr>
        <w:t>注：以上</w:t>
      </w:r>
      <w:r>
        <w:rPr>
          <w:rFonts w:hint="eastAsia"/>
          <w:sz w:val="28"/>
          <w:szCs w:val="28"/>
        </w:rPr>
        <w:t>单位预算公开</w:t>
      </w:r>
      <w:r>
        <w:rPr>
          <w:sz w:val="28"/>
          <w:szCs w:val="28"/>
        </w:rPr>
        <w:t>报表中，空表表示本</w:t>
      </w:r>
      <w:r>
        <w:rPr>
          <w:rFonts w:hint="eastAsia"/>
          <w:sz w:val="28"/>
          <w:szCs w:val="28"/>
        </w:rPr>
        <w:t>单位</w:t>
      </w:r>
      <w:r>
        <w:rPr>
          <w:sz w:val="28"/>
          <w:szCs w:val="28"/>
        </w:rPr>
        <w:t>无相关收支情况。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第一部分2024年单位预算说明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一、单位基本概况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（一）职能职责</w:t>
      </w:r>
    </w:p>
    <w:p>
      <w:pPr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主管全县道路运输工作，对道路运输行业实施行业管理，维护运输行业安全和市场秩序；监管道路客货运输，运输站场，汽车维修，驾驶员培训以及运输服务。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（二）机构设置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岳阳县道路运输服务中心单位内设机构包括:办公室、财务室、汽驾办、站场办、人事股、监察室、交管站等。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二、单位收支总体情况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（一）收入预算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包括一般公共预算、政府性基金、国有资本经营预算等财政拨款收入，以及经营收入、事业收入等单位资金。2024年本单位收入预算1044.94万元，其中，一般公共预算拨款1044.94万元，政府性基金预算拨款0万元，国有资本经营预算拨款0万元，财政专户管理资金0万元，上级补助收入0万元，事业单位经营收入0万元，上年结转0万元。</w:t>
      </w:r>
      <w:r>
        <w:rPr>
          <w:rFonts w:ascii="Segoe UI" w:hAnsi="Segoe UI" w:cs="Segoe UI"/>
          <w:sz w:val="28"/>
          <w:szCs w:val="28"/>
          <w:shd w:val="clear" w:color="auto" w:fill="FFFFFF"/>
        </w:rPr>
        <w:t>本单位2023年没有政府性基金预算拨款和纳入专户管理的非税收入拨款收入，也没有使用政府性基金预算拨款、国有资本经营预算收入和纳入专户管理的非税收入拨款安排的支出，所以公开的附件15-17（政府性基金预算）、18（国有资本经营预算）、19表（财政专户管理资金预算）均为空。</w:t>
      </w:r>
      <w:r>
        <w:rPr>
          <w:rFonts w:hint="eastAsia"/>
          <w:sz w:val="28"/>
          <w:szCs w:val="28"/>
        </w:rPr>
        <w:t>收入较去年减少79.12万元，主要是因为</w:t>
      </w:r>
      <w:r>
        <w:rPr>
          <w:rFonts w:hint="eastAsia" w:ascii="宋体" w:hAnsi="宋体" w:cs="宋体"/>
          <w:sz w:val="28"/>
          <w:szCs w:val="28"/>
        </w:rPr>
        <w:t>响应国家政策厉行节约，压缩开支。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（二）支出预算</w:t>
      </w:r>
    </w:p>
    <w:p>
      <w:pPr>
        <w:rPr>
          <w:rFonts w:cs="仿宋_GB2312"/>
          <w:sz w:val="28"/>
          <w:szCs w:val="28"/>
        </w:rPr>
      </w:pPr>
      <w:r>
        <w:rPr>
          <w:rFonts w:hint="eastAsia"/>
          <w:sz w:val="28"/>
          <w:szCs w:val="28"/>
        </w:rPr>
        <w:t>2024年本单位</w:t>
      </w:r>
      <w:r>
        <w:rPr>
          <w:sz w:val="28"/>
          <w:szCs w:val="28"/>
        </w:rPr>
        <w:t>支出预算</w:t>
      </w:r>
      <w:r>
        <w:rPr>
          <w:rFonts w:hint="eastAsia" w:cs="仿宋_GB2312"/>
          <w:sz w:val="28"/>
          <w:szCs w:val="28"/>
        </w:rPr>
        <w:t>1044.94</w:t>
      </w:r>
      <w:r>
        <w:rPr>
          <w:sz w:val="28"/>
          <w:szCs w:val="28"/>
        </w:rPr>
        <w:t>万元，其中，一般公共服务</w:t>
      </w:r>
      <w:r>
        <w:rPr>
          <w:rFonts w:hint="eastAsia" w:cs="仿宋_GB2312"/>
          <w:sz w:val="28"/>
          <w:szCs w:val="28"/>
        </w:rPr>
        <w:t>188.21</w:t>
      </w:r>
      <w:r>
        <w:rPr>
          <w:sz w:val="28"/>
          <w:szCs w:val="28"/>
        </w:rPr>
        <w:t>万元，</w:t>
      </w:r>
      <w:r>
        <w:rPr>
          <w:rFonts w:ascii="Segoe UI" w:hAnsi="Segoe UI" w:cs="Segoe UI"/>
          <w:sz w:val="28"/>
          <w:szCs w:val="28"/>
          <w:shd w:val="clear" w:color="auto" w:fill="FFFFFF"/>
        </w:rPr>
        <w:t>社会保障和就业支出</w:t>
      </w:r>
      <w:r>
        <w:rPr>
          <w:rFonts w:hint="eastAsia" w:ascii="Segoe UI" w:hAnsi="Segoe UI" w:cs="Segoe UI"/>
          <w:sz w:val="28"/>
          <w:szCs w:val="28"/>
          <w:shd w:val="clear" w:color="auto" w:fill="FFFFFF"/>
        </w:rPr>
        <w:t>55.96</w:t>
      </w:r>
      <w:r>
        <w:rPr>
          <w:rFonts w:ascii="Segoe UI" w:hAnsi="Segoe UI" w:cs="Segoe UI"/>
          <w:sz w:val="28"/>
          <w:szCs w:val="28"/>
          <w:shd w:val="clear" w:color="auto" w:fill="FFFFFF"/>
        </w:rPr>
        <w:t>万元，卫生健康支出</w:t>
      </w:r>
      <w:r>
        <w:rPr>
          <w:rFonts w:hint="eastAsia" w:ascii="Segoe UI" w:hAnsi="Segoe UI" w:cs="Segoe UI"/>
          <w:sz w:val="28"/>
          <w:szCs w:val="28"/>
          <w:shd w:val="clear" w:color="auto" w:fill="FFFFFF"/>
        </w:rPr>
        <w:t>31.27</w:t>
      </w:r>
      <w:r>
        <w:rPr>
          <w:rFonts w:ascii="Segoe UI" w:hAnsi="Segoe UI" w:cs="Segoe UI"/>
          <w:sz w:val="28"/>
          <w:szCs w:val="28"/>
          <w:shd w:val="clear" w:color="auto" w:fill="FFFFFF"/>
        </w:rPr>
        <w:t>万元，交通运输支出</w:t>
      </w:r>
      <w:r>
        <w:rPr>
          <w:rFonts w:hint="eastAsia" w:ascii="Segoe UI" w:hAnsi="Segoe UI" w:cs="Segoe UI"/>
          <w:sz w:val="28"/>
          <w:szCs w:val="28"/>
          <w:shd w:val="clear" w:color="auto" w:fill="FFFFFF"/>
        </w:rPr>
        <w:t>730</w:t>
      </w:r>
      <w:r>
        <w:rPr>
          <w:rFonts w:ascii="Segoe UI" w:hAnsi="Segoe UI" w:cs="Segoe UI"/>
          <w:sz w:val="28"/>
          <w:szCs w:val="28"/>
          <w:shd w:val="clear" w:color="auto" w:fill="FFFFFF"/>
        </w:rPr>
        <w:t>万元，住房保障支出</w:t>
      </w:r>
      <w:r>
        <w:rPr>
          <w:rFonts w:hint="eastAsia" w:ascii="Segoe UI" w:hAnsi="Segoe UI" w:cs="Segoe UI"/>
          <w:sz w:val="28"/>
          <w:szCs w:val="28"/>
          <w:shd w:val="clear" w:color="auto" w:fill="FFFFFF"/>
        </w:rPr>
        <w:t>39.5</w:t>
      </w:r>
      <w:r>
        <w:rPr>
          <w:rFonts w:ascii="Segoe UI" w:hAnsi="Segoe UI" w:cs="Segoe UI"/>
          <w:sz w:val="28"/>
          <w:szCs w:val="28"/>
          <w:shd w:val="clear" w:color="auto" w:fill="FFFFFF"/>
        </w:rPr>
        <w:t>万元。</w:t>
      </w:r>
      <w:r>
        <w:rPr>
          <w:rFonts w:hint="eastAsia"/>
          <w:sz w:val="28"/>
          <w:szCs w:val="28"/>
        </w:rPr>
        <w:t>支出较去年</w:t>
      </w:r>
      <w:r>
        <w:rPr>
          <w:rFonts w:hint="eastAsia" w:cs="仿宋_GB2312"/>
          <w:sz w:val="28"/>
          <w:szCs w:val="28"/>
        </w:rPr>
        <w:t>减少79.12</w:t>
      </w:r>
      <w:r>
        <w:rPr>
          <w:rFonts w:hint="eastAsia"/>
          <w:sz w:val="28"/>
          <w:szCs w:val="28"/>
        </w:rPr>
        <w:t>万元，其中基本支出</w:t>
      </w:r>
      <w:r>
        <w:rPr>
          <w:rFonts w:hint="eastAsia" w:cs="仿宋_GB2312"/>
          <w:sz w:val="28"/>
          <w:szCs w:val="28"/>
        </w:rPr>
        <w:t>减少45.4</w:t>
      </w:r>
      <w:r>
        <w:rPr>
          <w:rFonts w:hint="eastAsia"/>
          <w:sz w:val="28"/>
          <w:szCs w:val="28"/>
        </w:rPr>
        <w:t>万元，项目支出</w:t>
      </w:r>
      <w:r>
        <w:rPr>
          <w:rFonts w:hint="eastAsia" w:cs="仿宋_GB2312"/>
          <w:sz w:val="28"/>
          <w:szCs w:val="28"/>
        </w:rPr>
        <w:t>减少33.72</w:t>
      </w:r>
      <w:r>
        <w:rPr>
          <w:rFonts w:hint="eastAsia"/>
          <w:sz w:val="28"/>
          <w:szCs w:val="28"/>
        </w:rPr>
        <w:t>万元。其中基本支出较上年</w:t>
      </w:r>
      <w:r>
        <w:rPr>
          <w:rFonts w:hint="eastAsia" w:cs="仿宋_GB2312"/>
          <w:sz w:val="28"/>
          <w:szCs w:val="28"/>
        </w:rPr>
        <w:t>减少</w:t>
      </w:r>
      <w:r>
        <w:rPr>
          <w:rFonts w:hint="eastAsia"/>
          <w:sz w:val="28"/>
          <w:szCs w:val="28"/>
        </w:rPr>
        <w:t>主要是因为</w:t>
      </w:r>
      <w:r>
        <w:rPr>
          <w:rFonts w:hint="eastAsia" w:ascii="宋体" w:hAnsi="宋体" w:cs="宋体"/>
          <w:sz w:val="28"/>
          <w:szCs w:val="28"/>
        </w:rPr>
        <w:t>厉行节约，压缩开支</w:t>
      </w:r>
      <w:r>
        <w:rPr>
          <w:rFonts w:hint="eastAsia"/>
          <w:sz w:val="28"/>
          <w:szCs w:val="28"/>
        </w:rPr>
        <w:t>，项目支出</w:t>
      </w:r>
      <w:r>
        <w:rPr>
          <w:rFonts w:hint="eastAsia" w:cs="仿宋_GB2312"/>
          <w:sz w:val="28"/>
          <w:szCs w:val="28"/>
          <w:u w:val="single"/>
        </w:rPr>
        <w:t>减少</w:t>
      </w:r>
      <w:r>
        <w:rPr>
          <w:rFonts w:hint="eastAsia"/>
          <w:sz w:val="28"/>
          <w:szCs w:val="28"/>
        </w:rPr>
        <w:t>主要是因为项目预算减少。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三、一般公共预算拨款支出预算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2024年一般公共预算拨款支出预算1044.94万元，其中</w:t>
      </w:r>
      <w:r>
        <w:rPr>
          <w:sz w:val="28"/>
          <w:szCs w:val="28"/>
        </w:rPr>
        <w:t>，一般公共服务支出</w:t>
      </w:r>
      <w:r>
        <w:rPr>
          <w:rFonts w:hint="eastAsia"/>
          <w:sz w:val="28"/>
          <w:szCs w:val="28"/>
        </w:rPr>
        <w:t>188.21</w:t>
      </w:r>
      <w:r>
        <w:rPr>
          <w:sz w:val="28"/>
          <w:szCs w:val="28"/>
        </w:rPr>
        <w:t>万元，占</w:t>
      </w:r>
      <w:r>
        <w:rPr>
          <w:rFonts w:hint="eastAsia"/>
          <w:sz w:val="28"/>
          <w:szCs w:val="28"/>
        </w:rPr>
        <w:t>18.01%</w:t>
      </w:r>
      <w:r>
        <w:rPr>
          <w:sz w:val="28"/>
          <w:szCs w:val="28"/>
        </w:rPr>
        <w:t>；</w:t>
      </w:r>
      <w:r>
        <w:rPr>
          <w:rFonts w:hint="eastAsia" w:ascii="宋体" w:hAnsi="宋体" w:cs="宋体"/>
          <w:sz w:val="28"/>
          <w:szCs w:val="28"/>
        </w:rPr>
        <w:t>社会保障和就业</w:t>
      </w:r>
      <w:r>
        <w:rPr>
          <w:rFonts w:hint="eastAsia"/>
          <w:sz w:val="28"/>
          <w:szCs w:val="28"/>
        </w:rPr>
        <w:t>支出55.96万元，占5.35%；</w:t>
      </w:r>
      <w:r>
        <w:rPr>
          <w:rFonts w:hint="eastAsia" w:ascii="宋体" w:hAnsi="宋体" w:cs="宋体"/>
          <w:sz w:val="28"/>
          <w:szCs w:val="28"/>
        </w:rPr>
        <w:t>卫生健康支出31.27万元占2.99%；交通运输支出730万元，占69.86%；住房保障支出39.5万元，占3.78%</w:t>
      </w:r>
      <w:r>
        <w:rPr>
          <w:rFonts w:hint="eastAsia"/>
          <w:sz w:val="28"/>
          <w:szCs w:val="28"/>
        </w:rPr>
        <w:t>。具体安排情况如下：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基本支出：2024年基本支出年初预算数为598.24万元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（二）项目支出：2024年项目支出年初预算数为446.7万元，是指单位为完成特定行政工作任务或事业发展目标而发生的支出，包括有关业务工作经费、运行维护经费等。其中：业务工作经费支出446.7万元，主要用于</w:t>
      </w:r>
      <w:r>
        <w:rPr>
          <w:rFonts w:hint="eastAsia" w:ascii="宋体" w:hAnsi="宋体" w:cs="宋体"/>
          <w:sz w:val="28"/>
          <w:szCs w:val="28"/>
        </w:rPr>
        <w:t>道路运输管理</w:t>
      </w:r>
      <w:r>
        <w:rPr>
          <w:rFonts w:hint="eastAsia"/>
          <w:sz w:val="28"/>
          <w:szCs w:val="28"/>
        </w:rPr>
        <w:t>等方面；运行维护经费0万元。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四、政府性基金预算支出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2024年度本单位无政府性基金安排的支出，所以公开的附件16-18（政府性基金预算）为空。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五、其他重要事项的情况说明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（一）机关运行经费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本单位2024年机关运行经费当年一般公共预算拨款61.98万元，比上一年减少2.4万元，降低3.72</w:t>
      </w:r>
      <w:r>
        <w:rPr>
          <w:sz w:val="28"/>
          <w:szCs w:val="28"/>
        </w:rPr>
        <w:t>%</w:t>
      </w:r>
      <w:r>
        <w:rPr>
          <w:rFonts w:hint="eastAsia"/>
          <w:sz w:val="28"/>
          <w:szCs w:val="28"/>
        </w:rPr>
        <w:t>。主要原因是</w:t>
      </w:r>
      <w:r>
        <w:rPr>
          <w:rFonts w:hint="eastAsia" w:ascii="宋体" w:hAnsi="宋体" w:cs="宋体"/>
          <w:sz w:val="28"/>
          <w:szCs w:val="28"/>
        </w:rPr>
        <w:t>厉行节约，压缩开支。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（二）“三公”经费预算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/>
          <w:sz w:val="28"/>
          <w:szCs w:val="28"/>
        </w:rPr>
        <w:t>本单位2024年“三公”经费预算数1万元，其中，公务接待费1万元，因公出国（境）费0万元，公务用车购置及运行费0万元，其中公务用车购置费0万元，公务用车运行费0万元。比上一年减少4万元，降低80</w:t>
      </w:r>
      <w:r>
        <w:rPr>
          <w:sz w:val="28"/>
          <w:szCs w:val="28"/>
        </w:rPr>
        <w:t>%</w:t>
      </w:r>
      <w:r>
        <w:rPr>
          <w:rFonts w:hint="eastAsia"/>
          <w:sz w:val="28"/>
          <w:szCs w:val="28"/>
        </w:rPr>
        <w:t>，主要原因是本年度按部门经济科目</w:t>
      </w:r>
      <w:r>
        <w:rPr>
          <w:rFonts w:hint="eastAsia" w:ascii="宋体" w:hAnsi="宋体" w:cs="宋体"/>
          <w:sz w:val="28"/>
          <w:szCs w:val="28"/>
        </w:rPr>
        <w:t>核算内容调整规范了公务接待费统计范围。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（三）一般性支出情况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本单位2024年会议费预算3万元，拟召开10次会议，人数286人，内容为</w:t>
      </w:r>
      <w:r>
        <w:rPr>
          <w:rFonts w:hint="eastAsia" w:ascii="宋体" w:hAnsi="宋体" w:cs="宋体"/>
          <w:sz w:val="28"/>
          <w:szCs w:val="28"/>
        </w:rPr>
        <w:t>道路运输工作大会、安全、执法等专项会议</w:t>
      </w:r>
      <w:r>
        <w:rPr>
          <w:rFonts w:hint="eastAsia"/>
          <w:sz w:val="28"/>
          <w:szCs w:val="28"/>
        </w:rPr>
        <w:t>；培训费预算3万元，拟开展8次培训，人数42人，内容为干部职工</w:t>
      </w:r>
      <w:r>
        <w:rPr>
          <w:rFonts w:hint="eastAsia" w:ascii="宋体" w:hAnsi="宋体" w:cs="宋体"/>
          <w:sz w:val="28"/>
          <w:szCs w:val="28"/>
        </w:rPr>
        <w:t>执业能力晋升培训</w:t>
      </w:r>
      <w:r>
        <w:rPr>
          <w:rFonts w:hint="eastAsia"/>
          <w:sz w:val="28"/>
          <w:szCs w:val="28"/>
        </w:rPr>
        <w:t>； 2024年度本单位未计划安排会议、培训，未计划举办节庆、晚会、</w:t>
      </w:r>
      <w:r>
        <w:rPr>
          <w:sz w:val="28"/>
          <w:szCs w:val="28"/>
        </w:rPr>
        <w:t>论坛、赛事</w:t>
      </w:r>
      <w:r>
        <w:rPr>
          <w:rFonts w:hint="eastAsia"/>
          <w:sz w:val="28"/>
          <w:szCs w:val="28"/>
        </w:rPr>
        <w:t>活动。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（四）政府采购情况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2024年度本单位未安排政府采购预算。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（五）国有资产占有使用及新增资产配置情况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截至上一年12月底，本单位共有车辆0辆，其中领导干部用车0辆，一般公务用车0辆，其他用车0辆。单位价值50万元以上通用设备0台，单位价值100万元以上专用设备0台。</w:t>
      </w:r>
    </w:p>
    <w:p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>2024年度本单位未计划处置或新增车辆、设备等。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（六）预算绩效目标说明</w:t>
      </w:r>
    </w:p>
    <w:p>
      <w:pPr>
        <w:rPr>
          <w:rFonts w:cs="仿宋_GB2312"/>
          <w:sz w:val="28"/>
          <w:szCs w:val="28"/>
        </w:rPr>
      </w:pPr>
      <w:r>
        <w:rPr>
          <w:rFonts w:hint="eastAsia"/>
          <w:sz w:val="28"/>
          <w:szCs w:val="28"/>
        </w:rPr>
        <w:t>本单位</w:t>
      </w:r>
      <w:r>
        <w:rPr>
          <w:sz w:val="28"/>
          <w:szCs w:val="28"/>
        </w:rPr>
        <w:t>所有支出实行绩效目标管理。纳入</w:t>
      </w:r>
      <w:r>
        <w:rPr>
          <w:rFonts w:hint="eastAsia"/>
          <w:sz w:val="28"/>
          <w:szCs w:val="28"/>
        </w:rPr>
        <w:t>2024年单位</w:t>
      </w:r>
      <w:r>
        <w:rPr>
          <w:sz w:val="28"/>
          <w:szCs w:val="28"/>
        </w:rPr>
        <w:t>整体支出绩效目标的金额为</w:t>
      </w:r>
      <w:r>
        <w:rPr>
          <w:rFonts w:hint="eastAsia"/>
          <w:sz w:val="28"/>
          <w:szCs w:val="28"/>
        </w:rPr>
        <w:t>1044.94</w:t>
      </w:r>
      <w:r>
        <w:rPr>
          <w:sz w:val="28"/>
          <w:szCs w:val="28"/>
        </w:rPr>
        <w:t>万元，其中，基本支出</w:t>
      </w:r>
      <w:r>
        <w:rPr>
          <w:rFonts w:hint="eastAsia"/>
          <w:sz w:val="28"/>
          <w:szCs w:val="28"/>
        </w:rPr>
        <w:t>598.24</w:t>
      </w:r>
      <w:r>
        <w:rPr>
          <w:sz w:val="28"/>
          <w:szCs w:val="28"/>
        </w:rPr>
        <w:t>万元，项目支出</w:t>
      </w:r>
      <w:r>
        <w:rPr>
          <w:rFonts w:hint="eastAsia"/>
          <w:sz w:val="28"/>
          <w:szCs w:val="28"/>
        </w:rPr>
        <w:t>446.7</w:t>
      </w:r>
      <w:r>
        <w:rPr>
          <w:sz w:val="28"/>
          <w:szCs w:val="28"/>
        </w:rPr>
        <w:t>万元，</w:t>
      </w:r>
      <w:r>
        <w:rPr>
          <w:rFonts w:hint="eastAsia" w:cs="仿宋_GB2312"/>
          <w:sz w:val="28"/>
          <w:szCs w:val="28"/>
        </w:rPr>
        <w:t>详见文尾附表中单位预算公开表格的表22-23。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五、名词解释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第二部分单位预算公开表格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附件：岳阳县道路运输服务中心预算公开表格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127B0BC-4067-4E10-A71B-FA240DB7D32A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2" w:fontKey="{23DCE9CE-DA75-448F-8337-7971E461C5B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5CB024C-7F39-476B-9EE9-BF174905437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MDU0NmQwMTBkNjg1NjNhMTU0MTU2MzBkYjk2MjQifQ=="/>
    <w:docVar w:name="KSO_WPS_MARK_KEY" w:val="81dcef2b-2905-47db-8e4f-94e516cea8d4"/>
  </w:docVars>
  <w:rsids>
    <w:rsidRoot w:val="00CA5057"/>
    <w:rsid w:val="00001697"/>
    <w:rsid w:val="000034D6"/>
    <w:rsid w:val="0006270B"/>
    <w:rsid w:val="00065DA2"/>
    <w:rsid w:val="00085C53"/>
    <w:rsid w:val="000B3CF5"/>
    <w:rsid w:val="0010622F"/>
    <w:rsid w:val="001124EF"/>
    <w:rsid w:val="00117900"/>
    <w:rsid w:val="00124993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97B69"/>
    <w:rsid w:val="002B0968"/>
    <w:rsid w:val="002C117B"/>
    <w:rsid w:val="002F5747"/>
    <w:rsid w:val="002F57F8"/>
    <w:rsid w:val="00344D3D"/>
    <w:rsid w:val="003457B4"/>
    <w:rsid w:val="00355284"/>
    <w:rsid w:val="003A1702"/>
    <w:rsid w:val="003C0AE2"/>
    <w:rsid w:val="003C0E16"/>
    <w:rsid w:val="003C62F5"/>
    <w:rsid w:val="003E6642"/>
    <w:rsid w:val="003F4792"/>
    <w:rsid w:val="00452611"/>
    <w:rsid w:val="00464A20"/>
    <w:rsid w:val="00466617"/>
    <w:rsid w:val="004711E9"/>
    <w:rsid w:val="004827B0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02CBA"/>
    <w:rsid w:val="00606DD6"/>
    <w:rsid w:val="006137D9"/>
    <w:rsid w:val="00617392"/>
    <w:rsid w:val="006219B4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8F6354"/>
    <w:rsid w:val="009143CB"/>
    <w:rsid w:val="0093410B"/>
    <w:rsid w:val="00940923"/>
    <w:rsid w:val="00990520"/>
    <w:rsid w:val="00995AF1"/>
    <w:rsid w:val="009C6CFF"/>
    <w:rsid w:val="009D1CA3"/>
    <w:rsid w:val="009D450C"/>
    <w:rsid w:val="009E5041"/>
    <w:rsid w:val="009E7921"/>
    <w:rsid w:val="009F015B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C0AAC"/>
    <w:rsid w:val="00CF2BA3"/>
    <w:rsid w:val="00D022E3"/>
    <w:rsid w:val="00D1591B"/>
    <w:rsid w:val="00D1730A"/>
    <w:rsid w:val="00D279D7"/>
    <w:rsid w:val="00D60DAB"/>
    <w:rsid w:val="00D748DB"/>
    <w:rsid w:val="00D75CFA"/>
    <w:rsid w:val="00D84D40"/>
    <w:rsid w:val="00D96317"/>
    <w:rsid w:val="00DB63BF"/>
    <w:rsid w:val="00DC5302"/>
    <w:rsid w:val="00DD2BA7"/>
    <w:rsid w:val="00DD573A"/>
    <w:rsid w:val="00DF03FC"/>
    <w:rsid w:val="00E01BD5"/>
    <w:rsid w:val="00E179D0"/>
    <w:rsid w:val="00E21D71"/>
    <w:rsid w:val="00E24DC7"/>
    <w:rsid w:val="00E419D9"/>
    <w:rsid w:val="00E5547E"/>
    <w:rsid w:val="00E75085"/>
    <w:rsid w:val="00EA5C43"/>
    <w:rsid w:val="00EC052E"/>
    <w:rsid w:val="00F055F9"/>
    <w:rsid w:val="00F05F5B"/>
    <w:rsid w:val="00F06D7F"/>
    <w:rsid w:val="00F078E9"/>
    <w:rsid w:val="00F24836"/>
    <w:rsid w:val="00F36C19"/>
    <w:rsid w:val="00F74B02"/>
    <w:rsid w:val="00F84E8E"/>
    <w:rsid w:val="00FB0434"/>
    <w:rsid w:val="00FB1B41"/>
    <w:rsid w:val="00FB3CC9"/>
    <w:rsid w:val="00FE2E8C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1F31F7B"/>
    <w:rsid w:val="14903A2F"/>
    <w:rsid w:val="15D9563A"/>
    <w:rsid w:val="19420C90"/>
    <w:rsid w:val="19D5374E"/>
    <w:rsid w:val="1AC31CB7"/>
    <w:rsid w:val="1BEF6124"/>
    <w:rsid w:val="1EAD2225"/>
    <w:rsid w:val="1F1F1226"/>
    <w:rsid w:val="26570D53"/>
    <w:rsid w:val="27D848B8"/>
    <w:rsid w:val="2CDB483B"/>
    <w:rsid w:val="2FC40521"/>
    <w:rsid w:val="3405688C"/>
    <w:rsid w:val="34E11E02"/>
    <w:rsid w:val="388764A3"/>
    <w:rsid w:val="3BC82B6A"/>
    <w:rsid w:val="3E4D3BDD"/>
    <w:rsid w:val="41DA7DB9"/>
    <w:rsid w:val="447637E8"/>
    <w:rsid w:val="47D42F47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62820F98"/>
    <w:rsid w:val="62873CEC"/>
    <w:rsid w:val="64035B71"/>
    <w:rsid w:val="64DB31B9"/>
    <w:rsid w:val="681842B0"/>
    <w:rsid w:val="6AE87D9C"/>
    <w:rsid w:val="6F8561D3"/>
    <w:rsid w:val="70271B5B"/>
    <w:rsid w:val="71AC0C24"/>
    <w:rsid w:val="773C67F0"/>
    <w:rsid w:val="7DFA5EB0"/>
    <w:rsid w:val="7E3E7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ind w:firstLine="640" w:firstLineChars="200"/>
      <w:jc w:val="both"/>
    </w:pPr>
    <w:rPr>
      <w:rFonts w:cs="黑体" w:asciiTheme="minorEastAsia" w:hAnsiTheme="minorEastAsia" w:eastAsiaTheme="minorEastAsia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character" w:customStyle="1" w:styleId="11">
    <w:name w:val="正文文本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日期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批注框文本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脚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页眉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8</Pages>
  <Words>2451</Words>
  <Characters>2675</Characters>
  <Lines>1</Lines>
  <Paragraphs>5</Paragraphs>
  <TotalTime>127</TotalTime>
  <ScaleCrop>false</ScaleCrop>
  <LinksUpToDate>false</LinksUpToDate>
  <CharactersWithSpaces>2678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2024-03-11T01:29:00Z</dcterms:created>
  <dc:creator>周继恩 10.105.113.143</dc:creator>
  <cp:lastModifiedBy>Administrator</cp:lastModifiedBy>
  <cp:lastPrinted>2019-05-05T07:55:00Z</cp:lastPrinted>
  <dcterms:modified xsi:type="dcterms:W3CDTF">2024-03-21T01:59:21Z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2CC2BC2EBE8243C591E17F560CA181B7_13</vt:lpwstr>
  </property>
</Properties>
</file>