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snapToGrid/>
        <w:jc w:val="both"/>
        <w:textAlignment w:val="auto"/>
        <w:rPr>
          <w:rFonts w:hint="eastAsia" w:ascii="方正小标宋简体" w:hAnsi="方正小标宋简体" w:eastAsia="方正小标宋简体" w:cs="方正小标宋简体"/>
          <w:b/>
          <w:bCs/>
          <w:kern w:val="0"/>
          <w:sz w:val="72"/>
          <w:szCs w:val="72"/>
        </w:rPr>
      </w:pP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eastAsia="zh-CN"/>
        </w:rPr>
        <w:t>岳阳县市政设施运行维护中心202</w:t>
      </w:r>
      <w:r>
        <w:rPr>
          <w:rFonts w:hint="eastAsia" w:ascii="微软雅黑" w:hAnsi="微软雅黑" w:eastAsia="微软雅黑" w:cs="微软雅黑"/>
          <w:kern w:val="0"/>
          <w:sz w:val="72"/>
          <w:szCs w:val="72"/>
          <w:lang w:val="en-US" w:eastAsia="zh-CN"/>
        </w:rPr>
        <w:t>4</w:t>
      </w:r>
      <w:r>
        <w:rPr>
          <w:rFonts w:hint="eastAsia" w:ascii="微软雅黑" w:hAnsi="微软雅黑" w:eastAsia="微软雅黑" w:cs="微软雅黑"/>
          <w:kern w:val="0"/>
          <w:sz w:val="72"/>
          <w:szCs w:val="72"/>
          <w:lang w:eastAsia="zh-CN"/>
        </w:rPr>
        <w:t>年</w:t>
      </w:r>
      <w:r>
        <w:rPr>
          <w:rFonts w:hint="eastAsia" w:ascii="微软雅黑" w:hAnsi="微软雅黑" w:eastAsia="微软雅黑" w:cs="微软雅黑"/>
          <w:kern w:val="0"/>
          <w:sz w:val="72"/>
          <w:szCs w:val="72"/>
        </w:rPr>
        <w:t>度</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hint="eastAsia" w:ascii="微软雅黑" w:hAnsi="微软雅黑" w:eastAsia="微软雅黑" w:cs="微软雅黑"/>
          <w:kern w:val="0"/>
          <w:sz w:val="72"/>
          <w:szCs w:val="72"/>
        </w:rPr>
      </w:pPr>
      <w:r>
        <w:rPr>
          <w:rFonts w:hint="eastAsia" w:ascii="微软雅黑" w:hAnsi="微软雅黑" w:eastAsia="微软雅黑" w:cs="微软雅黑"/>
          <w:kern w:val="0"/>
          <w:sz w:val="72"/>
          <w:szCs w:val="72"/>
          <w:lang w:val="en-US" w:eastAsia="zh-CN"/>
        </w:rPr>
        <w:t>单位预算</w:t>
      </w: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p>
    <w:p>
      <w:pPr>
        <w:keepNext w:val="0"/>
        <w:keepLines w:val="0"/>
        <w:pageBreakBefore w:val="0"/>
        <w:widowControl/>
        <w:kinsoku/>
        <w:wordWrap/>
        <w:overflowPunct/>
        <w:topLinePunct w:val="0"/>
        <w:bidi w:val="0"/>
        <w:adjustRightInd/>
        <w:snapToGrid/>
        <w:ind w:firstLine="880" w:firstLineChars="200"/>
        <w:jc w:val="center"/>
        <w:textAlignment w:val="auto"/>
        <w:rPr>
          <w:rFonts w:hint="eastAsia" w:ascii="黑体" w:hAnsi="黑体" w:eastAsia="黑体" w:cs="黑体"/>
          <w:kern w:val="0"/>
          <w:sz w:val="44"/>
          <w:szCs w:val="44"/>
        </w:rPr>
      </w:pPr>
      <w:r>
        <w:rPr>
          <w:rFonts w:hint="eastAsia" w:ascii="黑体" w:hAnsi="黑体" w:eastAsia="黑体" w:cs="黑体"/>
          <w:kern w:val="0"/>
          <w:sz w:val="44"/>
          <w:szCs w:val="44"/>
        </w:rPr>
        <w:t>目录</w:t>
      </w:r>
    </w:p>
    <w:p>
      <w:pPr>
        <w:keepNext w:val="0"/>
        <w:keepLines w:val="0"/>
        <w:pageBreakBefore w:val="0"/>
        <w:widowControl/>
        <w:kinsoku/>
        <w:wordWrap/>
        <w:overflowPunct/>
        <w:topLinePunct w:val="0"/>
        <w:bidi w:val="0"/>
        <w:adjustRightInd/>
        <w:snapToGrid/>
        <w:ind w:firstLine="643" w:firstLineChars="200"/>
        <w:textAlignment w:val="auto"/>
        <w:rPr>
          <w:rFonts w:ascii="仿宋_GB2312" w:eastAsia="仿宋_GB2312"/>
          <w:b/>
          <w:bCs/>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color w:val="auto"/>
          <w:kern w:val="0"/>
          <w:sz w:val="32"/>
          <w:szCs w:val="32"/>
        </w:rPr>
      </w:pPr>
      <w:r>
        <w:rPr>
          <w:rFonts w:hint="eastAsia" w:eastAsia="黑体" w:cs="黑体"/>
          <w:color w:val="auto"/>
          <w:kern w:val="0"/>
          <w:sz w:val="32"/>
          <w:szCs w:val="32"/>
        </w:rPr>
        <w:t>第一部分</w:t>
      </w:r>
      <w:r>
        <w:rPr>
          <w:rFonts w:hint="eastAsia" w:eastAsia="黑体" w:cs="黑体"/>
          <w:color w:val="auto"/>
          <w:kern w:val="0"/>
          <w:sz w:val="32"/>
          <w:szCs w:val="32"/>
          <w:lang w:val="en-US" w:eastAsia="zh-CN"/>
        </w:rPr>
        <w:t xml:space="preserve">  </w:t>
      </w:r>
      <w:r>
        <w:rPr>
          <w:rFonts w:hint="eastAsia" w:eastAsia="黑体" w:cs="黑体"/>
          <w:color w:val="auto"/>
          <w:kern w:val="0"/>
          <w:sz w:val="32"/>
          <w:szCs w:val="32"/>
          <w:lang w:eastAsia="zh-CN"/>
        </w:rPr>
        <w:t>2024年</w:t>
      </w:r>
      <w:r>
        <w:rPr>
          <w:rFonts w:hint="eastAsia" w:eastAsia="黑体" w:cs="黑体"/>
          <w:color w:val="auto"/>
          <w:kern w:val="0"/>
          <w:sz w:val="32"/>
          <w:szCs w:val="32"/>
          <w:lang w:val="en-US" w:eastAsia="zh-CN"/>
        </w:rPr>
        <w:t>单位</w:t>
      </w:r>
      <w:r>
        <w:rPr>
          <w:rFonts w:hint="eastAsia" w:eastAsia="黑体" w:cs="黑体"/>
          <w:color w:val="auto"/>
          <w:kern w:val="0"/>
          <w:sz w:val="32"/>
          <w:szCs w:val="32"/>
          <w:lang w:eastAsia="zh-CN"/>
        </w:rPr>
        <w:t>预算</w:t>
      </w:r>
      <w:r>
        <w:rPr>
          <w:rFonts w:hint="eastAsia" w:eastAsia="黑体" w:cs="黑体"/>
          <w:color w:val="auto"/>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黑体" w:cs="黑体"/>
          <w:kern w:val="0"/>
          <w:sz w:val="32"/>
          <w:szCs w:val="32"/>
        </w:rPr>
      </w:pPr>
      <w:r>
        <w:rPr>
          <w:rFonts w:hint="eastAsia" w:eastAsia="黑体" w:cs="黑体"/>
          <w:kern w:val="0"/>
          <w:sz w:val="32"/>
          <w:szCs w:val="32"/>
        </w:rPr>
        <w:t>第二部分</w:t>
      </w:r>
      <w:r>
        <w:rPr>
          <w:rFonts w:hint="eastAsia" w:eastAsia="黑体" w:cs="黑体"/>
          <w:kern w:val="0"/>
          <w:sz w:val="32"/>
          <w:szCs w:val="32"/>
          <w:lang w:val="en-US" w:eastAsia="zh-CN"/>
        </w:rPr>
        <w:t xml:space="preserve">  单位</w:t>
      </w:r>
      <w:r>
        <w:rPr>
          <w:rFonts w:hint="eastAsia" w:eastAsia="黑体" w:cs="黑体"/>
          <w:kern w:val="0"/>
          <w:sz w:val="32"/>
          <w:szCs w:val="32"/>
          <w:lang w:eastAsia="zh-CN"/>
        </w:rPr>
        <w:t>预算</w:t>
      </w:r>
      <w:r>
        <w:rPr>
          <w:rFonts w:hint="eastAsia" w:eastAsia="黑体" w:cs="黑体"/>
          <w:kern w:val="0"/>
          <w:sz w:val="32"/>
          <w:szCs w:val="32"/>
        </w:rPr>
        <w:t>公开表格</w:t>
      </w:r>
    </w:p>
    <w:p>
      <w:pPr>
        <w:widowControl/>
        <w:spacing w:line="600" w:lineRule="exact"/>
        <w:ind w:firstLine="640" w:firstLineChars="200"/>
        <w:jc w:val="left"/>
        <w:rPr>
          <w:rFonts w:eastAsia="仿宋_GB2312"/>
          <w:sz w:val="32"/>
          <w:szCs w:val="32"/>
        </w:rPr>
      </w:pPr>
      <w:r>
        <w:rPr>
          <w:rFonts w:eastAsia="仿宋_GB2312"/>
          <w:sz w:val="32"/>
          <w:szCs w:val="32"/>
        </w:rPr>
        <w:t>1、收支总表</w:t>
      </w:r>
    </w:p>
    <w:p>
      <w:pPr>
        <w:widowControl/>
        <w:spacing w:line="600" w:lineRule="exact"/>
        <w:ind w:firstLine="640" w:firstLineChars="200"/>
        <w:jc w:val="left"/>
        <w:rPr>
          <w:rFonts w:eastAsia="仿宋_GB2312"/>
          <w:sz w:val="32"/>
          <w:szCs w:val="32"/>
        </w:rPr>
      </w:pPr>
      <w:r>
        <w:rPr>
          <w:rFonts w:eastAsia="仿宋_GB2312"/>
          <w:sz w:val="32"/>
          <w:szCs w:val="32"/>
        </w:rPr>
        <w:t>2、收入总表</w:t>
      </w:r>
    </w:p>
    <w:p>
      <w:pPr>
        <w:widowControl/>
        <w:spacing w:line="600" w:lineRule="exact"/>
        <w:ind w:firstLine="640" w:firstLineChars="200"/>
        <w:jc w:val="left"/>
        <w:rPr>
          <w:rFonts w:eastAsia="仿宋_GB2312"/>
          <w:sz w:val="32"/>
          <w:szCs w:val="32"/>
        </w:rPr>
      </w:pPr>
      <w:r>
        <w:rPr>
          <w:rFonts w:eastAsia="仿宋_GB2312"/>
          <w:sz w:val="32"/>
          <w:szCs w:val="32"/>
        </w:rPr>
        <w:t>3、支出总表</w:t>
      </w:r>
    </w:p>
    <w:p>
      <w:pPr>
        <w:widowControl/>
        <w:spacing w:line="600" w:lineRule="exact"/>
        <w:ind w:firstLine="640" w:firstLineChars="200"/>
        <w:jc w:val="left"/>
        <w:rPr>
          <w:rFonts w:eastAsia="仿宋_GB2312"/>
          <w:sz w:val="32"/>
          <w:szCs w:val="32"/>
        </w:rPr>
      </w:pPr>
      <w:r>
        <w:rPr>
          <w:rFonts w:eastAsia="仿宋_GB2312"/>
          <w:sz w:val="32"/>
          <w:szCs w:val="32"/>
        </w:rPr>
        <w:t>4、支出预算分类汇总表（按政府预算经济分类）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5、支出预算分类汇总表（按部门预算经济分类）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6、财政拨款收支总表</w:t>
      </w:r>
    </w:p>
    <w:p>
      <w:pPr>
        <w:widowControl/>
        <w:spacing w:line="600" w:lineRule="exact"/>
        <w:ind w:firstLine="640" w:firstLineChars="200"/>
        <w:jc w:val="left"/>
        <w:rPr>
          <w:rFonts w:eastAsia="仿宋_GB2312"/>
          <w:sz w:val="32"/>
          <w:szCs w:val="32"/>
        </w:rPr>
      </w:pPr>
      <w:r>
        <w:rPr>
          <w:rFonts w:eastAsia="仿宋_GB2312"/>
          <w:sz w:val="32"/>
          <w:szCs w:val="32"/>
        </w:rPr>
        <w:t>7、一般公共预算支出表</w:t>
      </w:r>
    </w:p>
    <w:p>
      <w:pPr>
        <w:widowControl/>
        <w:spacing w:line="600" w:lineRule="exact"/>
        <w:ind w:firstLine="640" w:firstLineChars="200"/>
        <w:jc w:val="left"/>
      </w:pPr>
      <w:r>
        <w:rPr>
          <w:rFonts w:hint="eastAsia" w:eastAsia="仿宋_GB2312"/>
          <w:sz w:val="32"/>
          <w:szCs w:val="32"/>
          <w:lang w:val="en-US" w:eastAsia="zh-CN"/>
        </w:rPr>
        <w:t>8</w:t>
      </w:r>
      <w:r>
        <w:rPr>
          <w:rFonts w:eastAsia="仿宋_GB2312"/>
          <w:sz w:val="32"/>
          <w:szCs w:val="32"/>
        </w:rPr>
        <w:t>、</w:t>
      </w:r>
      <w:r>
        <w:rPr>
          <w:rFonts w:hint="eastAsia" w:eastAsia="仿宋_GB2312"/>
          <w:sz w:val="32"/>
          <w:szCs w:val="32"/>
        </w:rPr>
        <w:t>一般公共预算基本支出表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9</w:t>
      </w:r>
      <w:r>
        <w:rPr>
          <w:rFonts w:eastAsia="仿宋_GB2312"/>
          <w:sz w:val="32"/>
          <w:szCs w:val="32"/>
        </w:rPr>
        <w:t>、一般公共预算基本支出表-人员经费（工资福利支出）（按政府预算经济分类）</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10</w:t>
      </w:r>
      <w:r>
        <w:rPr>
          <w:rFonts w:eastAsia="仿宋_GB2312"/>
          <w:sz w:val="32"/>
          <w:szCs w:val="32"/>
        </w:rPr>
        <w:t>、一般公共预算基本支出表-人员经费（工资福利支出）（按部门预算经济分类）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1</w:t>
      </w:r>
      <w:r>
        <w:rPr>
          <w:rFonts w:eastAsia="仿宋_GB2312"/>
          <w:sz w:val="32"/>
          <w:szCs w:val="32"/>
        </w:rPr>
        <w:t>、一般公共预算基本支出表-人员经费（对个人和家庭的补助）（按政府预算经济分类）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2</w:t>
      </w:r>
      <w:r>
        <w:rPr>
          <w:rFonts w:eastAsia="仿宋_GB2312"/>
          <w:sz w:val="32"/>
          <w:szCs w:val="32"/>
        </w:rPr>
        <w:t>、一般公共预算基本支出表-人员经费（对个人和家庭的补助）（按部门预算经济分类）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3</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4</w:t>
      </w:r>
      <w:r>
        <w:rPr>
          <w:rFonts w:eastAsia="仿宋_GB2312"/>
          <w:sz w:val="32"/>
          <w:szCs w:val="32"/>
        </w:rPr>
        <w:t>、一般公共预算基本支出表-</w:t>
      </w:r>
      <w:r>
        <w:rPr>
          <w:rFonts w:hint="eastAsia" w:eastAsia="仿宋_GB2312"/>
          <w:sz w:val="32"/>
          <w:szCs w:val="32"/>
          <w:lang w:eastAsia="zh-CN"/>
        </w:rPr>
        <w:t>公用</w:t>
      </w:r>
      <w:r>
        <w:rPr>
          <w:rFonts w:eastAsia="仿宋_GB2312"/>
          <w:sz w:val="32"/>
          <w:szCs w:val="32"/>
        </w:rPr>
        <w:t>经费（商品和服务支出）（按部门预算经济分类）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5</w:t>
      </w:r>
      <w:r>
        <w:rPr>
          <w:rFonts w:eastAsia="仿宋_GB2312"/>
          <w:sz w:val="32"/>
          <w:szCs w:val="32"/>
        </w:rPr>
        <w:t>、一般公共预算“三公”经费支出表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6</w:t>
      </w:r>
      <w:r>
        <w:rPr>
          <w:rFonts w:eastAsia="仿宋_GB2312"/>
          <w:sz w:val="32"/>
          <w:szCs w:val="32"/>
        </w:rPr>
        <w:t>、政府性基金预算支出表</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7</w:t>
      </w:r>
      <w:r>
        <w:rPr>
          <w:rFonts w:eastAsia="仿宋_GB2312"/>
          <w:sz w:val="32"/>
          <w:szCs w:val="32"/>
        </w:rPr>
        <w:t>、政府性基金预算支出分类汇总表（按政府预算经济分类）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8</w:t>
      </w:r>
      <w:r>
        <w:rPr>
          <w:rFonts w:eastAsia="仿宋_GB2312"/>
          <w:sz w:val="32"/>
          <w:szCs w:val="32"/>
        </w:rPr>
        <w:t>、政府性基金预算支出分类汇总表（按部门预算经济分类）</w:t>
      </w:r>
    </w:p>
    <w:p>
      <w:pPr>
        <w:widowControl/>
        <w:spacing w:line="600" w:lineRule="exact"/>
        <w:ind w:firstLine="640" w:firstLineChars="200"/>
        <w:jc w:val="left"/>
        <w:rPr>
          <w:rFonts w:eastAsia="仿宋_GB2312"/>
          <w:sz w:val="32"/>
          <w:szCs w:val="32"/>
        </w:rPr>
      </w:pPr>
      <w:r>
        <w:rPr>
          <w:rFonts w:eastAsia="仿宋_GB2312"/>
          <w:sz w:val="32"/>
          <w:szCs w:val="32"/>
        </w:rPr>
        <w:t>1</w:t>
      </w:r>
      <w:r>
        <w:rPr>
          <w:rFonts w:hint="eastAsia" w:eastAsia="仿宋_GB2312"/>
          <w:sz w:val="32"/>
          <w:szCs w:val="32"/>
          <w:lang w:val="en-US" w:eastAsia="zh-CN"/>
        </w:rPr>
        <w:t>9</w:t>
      </w:r>
      <w:r>
        <w:rPr>
          <w:rFonts w:eastAsia="仿宋_GB2312"/>
          <w:sz w:val="32"/>
          <w:szCs w:val="32"/>
        </w:rPr>
        <w:t>、国有资本经营预算支出表</w:t>
      </w:r>
    </w:p>
    <w:p>
      <w:pPr>
        <w:widowControl/>
        <w:spacing w:line="600" w:lineRule="exact"/>
        <w:ind w:firstLine="640" w:firstLineChars="200"/>
        <w:jc w:val="left"/>
        <w:rPr>
          <w:rFonts w:eastAsia="仿宋_GB2312"/>
          <w:sz w:val="32"/>
          <w:szCs w:val="32"/>
        </w:rPr>
      </w:pPr>
      <w:r>
        <w:rPr>
          <w:rFonts w:hint="eastAsia" w:eastAsia="仿宋_GB2312"/>
          <w:sz w:val="32"/>
          <w:szCs w:val="32"/>
          <w:lang w:val="en-US" w:eastAsia="zh-CN"/>
        </w:rPr>
        <w:t>20</w:t>
      </w:r>
      <w:r>
        <w:rPr>
          <w:rFonts w:eastAsia="仿宋_GB2312"/>
          <w:sz w:val="32"/>
          <w:szCs w:val="32"/>
        </w:rPr>
        <w:t>、财政专户管理资金预算支出表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1</w:t>
      </w:r>
      <w:r>
        <w:rPr>
          <w:rFonts w:eastAsia="仿宋_GB2312"/>
          <w:sz w:val="32"/>
          <w:szCs w:val="32"/>
        </w:rPr>
        <w:t>、专项资金预算汇总表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2</w:t>
      </w:r>
      <w:r>
        <w:rPr>
          <w:rFonts w:hint="eastAsia" w:eastAsia="仿宋_GB2312"/>
          <w:sz w:val="32"/>
          <w:szCs w:val="32"/>
          <w:lang w:eastAsia="zh-CN"/>
        </w:rPr>
        <w:t>、</w:t>
      </w:r>
      <w:r>
        <w:rPr>
          <w:rFonts w:hint="eastAsia" w:eastAsia="仿宋_GB2312"/>
          <w:sz w:val="32"/>
          <w:szCs w:val="32"/>
          <w:lang w:val="en-US" w:eastAsia="zh-CN"/>
        </w:rPr>
        <w:t>项目支出</w:t>
      </w:r>
      <w:r>
        <w:rPr>
          <w:rFonts w:eastAsia="仿宋_GB2312"/>
          <w:sz w:val="32"/>
          <w:szCs w:val="32"/>
        </w:rPr>
        <w:t>绩效目标表</w:t>
      </w:r>
    </w:p>
    <w:p>
      <w:pPr>
        <w:widowControl/>
        <w:spacing w:line="600" w:lineRule="exact"/>
        <w:ind w:firstLine="640" w:firstLineChars="200"/>
        <w:jc w:val="left"/>
        <w:rPr>
          <w:rFonts w:eastAsia="仿宋_GB2312"/>
          <w:sz w:val="32"/>
          <w:szCs w:val="32"/>
        </w:rPr>
      </w:pPr>
      <w:r>
        <w:rPr>
          <w:rFonts w:eastAsia="仿宋_GB2312"/>
          <w:sz w:val="32"/>
          <w:szCs w:val="32"/>
        </w:rPr>
        <w:t>2</w:t>
      </w:r>
      <w:r>
        <w:rPr>
          <w:rFonts w:hint="eastAsia" w:eastAsia="仿宋_GB2312"/>
          <w:sz w:val="32"/>
          <w:szCs w:val="32"/>
          <w:lang w:val="en-US" w:eastAsia="zh-CN"/>
        </w:rPr>
        <w:t>3</w:t>
      </w:r>
      <w:r>
        <w:rPr>
          <w:rFonts w:eastAsia="仿宋_GB2312"/>
          <w:sz w:val="32"/>
          <w:szCs w:val="32"/>
        </w:rPr>
        <w:t>、部门整体支出绩效目标表</w:t>
      </w:r>
    </w:p>
    <w:p>
      <w:pPr>
        <w:widowControl/>
        <w:spacing w:line="600" w:lineRule="exact"/>
        <w:ind w:firstLine="643" w:firstLineChars="200"/>
        <w:rPr>
          <w:rFonts w:hint="eastAsia" w:eastAsia="仿宋_GB2312" w:cs="仿宋_GB2312"/>
          <w:color w:val="auto"/>
          <w:kern w:val="0"/>
          <w:sz w:val="32"/>
          <w:szCs w:val="32"/>
        </w:rPr>
      </w:pPr>
      <w:r>
        <w:rPr>
          <w:rFonts w:eastAsia="仿宋_GB2312"/>
          <w:b/>
          <w:bCs w:val="0"/>
          <w:color w:val="auto"/>
          <w:kern w:val="0"/>
          <w:sz w:val="32"/>
          <w:szCs w:val="32"/>
        </w:rPr>
        <w:t>注：以上</w:t>
      </w:r>
      <w:r>
        <w:rPr>
          <w:rFonts w:hint="eastAsia" w:eastAsia="仿宋_GB2312"/>
          <w:b/>
          <w:bCs w:val="0"/>
          <w:color w:val="auto"/>
          <w:kern w:val="0"/>
          <w:sz w:val="32"/>
          <w:szCs w:val="32"/>
          <w:lang w:val="en-US" w:eastAsia="zh-CN"/>
        </w:rPr>
        <w:t>单位</w:t>
      </w:r>
      <w:r>
        <w:rPr>
          <w:rFonts w:hint="eastAsia" w:eastAsia="仿宋_GB2312"/>
          <w:b/>
          <w:bCs w:val="0"/>
          <w:color w:val="auto"/>
          <w:kern w:val="0"/>
          <w:sz w:val="32"/>
          <w:szCs w:val="32"/>
          <w:lang w:eastAsia="zh-CN"/>
        </w:rPr>
        <w:t>预算</w:t>
      </w:r>
      <w:r>
        <w:rPr>
          <w:rFonts w:hint="eastAsia" w:eastAsia="仿宋_GB2312"/>
          <w:b/>
          <w:bCs w:val="0"/>
          <w:color w:val="auto"/>
          <w:kern w:val="0"/>
          <w:sz w:val="32"/>
          <w:szCs w:val="32"/>
          <w:lang w:val="en-US" w:eastAsia="zh-CN"/>
        </w:rPr>
        <w:t>公开</w:t>
      </w:r>
      <w:r>
        <w:rPr>
          <w:rFonts w:eastAsia="仿宋_GB2312"/>
          <w:b/>
          <w:bCs w:val="0"/>
          <w:color w:val="auto"/>
          <w:kern w:val="0"/>
          <w:sz w:val="32"/>
          <w:szCs w:val="32"/>
        </w:rPr>
        <w:t>报表中，空表表示本</w:t>
      </w:r>
      <w:r>
        <w:rPr>
          <w:rFonts w:hint="eastAsia" w:eastAsia="仿宋_GB2312"/>
          <w:b/>
          <w:bCs w:val="0"/>
          <w:color w:val="auto"/>
          <w:kern w:val="0"/>
          <w:sz w:val="32"/>
          <w:szCs w:val="32"/>
          <w:lang w:val="en-US" w:eastAsia="zh-CN"/>
        </w:rPr>
        <w:t>单位</w:t>
      </w:r>
      <w:r>
        <w:rPr>
          <w:rFonts w:eastAsia="仿宋_GB2312"/>
          <w:b/>
          <w:bCs w:val="0"/>
          <w:color w:val="auto"/>
          <w:kern w:val="0"/>
          <w:sz w:val="32"/>
          <w:szCs w:val="32"/>
        </w:rPr>
        <w:t>无相关收支情况。</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rPr>
      </w:pPr>
      <w:r>
        <w:rPr>
          <w:rFonts w:hint="eastAsia" w:eastAsia="黑体" w:cs="黑体"/>
          <w:kern w:val="0"/>
          <w:sz w:val="32"/>
          <w:szCs w:val="32"/>
        </w:rPr>
        <w:br w:type="page"/>
      </w:r>
      <w:r>
        <w:rPr>
          <w:rFonts w:hint="eastAsia" w:ascii="黑体" w:hAnsi="黑体" w:eastAsia="黑体" w:cs="黑体"/>
          <w:kern w:val="0"/>
          <w:sz w:val="32"/>
          <w:szCs w:val="32"/>
        </w:rPr>
        <w:t>第一部分</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2024年单位预算</w:t>
      </w:r>
      <w:r>
        <w:rPr>
          <w:rFonts w:hint="eastAsia" w:ascii="黑体" w:hAnsi="黑体" w:eastAsia="黑体" w:cs="黑体"/>
          <w:kern w:val="0"/>
          <w:sz w:val="32"/>
          <w:szCs w:val="32"/>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基本概况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一、</w:t>
      </w:r>
      <w:r>
        <w:rPr>
          <w:rFonts w:hint="eastAsia" w:ascii="仿宋" w:hAnsi="仿宋" w:eastAsia="仿宋" w:cs="仿宋"/>
          <w:kern w:val="0"/>
          <w:sz w:val="32"/>
          <w:szCs w:val="32"/>
          <w:lang w:val="zh-CN" w:eastAsia="zh-CN"/>
        </w:rPr>
        <w:t>部门职责</w:t>
      </w:r>
    </w:p>
    <w:p>
      <w:pPr>
        <w:widowControl/>
        <w:spacing w:line="600" w:lineRule="exact"/>
        <w:ind w:firstLine="640" w:firstLineChars="200"/>
        <w:jc w:val="left"/>
        <w:rPr>
          <w:rFonts w:eastAsia="仿宋_GB2312"/>
          <w:sz w:val="32"/>
          <w:szCs w:val="32"/>
        </w:rPr>
      </w:pPr>
      <w:bookmarkStart w:id="0" w:name="_GoBack"/>
      <w:r>
        <w:rPr>
          <w:rFonts w:hint="eastAsia" w:eastAsia="仿宋_GB2312"/>
          <w:sz w:val="32"/>
          <w:szCs w:val="32"/>
        </w:rPr>
        <w:t xml:space="preserve"> </w:t>
      </w:r>
      <w:r>
        <w:rPr>
          <w:rFonts w:hint="eastAsia" w:eastAsia="仿宋_GB2312"/>
          <w:sz w:val="32"/>
          <w:szCs w:val="32"/>
        </w:rPr>
        <w:t>1.承担县城市政公用设施运行管理方面的事务性工作；承担县城市政公用设施运行日常巡查工作。</w:t>
      </w:r>
    </w:p>
    <w:p>
      <w:pPr>
        <w:widowControl/>
        <w:spacing w:line="600" w:lineRule="exact"/>
        <w:ind w:firstLine="640" w:firstLineChars="200"/>
        <w:jc w:val="left"/>
        <w:rPr>
          <w:rFonts w:eastAsia="仿宋_GB2312"/>
          <w:sz w:val="32"/>
          <w:szCs w:val="32"/>
        </w:rPr>
      </w:pPr>
      <w:r>
        <w:rPr>
          <w:rFonts w:hint="eastAsia" w:eastAsia="仿宋_GB2312"/>
          <w:sz w:val="32"/>
          <w:szCs w:val="32"/>
        </w:rPr>
        <w:t>2.承担县城路灯照明、景观亮化等公用设施规划、立项、设计审查、招标、建设、维护、升级改造及施工安全监管方面的事务性工作和技术指导工作。</w:t>
      </w:r>
    </w:p>
    <w:p>
      <w:pPr>
        <w:widowControl/>
        <w:spacing w:line="600" w:lineRule="exact"/>
        <w:ind w:firstLine="640" w:firstLineChars="200"/>
        <w:jc w:val="left"/>
        <w:rPr>
          <w:rFonts w:eastAsia="仿宋_GB2312"/>
          <w:sz w:val="32"/>
          <w:szCs w:val="32"/>
        </w:rPr>
      </w:pPr>
      <w:r>
        <w:rPr>
          <w:rFonts w:hint="eastAsia" w:eastAsia="仿宋_GB2312"/>
          <w:sz w:val="32"/>
          <w:szCs w:val="32"/>
        </w:rPr>
        <w:t>3.承担县城市政公用设施施工作业的技术指导工作；承担县城市政公用设施施工安全监管方面的事务性工作。</w:t>
      </w:r>
    </w:p>
    <w:p>
      <w:pPr>
        <w:widowControl/>
        <w:spacing w:line="600" w:lineRule="exact"/>
        <w:ind w:firstLine="640" w:firstLineChars="200"/>
        <w:jc w:val="left"/>
        <w:rPr>
          <w:rFonts w:eastAsia="仿宋_GB2312"/>
          <w:sz w:val="32"/>
          <w:szCs w:val="32"/>
        </w:rPr>
      </w:pPr>
      <w:r>
        <w:rPr>
          <w:rFonts w:hint="eastAsia" w:eastAsia="仿宋_GB2312"/>
          <w:sz w:val="32"/>
          <w:szCs w:val="32"/>
        </w:rPr>
        <w:t>4.完成上级主管部门交办的其他工作任务。</w:t>
      </w:r>
    </w:p>
    <w:p>
      <w:pPr>
        <w:widowControl/>
        <w:spacing w:line="600" w:lineRule="exact"/>
        <w:ind w:firstLine="640" w:firstLineChars="200"/>
        <w:jc w:val="left"/>
        <w:rPr>
          <w:rFonts w:eastAsia="仿宋_GB2312"/>
          <w:sz w:val="32"/>
          <w:szCs w:val="32"/>
        </w:rPr>
      </w:pPr>
    </w:p>
    <w:p>
      <w:pPr>
        <w:widowControl/>
        <w:spacing w:line="600" w:lineRule="exact"/>
        <w:ind w:firstLine="640" w:firstLineChars="200"/>
        <w:jc w:val="left"/>
        <w:rPr>
          <w:rFonts w:eastAsia="仿宋_GB2312"/>
          <w:sz w:val="32"/>
          <w:szCs w:val="32"/>
        </w:rPr>
      </w:pPr>
      <w:r>
        <w:rPr>
          <w:rFonts w:eastAsia="仿宋_GB2312"/>
          <w:sz w:val="32"/>
          <w:szCs w:val="32"/>
        </w:rPr>
        <w:t>（二）机构设置。</w:t>
      </w:r>
    </w:p>
    <w:p>
      <w:pPr>
        <w:widowControl/>
        <w:spacing w:line="600" w:lineRule="exact"/>
        <w:ind w:firstLine="640" w:firstLineChars="200"/>
        <w:jc w:val="left"/>
        <w:rPr>
          <w:rFonts w:eastAsia="仿宋_GB2312"/>
          <w:sz w:val="32"/>
          <w:szCs w:val="32"/>
        </w:rPr>
      </w:pPr>
      <w:r>
        <w:rPr>
          <w:rFonts w:hint="eastAsia" w:eastAsia="仿宋_GB2312"/>
          <w:sz w:val="32"/>
          <w:szCs w:val="32"/>
        </w:rPr>
        <w:t>岳阳县市政设施运行维护中心属岳阳县城市管理和综合执法局下设二级机构，为正股级事业单位。</w:t>
      </w:r>
    </w:p>
    <w:p>
      <w:pPr>
        <w:widowControl/>
        <w:spacing w:line="600" w:lineRule="exact"/>
        <w:ind w:firstLine="640" w:firstLineChars="200"/>
        <w:jc w:val="left"/>
        <w:rPr>
          <w:rFonts w:eastAsia="仿宋_GB2312"/>
          <w:sz w:val="32"/>
          <w:szCs w:val="32"/>
        </w:rPr>
      </w:pPr>
      <w:r>
        <w:rPr>
          <w:rFonts w:hint="eastAsia" w:eastAsia="仿宋_GB2312"/>
          <w:sz w:val="32"/>
          <w:szCs w:val="32"/>
        </w:rPr>
        <w:t>岳阳县市政设施运行维护中心现有干部职工20人，其中在职人员20人，退休5人。市政设施运行维护中心不设内设机构。</w:t>
      </w:r>
    </w:p>
    <w:bookmarkEnd w:id="0"/>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lang w:eastAsia="zh-CN"/>
        </w:rPr>
        <w:t>、</w:t>
      </w:r>
      <w:r>
        <w:rPr>
          <w:rFonts w:hint="eastAsia" w:ascii="黑体" w:hAnsi="黑体" w:eastAsia="黑体" w:cs="黑体"/>
          <w:kern w:val="0"/>
          <w:sz w:val="32"/>
          <w:szCs w:val="32"/>
          <w:lang w:val="en-US" w:eastAsia="zh-CN"/>
        </w:rPr>
        <w:t>单位</w:t>
      </w:r>
      <w:r>
        <w:rPr>
          <w:rFonts w:hint="eastAsia" w:ascii="黑体" w:hAnsi="黑体" w:eastAsia="黑体" w:cs="黑体"/>
          <w:kern w:val="0"/>
          <w:sz w:val="32"/>
          <w:szCs w:val="32"/>
        </w:rPr>
        <w:t>收支总体情况</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kern w:val="0"/>
          <w:sz w:val="32"/>
          <w:szCs w:val="32"/>
          <w:lang w:eastAsia="zh-CN"/>
        </w:rPr>
      </w:pPr>
      <w:r>
        <w:rPr>
          <w:rFonts w:hint="eastAsia" w:ascii="楷体_GB2312" w:hAnsi="楷体_GB2312" w:eastAsia="楷体_GB2312" w:cs="楷体_GB2312"/>
          <w:b/>
          <w:bCs/>
          <w:kern w:val="0"/>
          <w:sz w:val="32"/>
          <w:szCs w:val="32"/>
        </w:rPr>
        <w:t>（一）收入预算</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color w:val="auto"/>
          <w:kern w:val="0"/>
          <w:sz w:val="32"/>
          <w:szCs w:val="32"/>
          <w:highlight w:val="none"/>
          <w:u w:val="none"/>
          <w:lang w:eastAsia="zh-CN"/>
        </w:rPr>
      </w:pPr>
      <w:r>
        <w:rPr>
          <w:rFonts w:hint="eastAsia" w:eastAsia="仿宋_GB2312" w:cs="仿宋_GB2312"/>
          <w:kern w:val="0"/>
          <w:sz w:val="32"/>
          <w:szCs w:val="32"/>
          <w:lang w:eastAsia="zh-CN"/>
        </w:rPr>
        <w:t>包括一般公共预算、政府性基金、国有资本经营预算等财政拨款收入，以及经营收入、事业收入等单位资金。2024年本单位收入预算</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万元，其中，一般公共预算拨款</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万元，政府性基金预算拨款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万元，国有资本经营预算拨款</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万元，财政专户管理资金</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万元，上级补助收入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万元，事业单位经营收入</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万元，上年结转</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万元(数据来源见表2)。</w:t>
      </w:r>
      <w:r>
        <w:rPr>
          <w:rFonts w:hint="eastAsia" w:eastAsia="仿宋_GB2312" w:cs="仿宋_GB2312"/>
          <w:i w:val="0"/>
          <w:iCs w:val="0"/>
          <w:color w:val="auto"/>
          <w:kern w:val="0"/>
          <w:sz w:val="32"/>
          <w:szCs w:val="32"/>
          <w:u w:val="none"/>
          <w:lang w:eastAsia="zh-CN"/>
        </w:rPr>
        <w:t>本单位2024年</w:t>
      </w:r>
      <w:r>
        <w:rPr>
          <w:rFonts w:hint="eastAsia" w:eastAsia="仿宋_GB2312" w:cs="仿宋_GB2312"/>
          <w:i w:val="0"/>
          <w:iCs w:val="0"/>
          <w:color w:val="auto"/>
          <w:kern w:val="0"/>
          <w:sz w:val="32"/>
          <w:szCs w:val="32"/>
          <w:u w:val="none"/>
        </w:rPr>
        <w:t>没有政府性基金预算拨款和纳入专户管理的非税收入拨款收入，也没有使用政府性基金预算拨款</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国有资本经营预算收入和纳入专户管理的非税收入拨款安排的支出，所以公开的附件</w:t>
      </w:r>
      <w:r>
        <w:rPr>
          <w:rFonts w:hint="eastAsia" w:eastAsia="仿宋_GB2312" w:cs="仿宋_GB2312"/>
          <w:i w:val="0"/>
          <w:iCs w:val="0"/>
          <w:color w:val="auto"/>
          <w:kern w:val="0"/>
          <w:sz w:val="32"/>
          <w:szCs w:val="32"/>
          <w:u w:val="none"/>
          <w:lang w:val="en-US" w:eastAsia="zh-CN"/>
        </w:rPr>
        <w:t>16-18（</w:t>
      </w:r>
      <w:r>
        <w:rPr>
          <w:rFonts w:hint="eastAsia" w:eastAsia="仿宋_GB2312" w:cs="仿宋_GB2312"/>
          <w:i w:val="0"/>
          <w:iCs w:val="0"/>
          <w:color w:val="auto"/>
          <w:kern w:val="0"/>
          <w:sz w:val="32"/>
          <w:szCs w:val="32"/>
          <w:u w:val="none"/>
        </w:rPr>
        <w:t>政府性基金预算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19（</w:t>
      </w:r>
      <w:r>
        <w:rPr>
          <w:rFonts w:hint="eastAsia" w:eastAsia="仿宋_GB2312" w:cs="仿宋_GB2312"/>
          <w:i w:val="0"/>
          <w:iCs w:val="0"/>
          <w:color w:val="auto"/>
          <w:kern w:val="0"/>
          <w:sz w:val="32"/>
          <w:szCs w:val="32"/>
          <w:u w:val="none"/>
        </w:rPr>
        <w:t>国有资本经营预算</w:t>
      </w:r>
      <w:r>
        <w:rPr>
          <w:rFonts w:hint="eastAsia" w:eastAsia="仿宋_GB2312" w:cs="仿宋_GB2312"/>
          <w:i w:val="0"/>
          <w:iCs w:val="0"/>
          <w:color w:val="auto"/>
          <w:kern w:val="0"/>
          <w:sz w:val="32"/>
          <w:szCs w:val="32"/>
          <w:u w:val="none"/>
          <w:lang w:val="en-US" w:eastAsia="zh-CN"/>
        </w:rPr>
        <w:t>）</w:t>
      </w:r>
      <w:r>
        <w:rPr>
          <w:rFonts w:hint="eastAsia" w:eastAsia="仿宋_GB2312" w:cs="仿宋_GB2312"/>
          <w:i w:val="0"/>
          <w:iCs w:val="0"/>
          <w:color w:val="auto"/>
          <w:kern w:val="0"/>
          <w:sz w:val="32"/>
          <w:szCs w:val="32"/>
          <w:u w:val="none"/>
        </w:rPr>
        <w:t>、</w:t>
      </w:r>
      <w:r>
        <w:rPr>
          <w:rFonts w:hint="eastAsia" w:eastAsia="仿宋_GB2312" w:cs="仿宋_GB2312"/>
          <w:i w:val="0"/>
          <w:iCs w:val="0"/>
          <w:color w:val="auto"/>
          <w:kern w:val="0"/>
          <w:sz w:val="32"/>
          <w:szCs w:val="32"/>
          <w:u w:val="none"/>
          <w:lang w:val="en-US" w:eastAsia="zh-CN"/>
        </w:rPr>
        <w:t>20</w:t>
      </w:r>
      <w:r>
        <w:rPr>
          <w:rFonts w:hint="eastAsia" w:eastAsia="仿宋_GB2312" w:cs="仿宋_GB2312"/>
          <w:i w:val="0"/>
          <w:iCs w:val="0"/>
          <w:color w:val="auto"/>
          <w:kern w:val="0"/>
          <w:sz w:val="32"/>
          <w:szCs w:val="32"/>
          <w:u w:val="none"/>
        </w:rPr>
        <w:t>表</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lang w:val="en-US" w:eastAsia="zh-CN"/>
        </w:rPr>
        <w:t>财政</w:t>
      </w:r>
      <w:r>
        <w:rPr>
          <w:rFonts w:hint="eastAsia" w:eastAsia="仿宋_GB2312" w:cs="仿宋_GB2312"/>
          <w:i w:val="0"/>
          <w:iCs w:val="0"/>
          <w:color w:val="auto"/>
          <w:kern w:val="0"/>
          <w:sz w:val="32"/>
          <w:szCs w:val="32"/>
          <w:u w:val="none"/>
        </w:rPr>
        <w:t>专户管理</w:t>
      </w:r>
      <w:r>
        <w:rPr>
          <w:rFonts w:hint="eastAsia" w:eastAsia="仿宋_GB2312" w:cs="仿宋_GB2312"/>
          <w:i w:val="0"/>
          <w:iCs w:val="0"/>
          <w:color w:val="auto"/>
          <w:kern w:val="0"/>
          <w:sz w:val="32"/>
          <w:szCs w:val="32"/>
          <w:u w:val="none"/>
          <w:lang w:val="en-US" w:eastAsia="zh-CN"/>
        </w:rPr>
        <w:t>资金</w:t>
      </w:r>
      <w:r>
        <w:rPr>
          <w:rFonts w:hint="eastAsia" w:eastAsia="仿宋_GB2312" w:cs="仿宋_GB2312"/>
          <w:i w:val="0"/>
          <w:iCs w:val="0"/>
          <w:color w:val="auto"/>
          <w:kern w:val="0"/>
          <w:sz w:val="32"/>
          <w:szCs w:val="32"/>
          <w:u w:val="none"/>
        </w:rPr>
        <w:t>预算</w:t>
      </w:r>
      <w:r>
        <w:rPr>
          <w:rFonts w:hint="eastAsia" w:eastAsia="仿宋_GB2312" w:cs="仿宋_GB2312"/>
          <w:i w:val="0"/>
          <w:iCs w:val="0"/>
          <w:color w:val="auto"/>
          <w:kern w:val="0"/>
          <w:sz w:val="32"/>
          <w:szCs w:val="32"/>
          <w:u w:val="none"/>
          <w:lang w:eastAsia="zh-CN"/>
        </w:rPr>
        <w:t>）</w:t>
      </w:r>
      <w:r>
        <w:rPr>
          <w:rFonts w:hint="eastAsia" w:eastAsia="仿宋_GB2312" w:cs="仿宋_GB2312"/>
          <w:i w:val="0"/>
          <w:iCs w:val="0"/>
          <w:color w:val="auto"/>
          <w:kern w:val="0"/>
          <w:sz w:val="32"/>
          <w:szCs w:val="32"/>
          <w:u w:val="none"/>
        </w:rPr>
        <w:t>均为空。</w:t>
      </w:r>
      <w:r>
        <w:rPr>
          <w:rFonts w:hint="eastAsia" w:eastAsia="仿宋_GB2312" w:cs="仿宋_GB2312"/>
          <w:i w:val="0"/>
          <w:iCs w:val="0"/>
          <w:color w:val="auto"/>
          <w:kern w:val="0"/>
          <w:sz w:val="32"/>
          <w:szCs w:val="32"/>
          <w:u w:val="none"/>
          <w:lang w:eastAsia="zh-CN"/>
        </w:rPr>
        <w:t>”）</w:t>
      </w:r>
      <w:r>
        <w:rPr>
          <w:rFonts w:hint="eastAsia" w:eastAsia="仿宋_GB2312" w:cs="仿宋_GB2312"/>
          <w:color w:val="auto"/>
          <w:kern w:val="0"/>
          <w:sz w:val="32"/>
          <w:szCs w:val="32"/>
          <w:u w:val="none"/>
          <w:lang w:eastAsia="zh-CN"/>
        </w:rPr>
        <w:t>收入较去年</w:t>
      </w:r>
      <w:r>
        <w:rPr>
          <w:rFonts w:hint="eastAsia" w:eastAsia="仿宋_GB2312" w:cs="仿宋_GB2312"/>
          <w:color w:val="auto"/>
          <w:kern w:val="0"/>
          <w:sz w:val="32"/>
          <w:szCs w:val="32"/>
          <w:highlight w:val="none"/>
          <w:u w:val="none"/>
          <w:lang w:val="en-US" w:eastAsia="zh-CN"/>
        </w:rPr>
        <w:t>90.59万增加7.59</w:t>
      </w:r>
      <w:r>
        <w:rPr>
          <w:rFonts w:hint="eastAsia" w:eastAsia="仿宋_GB2312" w:cs="仿宋_GB2312"/>
          <w:color w:val="auto"/>
          <w:kern w:val="0"/>
          <w:sz w:val="32"/>
          <w:szCs w:val="32"/>
          <w:highlight w:val="none"/>
          <w:u w:val="none"/>
          <w:lang w:eastAsia="zh-CN"/>
        </w:rPr>
        <w:t>万元，主要是</w:t>
      </w:r>
      <w:r>
        <w:rPr>
          <w:rFonts w:hint="eastAsia" w:eastAsia="仿宋_GB2312" w:cs="仿宋_GB2312"/>
          <w:color w:val="auto"/>
          <w:kern w:val="0"/>
          <w:sz w:val="32"/>
          <w:szCs w:val="32"/>
          <w:highlight w:val="none"/>
          <w:u w:val="none"/>
          <w:lang w:val="en-US" w:eastAsia="zh-CN"/>
        </w:rPr>
        <w:t>因为</w:t>
      </w:r>
      <w:r>
        <w:rPr>
          <w:rFonts w:hint="eastAsia" w:eastAsia="仿宋_GB2312"/>
          <w:color w:val="auto"/>
          <w:kern w:val="0"/>
          <w:sz w:val="32"/>
          <w:szCs w:val="32"/>
          <w:highlight w:val="none"/>
          <w:u w:val="none"/>
          <w:lang w:eastAsia="zh-CN"/>
        </w:rPr>
        <w:t>人员经费的增加。</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（二）支出预算</w:t>
      </w:r>
    </w:p>
    <w:p>
      <w:pPr>
        <w:widowControl/>
        <w:spacing w:line="600" w:lineRule="exact"/>
        <w:ind w:firstLine="470" w:firstLineChars="196"/>
        <w:jc w:val="left"/>
        <w:rPr>
          <w:rFonts w:hint="eastAsia" w:eastAsia="仿宋_GB2312" w:cs="仿宋_GB2312"/>
          <w:color w:val="auto"/>
          <w:kern w:val="0"/>
          <w:sz w:val="32"/>
          <w:szCs w:val="32"/>
          <w:highlight w:val="none"/>
          <w:lang w:eastAsia="zh-CN"/>
        </w:rPr>
      </w:pPr>
      <w:r>
        <w:rPr>
          <w:rFonts w:hint="eastAsia" w:ascii="微软雅黑" w:hAnsi="微软雅黑" w:eastAsia="微软雅黑" w:cs="微软雅黑"/>
          <w:i w:val="0"/>
          <w:iCs w:val="0"/>
          <w:caps w:val="0"/>
          <w:color w:val="auto"/>
          <w:spacing w:val="0"/>
          <w:sz w:val="24"/>
          <w:szCs w:val="24"/>
          <w:highlight w:val="none"/>
          <w:shd w:val="clear" w:fill="FFFFFF"/>
          <w:lang w:eastAsia="zh-CN"/>
        </w:rPr>
        <w:t>2</w:t>
      </w:r>
      <w:r>
        <w:rPr>
          <w:rFonts w:hint="eastAsia" w:eastAsia="仿宋_GB2312" w:cs="仿宋_GB2312"/>
          <w:color w:val="auto"/>
          <w:kern w:val="0"/>
          <w:sz w:val="32"/>
          <w:szCs w:val="32"/>
          <w:highlight w:val="none"/>
          <w:lang w:eastAsia="zh-CN"/>
        </w:rPr>
        <w:t>024年本单位支出预算</w:t>
      </w:r>
      <w:r>
        <w:rPr>
          <w:rFonts w:hint="eastAsia" w:eastAsia="仿宋_GB2312" w:cs="仿宋_GB2312"/>
          <w:color w:val="auto"/>
          <w:kern w:val="0"/>
          <w:sz w:val="32"/>
          <w:szCs w:val="32"/>
          <w:highlight w:val="none"/>
          <w:lang w:val="en-US" w:eastAsia="zh-CN"/>
        </w:rPr>
        <w:t>98.18</w:t>
      </w:r>
      <w:r>
        <w:rPr>
          <w:rFonts w:hint="eastAsia" w:eastAsia="仿宋_GB2312" w:cs="仿宋_GB2312"/>
          <w:color w:val="auto"/>
          <w:kern w:val="0"/>
          <w:sz w:val="32"/>
          <w:szCs w:val="32"/>
          <w:highlight w:val="none"/>
          <w:lang w:eastAsia="zh-CN"/>
        </w:rPr>
        <w:t>万元，其中，社会保障与就业支出</w:t>
      </w:r>
      <w:r>
        <w:rPr>
          <w:rFonts w:hint="eastAsia" w:eastAsia="仿宋_GB2312" w:cs="仿宋_GB2312"/>
          <w:color w:val="auto"/>
          <w:kern w:val="0"/>
          <w:sz w:val="32"/>
          <w:szCs w:val="32"/>
          <w:highlight w:val="none"/>
          <w:lang w:val="en-US" w:eastAsia="zh-CN"/>
        </w:rPr>
        <w:t>9.25</w:t>
      </w:r>
      <w:r>
        <w:rPr>
          <w:rFonts w:hint="eastAsia" w:eastAsia="仿宋_GB2312" w:cs="仿宋_GB2312"/>
          <w:color w:val="auto"/>
          <w:kern w:val="0"/>
          <w:sz w:val="32"/>
          <w:szCs w:val="32"/>
          <w:highlight w:val="none"/>
          <w:lang w:eastAsia="zh-CN"/>
        </w:rPr>
        <w:t>万元，占</w:t>
      </w:r>
      <w:r>
        <w:rPr>
          <w:rFonts w:hint="eastAsia" w:eastAsia="仿宋_GB2312" w:cs="仿宋_GB2312"/>
          <w:color w:val="auto"/>
          <w:kern w:val="0"/>
          <w:sz w:val="32"/>
          <w:szCs w:val="32"/>
          <w:highlight w:val="none"/>
          <w:lang w:val="en-US" w:eastAsia="zh-CN"/>
        </w:rPr>
        <w:t>9.42</w:t>
      </w:r>
      <w:r>
        <w:rPr>
          <w:rFonts w:hint="eastAsia" w:eastAsia="仿宋_GB2312" w:cs="仿宋_GB2312"/>
          <w:color w:val="auto"/>
          <w:kern w:val="0"/>
          <w:sz w:val="32"/>
          <w:szCs w:val="32"/>
          <w:highlight w:val="none"/>
          <w:lang w:eastAsia="zh-CN"/>
        </w:rPr>
        <w:t>%；卫生健康支出</w:t>
      </w:r>
      <w:r>
        <w:rPr>
          <w:rFonts w:hint="eastAsia" w:eastAsia="仿宋_GB2312" w:cs="仿宋_GB2312"/>
          <w:color w:val="auto"/>
          <w:kern w:val="0"/>
          <w:sz w:val="32"/>
          <w:szCs w:val="32"/>
          <w:highlight w:val="none"/>
          <w:lang w:val="en-US" w:eastAsia="zh-CN"/>
        </w:rPr>
        <w:t>5.17</w:t>
      </w:r>
      <w:r>
        <w:rPr>
          <w:rFonts w:hint="eastAsia" w:eastAsia="仿宋_GB2312" w:cs="仿宋_GB2312"/>
          <w:color w:val="auto"/>
          <w:kern w:val="0"/>
          <w:sz w:val="32"/>
          <w:szCs w:val="32"/>
          <w:highlight w:val="none"/>
          <w:lang w:eastAsia="zh-CN"/>
        </w:rPr>
        <w:t>万元，占</w:t>
      </w:r>
      <w:r>
        <w:rPr>
          <w:rFonts w:hint="eastAsia" w:eastAsia="仿宋_GB2312" w:cs="仿宋_GB2312"/>
          <w:color w:val="auto"/>
          <w:kern w:val="0"/>
          <w:sz w:val="32"/>
          <w:szCs w:val="32"/>
          <w:highlight w:val="none"/>
          <w:lang w:val="en-US" w:eastAsia="zh-CN"/>
        </w:rPr>
        <w:t>5.27</w:t>
      </w:r>
      <w:r>
        <w:rPr>
          <w:rFonts w:hint="eastAsia" w:eastAsia="仿宋_GB2312" w:cs="仿宋_GB2312"/>
          <w:color w:val="auto"/>
          <w:kern w:val="0"/>
          <w:sz w:val="32"/>
          <w:szCs w:val="32"/>
          <w:highlight w:val="none"/>
          <w:lang w:eastAsia="zh-CN"/>
        </w:rPr>
        <w:t>%；城乡社区支出</w:t>
      </w:r>
      <w:r>
        <w:rPr>
          <w:rFonts w:hint="eastAsia" w:eastAsia="仿宋_GB2312" w:cs="仿宋_GB2312"/>
          <w:color w:val="auto"/>
          <w:kern w:val="0"/>
          <w:sz w:val="32"/>
          <w:szCs w:val="32"/>
          <w:highlight w:val="none"/>
          <w:lang w:val="en-US" w:eastAsia="zh-CN"/>
        </w:rPr>
        <w:t>77.23</w:t>
      </w:r>
      <w:r>
        <w:rPr>
          <w:rFonts w:hint="eastAsia" w:eastAsia="仿宋_GB2312" w:cs="仿宋_GB2312"/>
          <w:color w:val="auto"/>
          <w:kern w:val="0"/>
          <w:sz w:val="32"/>
          <w:szCs w:val="32"/>
          <w:highlight w:val="none"/>
          <w:lang w:eastAsia="zh-CN"/>
        </w:rPr>
        <w:t>万元，占</w:t>
      </w:r>
      <w:r>
        <w:rPr>
          <w:rFonts w:hint="eastAsia" w:eastAsia="仿宋_GB2312" w:cs="仿宋_GB2312"/>
          <w:color w:val="auto"/>
          <w:kern w:val="0"/>
          <w:sz w:val="32"/>
          <w:szCs w:val="32"/>
          <w:highlight w:val="none"/>
          <w:lang w:val="en-US" w:eastAsia="zh-CN"/>
        </w:rPr>
        <w:t>78.66</w:t>
      </w:r>
      <w:r>
        <w:rPr>
          <w:rFonts w:hint="eastAsia" w:eastAsia="仿宋_GB2312" w:cs="仿宋_GB2312"/>
          <w:color w:val="auto"/>
          <w:kern w:val="0"/>
          <w:sz w:val="32"/>
          <w:szCs w:val="32"/>
          <w:highlight w:val="none"/>
          <w:lang w:eastAsia="zh-CN"/>
        </w:rPr>
        <w:t>%；住房保障支出</w:t>
      </w:r>
      <w:r>
        <w:rPr>
          <w:rFonts w:hint="eastAsia" w:eastAsia="仿宋_GB2312" w:cs="仿宋_GB2312"/>
          <w:color w:val="auto"/>
          <w:kern w:val="0"/>
          <w:sz w:val="32"/>
          <w:szCs w:val="32"/>
          <w:highlight w:val="none"/>
          <w:lang w:val="en-US" w:eastAsia="zh-CN"/>
        </w:rPr>
        <w:t>6.53</w:t>
      </w:r>
      <w:r>
        <w:rPr>
          <w:rFonts w:hint="eastAsia" w:eastAsia="仿宋_GB2312" w:cs="仿宋_GB2312"/>
          <w:color w:val="auto"/>
          <w:kern w:val="0"/>
          <w:sz w:val="32"/>
          <w:szCs w:val="32"/>
          <w:highlight w:val="none"/>
          <w:lang w:eastAsia="zh-CN"/>
        </w:rPr>
        <w:t>万元，占</w:t>
      </w:r>
      <w:r>
        <w:rPr>
          <w:rFonts w:hint="eastAsia" w:eastAsia="仿宋_GB2312" w:cs="仿宋_GB2312"/>
          <w:color w:val="auto"/>
          <w:kern w:val="0"/>
          <w:sz w:val="32"/>
          <w:szCs w:val="32"/>
          <w:highlight w:val="none"/>
          <w:lang w:val="en-US" w:eastAsia="zh-CN"/>
        </w:rPr>
        <w:t>6.65</w:t>
      </w:r>
      <w:r>
        <w:rPr>
          <w:rFonts w:hint="eastAsia" w:eastAsia="仿宋_GB2312" w:cs="仿宋_GB2312"/>
          <w:color w:val="auto"/>
          <w:kern w:val="0"/>
          <w:sz w:val="32"/>
          <w:szCs w:val="32"/>
          <w:highlight w:val="none"/>
          <w:lang w:eastAsia="zh-CN"/>
        </w:rPr>
        <w:t>%（数据来源见表6）。支出较去年增加</w:t>
      </w:r>
      <w:r>
        <w:rPr>
          <w:rFonts w:hint="eastAsia" w:eastAsia="仿宋_GB2312" w:cs="仿宋_GB2312"/>
          <w:color w:val="auto"/>
          <w:kern w:val="0"/>
          <w:sz w:val="32"/>
          <w:szCs w:val="32"/>
          <w:highlight w:val="none"/>
          <w:lang w:val="en-US" w:eastAsia="zh-CN"/>
        </w:rPr>
        <w:t>7.59</w:t>
      </w:r>
      <w:r>
        <w:rPr>
          <w:rFonts w:hint="eastAsia" w:eastAsia="仿宋_GB2312" w:cs="仿宋_GB2312"/>
          <w:color w:val="auto"/>
          <w:kern w:val="0"/>
          <w:sz w:val="32"/>
          <w:szCs w:val="32"/>
          <w:highlight w:val="none"/>
          <w:lang w:eastAsia="zh-CN"/>
        </w:rPr>
        <w:t>万元，其中基本支出增加</w:t>
      </w:r>
      <w:r>
        <w:rPr>
          <w:rFonts w:hint="eastAsia" w:eastAsia="仿宋_GB2312" w:cs="仿宋_GB2312"/>
          <w:color w:val="auto"/>
          <w:kern w:val="0"/>
          <w:sz w:val="32"/>
          <w:szCs w:val="32"/>
          <w:highlight w:val="none"/>
          <w:lang w:val="en-US" w:eastAsia="zh-CN"/>
        </w:rPr>
        <w:t>7.59</w:t>
      </w:r>
      <w:r>
        <w:rPr>
          <w:rFonts w:hint="eastAsia" w:eastAsia="仿宋_GB2312" w:cs="仿宋_GB2312"/>
          <w:color w:val="auto"/>
          <w:kern w:val="0"/>
          <w:sz w:val="32"/>
          <w:szCs w:val="32"/>
          <w:highlight w:val="none"/>
          <w:lang w:eastAsia="zh-CN"/>
        </w:rPr>
        <w:t>万元，项目支出</w:t>
      </w:r>
      <w:r>
        <w:rPr>
          <w:rFonts w:hint="eastAsia" w:eastAsia="仿宋_GB2312" w:cs="仿宋_GB2312"/>
          <w:color w:val="auto"/>
          <w:kern w:val="0"/>
          <w:sz w:val="32"/>
          <w:szCs w:val="32"/>
          <w:highlight w:val="none"/>
          <w:lang w:val="en-US" w:eastAsia="zh-CN"/>
        </w:rPr>
        <w:t>0</w:t>
      </w:r>
      <w:r>
        <w:rPr>
          <w:rFonts w:hint="eastAsia" w:eastAsia="仿宋_GB2312" w:cs="仿宋_GB2312"/>
          <w:color w:val="auto"/>
          <w:kern w:val="0"/>
          <w:sz w:val="32"/>
          <w:szCs w:val="32"/>
          <w:highlight w:val="none"/>
          <w:lang w:eastAsia="zh-CN"/>
        </w:rPr>
        <w:t>万元（数据来源见表7、16、19、20，将其基本支出、项目支出相加）。其中基本支出较上年增加主要是因为人员经费增加，项目支出为</w:t>
      </w:r>
      <w:r>
        <w:rPr>
          <w:rFonts w:hint="eastAsia" w:eastAsia="仿宋_GB2312" w:cs="仿宋_GB2312"/>
          <w:color w:val="auto"/>
          <w:kern w:val="0"/>
          <w:sz w:val="32"/>
          <w:szCs w:val="32"/>
          <w:highlight w:val="none"/>
          <w:lang w:val="en-US" w:eastAsia="zh-CN"/>
        </w:rPr>
        <w:t>0</w:t>
      </w:r>
      <w:r>
        <w:rPr>
          <w:rFonts w:hint="eastAsia" w:eastAsia="仿宋_GB2312" w:cs="仿宋_GB2312"/>
          <w:color w:val="auto"/>
          <w:kern w:val="0"/>
          <w:sz w:val="32"/>
          <w:szCs w:val="32"/>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一般公共预算拨款支出预算</w:t>
      </w:r>
    </w:p>
    <w:p>
      <w:pPr>
        <w:widowControl/>
        <w:spacing w:line="600" w:lineRule="exact"/>
        <w:ind w:firstLine="627" w:firstLineChars="196"/>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2024年一般公共预算拨款支出预算</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万元，其中，社会保障与就业支出</w:t>
      </w:r>
      <w:r>
        <w:rPr>
          <w:rFonts w:hint="eastAsia" w:eastAsia="仿宋_GB2312" w:cs="仿宋_GB2312"/>
          <w:kern w:val="0"/>
          <w:sz w:val="32"/>
          <w:szCs w:val="32"/>
          <w:lang w:val="en-US" w:eastAsia="zh-CN"/>
        </w:rPr>
        <w:t>9.25</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9.42</w:t>
      </w:r>
      <w:r>
        <w:rPr>
          <w:rFonts w:hint="eastAsia" w:eastAsia="仿宋_GB2312" w:cs="仿宋_GB2312"/>
          <w:kern w:val="0"/>
          <w:sz w:val="32"/>
          <w:szCs w:val="32"/>
          <w:lang w:eastAsia="zh-CN"/>
        </w:rPr>
        <w:t>%；卫生健康支出</w:t>
      </w:r>
      <w:r>
        <w:rPr>
          <w:rFonts w:hint="eastAsia" w:eastAsia="仿宋_GB2312" w:cs="仿宋_GB2312"/>
          <w:kern w:val="0"/>
          <w:sz w:val="32"/>
          <w:szCs w:val="32"/>
          <w:lang w:val="en-US" w:eastAsia="zh-CN"/>
        </w:rPr>
        <w:t>5.17</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5.27</w:t>
      </w:r>
      <w:r>
        <w:rPr>
          <w:rFonts w:hint="eastAsia" w:eastAsia="仿宋_GB2312" w:cs="仿宋_GB2312"/>
          <w:kern w:val="0"/>
          <w:sz w:val="32"/>
          <w:szCs w:val="32"/>
          <w:lang w:eastAsia="zh-CN"/>
        </w:rPr>
        <w:t>%；城乡社区支出</w:t>
      </w:r>
      <w:r>
        <w:rPr>
          <w:rFonts w:hint="eastAsia" w:eastAsia="仿宋_GB2312" w:cs="仿宋_GB2312"/>
          <w:kern w:val="0"/>
          <w:sz w:val="32"/>
          <w:szCs w:val="32"/>
          <w:lang w:val="en-US" w:eastAsia="zh-CN"/>
        </w:rPr>
        <w:t>77.23</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78.66</w:t>
      </w:r>
      <w:r>
        <w:rPr>
          <w:rFonts w:hint="eastAsia" w:eastAsia="仿宋_GB2312" w:cs="仿宋_GB2312"/>
          <w:kern w:val="0"/>
          <w:sz w:val="32"/>
          <w:szCs w:val="32"/>
          <w:lang w:eastAsia="zh-CN"/>
        </w:rPr>
        <w:t>%；住房保障支出</w:t>
      </w:r>
      <w:r>
        <w:rPr>
          <w:rFonts w:hint="eastAsia" w:eastAsia="仿宋_GB2312" w:cs="仿宋_GB2312"/>
          <w:kern w:val="0"/>
          <w:sz w:val="32"/>
          <w:szCs w:val="32"/>
          <w:lang w:val="en-US" w:eastAsia="zh-CN"/>
        </w:rPr>
        <w:t>6.53</w:t>
      </w:r>
      <w:r>
        <w:rPr>
          <w:rFonts w:hint="eastAsia" w:eastAsia="仿宋_GB2312" w:cs="仿宋_GB2312"/>
          <w:kern w:val="0"/>
          <w:sz w:val="32"/>
          <w:szCs w:val="32"/>
          <w:lang w:eastAsia="zh-CN"/>
        </w:rPr>
        <w:t>万元，占</w:t>
      </w:r>
      <w:r>
        <w:rPr>
          <w:rFonts w:hint="eastAsia" w:eastAsia="仿宋_GB2312" w:cs="仿宋_GB2312"/>
          <w:kern w:val="0"/>
          <w:sz w:val="32"/>
          <w:szCs w:val="32"/>
          <w:lang w:val="en-US" w:eastAsia="zh-CN"/>
        </w:rPr>
        <w:t>6.65</w:t>
      </w:r>
      <w:r>
        <w:rPr>
          <w:rFonts w:hint="eastAsia" w:eastAsia="仿宋_GB2312" w:cs="仿宋_GB2312"/>
          <w:kern w:val="0"/>
          <w:sz w:val="32"/>
          <w:szCs w:val="32"/>
          <w:lang w:eastAsia="zh-CN"/>
        </w:rPr>
        <w:t>%（数据来源见表</w:t>
      </w:r>
      <w:r>
        <w:rPr>
          <w:rFonts w:hint="eastAsia" w:eastAsia="仿宋_GB2312" w:cs="仿宋_GB2312"/>
          <w:kern w:val="0"/>
          <w:sz w:val="32"/>
          <w:szCs w:val="32"/>
          <w:lang w:val="en-US" w:eastAsia="zh-CN"/>
        </w:rPr>
        <w:t>7</w:t>
      </w:r>
      <w:r>
        <w:rPr>
          <w:rFonts w:hint="eastAsia" w:eastAsia="仿宋_GB2312" w:cs="仿宋_GB2312"/>
          <w:kern w:val="0"/>
          <w:sz w:val="32"/>
          <w:szCs w:val="32"/>
          <w:lang w:eastAsia="zh-CN"/>
        </w:rPr>
        <w:t>）。具体安排情况如下：</w:t>
      </w:r>
    </w:p>
    <w:p>
      <w:pPr>
        <w:widowControl/>
        <w:spacing w:line="600" w:lineRule="exact"/>
        <w:ind w:firstLine="627" w:firstLineChars="196"/>
        <w:jc w:val="left"/>
        <w:rPr>
          <w:rFonts w:hint="eastAsia" w:eastAsia="仿宋_GB2312" w:cs="仿宋_GB2312"/>
          <w:kern w:val="0"/>
          <w:sz w:val="32"/>
          <w:szCs w:val="32"/>
          <w:lang w:eastAsia="zh-CN"/>
        </w:rPr>
      </w:pPr>
      <w:r>
        <w:rPr>
          <w:rFonts w:hint="eastAsia" w:eastAsia="仿宋_GB2312" w:cs="仿宋_GB2312"/>
          <w:kern w:val="0"/>
          <w:sz w:val="32"/>
          <w:szCs w:val="32"/>
          <w:lang w:eastAsia="zh-CN"/>
        </w:rPr>
        <w:t>（一）基本支出：2024年基本支出年初预算数为</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，是指为保障单位机构正常运转、完成日常工作任务而发生的各项支出，包括用于基本工资、津贴补贴等人员经费以及办公费、印刷费、水电费、差旅费等日常公用经费。</w:t>
      </w:r>
    </w:p>
    <w:p>
      <w:pPr>
        <w:widowControl/>
        <w:spacing w:line="600" w:lineRule="exact"/>
        <w:ind w:firstLine="627" w:firstLineChars="196"/>
        <w:jc w:val="left"/>
        <w:rPr>
          <w:rFonts w:hint="eastAsia" w:eastAsia="仿宋_GB2312"/>
          <w:color w:val="auto"/>
          <w:sz w:val="32"/>
          <w:szCs w:val="32"/>
          <w:lang w:val="en-US" w:eastAsia="zh-CN"/>
        </w:rPr>
      </w:pPr>
      <w:r>
        <w:rPr>
          <w:rFonts w:hint="eastAsia" w:eastAsia="仿宋_GB2312" w:cs="仿宋_GB2312"/>
          <w:kern w:val="0"/>
          <w:sz w:val="32"/>
          <w:szCs w:val="32"/>
          <w:lang w:eastAsia="zh-CN"/>
        </w:rPr>
        <w:t>（二）项目支出：2024年项目支出年初预算数为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（数据来源见表5）</w:t>
      </w:r>
      <w:r>
        <w:rPr>
          <w:rFonts w:hint="eastAsia" w:eastAsia="仿宋_GB2312" w:cs="仿宋_GB2312"/>
          <w:kern w:val="0"/>
          <w:sz w:val="32"/>
          <w:szCs w:val="32"/>
          <w:lang w:eastAsia="zh-CN"/>
        </w:rPr>
        <w:t>，是指单位为完成特定行政工作任务或事业发展目标而发生的支出，包括有关业务工作经费、运行维护经费</w:t>
      </w:r>
      <w:r>
        <w:rPr>
          <w:rFonts w:hint="eastAsia" w:eastAsia="仿宋_GB2312" w:cs="仿宋_GB2312"/>
          <w:kern w:val="0"/>
          <w:sz w:val="32"/>
          <w:szCs w:val="32"/>
          <w:lang w:val="en-US" w:eastAsia="zh-CN"/>
        </w:rPr>
        <w:t>等</w:t>
      </w:r>
      <w:r>
        <w:rPr>
          <w:rFonts w:hint="eastAsia" w:eastAsia="仿宋_GB2312" w:cs="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四</w:t>
      </w:r>
      <w:r>
        <w:rPr>
          <w:rFonts w:hint="eastAsia" w:ascii="黑体" w:hAnsi="黑体" w:eastAsia="黑体" w:cs="黑体"/>
          <w:color w:val="auto"/>
          <w:kern w:val="0"/>
          <w:sz w:val="32"/>
          <w:szCs w:val="32"/>
        </w:rPr>
        <w:t>、政府性基金预算支出</w:t>
      </w:r>
    </w:p>
    <w:p>
      <w:pPr>
        <w:keepNext w:val="0"/>
        <w:keepLines w:val="0"/>
        <w:pageBreakBefore w:val="0"/>
        <w:widowControl/>
        <w:kinsoku/>
        <w:wordWrap/>
        <w:overflowPunct/>
        <w:topLinePunct w:val="0"/>
        <w:bidi w:val="0"/>
        <w:adjustRightInd/>
        <w:snapToGrid/>
        <w:spacing w:line="600" w:lineRule="exact"/>
        <w:ind w:firstLine="480" w:firstLineChars="200"/>
        <w:textAlignment w:val="auto"/>
        <w:rPr>
          <w:rFonts w:hint="eastAsia" w:ascii="微软雅黑" w:hAnsi="微软雅黑" w:eastAsia="微软雅黑" w:cs="微软雅黑"/>
          <w:i w:val="0"/>
          <w:iCs w:val="0"/>
          <w:caps w:val="0"/>
          <w:color w:val="333333"/>
          <w:spacing w:val="0"/>
          <w:sz w:val="24"/>
          <w:szCs w:val="24"/>
          <w:shd w:val="clear" w:fill="FFFFFF"/>
        </w:rPr>
      </w:pPr>
      <w:r>
        <w:rPr>
          <w:rFonts w:ascii="微软雅黑" w:hAnsi="微软雅黑" w:eastAsia="微软雅黑" w:cs="微软雅黑"/>
          <w:i w:val="0"/>
          <w:iCs w:val="0"/>
          <w:caps w:val="0"/>
          <w:color w:val="333333"/>
          <w:spacing w:val="0"/>
          <w:sz w:val="24"/>
          <w:szCs w:val="24"/>
          <w:shd w:val="clear" w:fill="FFFFFF"/>
        </w:rPr>
        <w:t>　</w:t>
      </w:r>
      <w:r>
        <w:rPr>
          <w:rFonts w:hint="eastAsia" w:eastAsia="仿宋_GB2312" w:cs="仿宋_GB2312"/>
          <w:kern w:val="0"/>
          <w:sz w:val="32"/>
          <w:szCs w:val="32"/>
          <w:lang w:eastAsia="zh-CN"/>
        </w:rPr>
        <w:t>2024年政府性基金预算拨款支出预算0万元（ 2024年度本单位无政府性基金安排的支出，所以公开的附件16-18（政府性基金预算）为空。）</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、其他重要事项的情况说明</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hint="eastAsia" w:eastAsia="仿宋_GB2312" w:cs="仿宋_GB2312"/>
          <w:kern w:val="0"/>
          <w:sz w:val="32"/>
          <w:szCs w:val="32"/>
          <w:highlight w:val="yellow"/>
          <w:lang w:eastAsia="zh-CN"/>
        </w:rPr>
      </w:pPr>
      <w:r>
        <w:rPr>
          <w:rFonts w:hint="eastAsia" w:ascii="楷体_GB2312" w:hAnsi="楷体_GB2312" w:eastAsia="楷体_GB2312" w:cs="楷体_GB2312"/>
          <w:b/>
          <w:bCs/>
          <w:kern w:val="0"/>
          <w:sz w:val="32"/>
          <w:szCs w:val="32"/>
        </w:rPr>
        <w:t>（</w:t>
      </w:r>
      <w:r>
        <w:rPr>
          <w:rFonts w:hint="eastAsia" w:eastAsia="仿宋_GB2312" w:cs="仿宋_GB2312"/>
          <w:kern w:val="0"/>
          <w:sz w:val="32"/>
          <w:szCs w:val="32"/>
          <w:lang w:eastAsia="zh-CN"/>
        </w:rPr>
        <w:t>一）机关运行经费本单位2024年机关运行经费当年一般公共预算拨款</w:t>
      </w:r>
      <w:r>
        <w:rPr>
          <w:rFonts w:hint="eastAsia" w:eastAsia="仿宋_GB2312" w:cs="仿宋_GB2312"/>
          <w:kern w:val="0"/>
          <w:sz w:val="32"/>
          <w:szCs w:val="32"/>
          <w:lang w:val="en-US" w:eastAsia="zh-CN"/>
        </w:rPr>
        <w:t>10.5</w:t>
      </w:r>
      <w:r>
        <w:rPr>
          <w:rFonts w:hint="eastAsia" w:eastAsia="仿宋_GB2312" w:cs="仿宋_GB2312"/>
          <w:kern w:val="0"/>
          <w:sz w:val="32"/>
          <w:szCs w:val="32"/>
          <w:lang w:eastAsia="zh-CN"/>
        </w:rPr>
        <w:t>万元（数据来源见表14），其中公用经费</w:t>
      </w:r>
      <w:r>
        <w:rPr>
          <w:rFonts w:hint="eastAsia" w:eastAsia="仿宋_GB2312" w:cs="仿宋_GB2312"/>
          <w:kern w:val="0"/>
          <w:sz w:val="32"/>
          <w:szCs w:val="32"/>
          <w:lang w:val="en-US" w:eastAsia="zh-CN"/>
        </w:rPr>
        <w:t>10.5</w:t>
      </w:r>
      <w:r>
        <w:rPr>
          <w:rFonts w:hint="eastAsia" w:eastAsia="仿宋_GB2312" w:cs="仿宋_GB2312"/>
          <w:kern w:val="0"/>
          <w:sz w:val="32"/>
          <w:szCs w:val="32"/>
          <w:lang w:eastAsia="zh-CN"/>
        </w:rPr>
        <w:t>万元包含工作人员公务交通补贴</w:t>
      </w:r>
      <w:r>
        <w:rPr>
          <w:rFonts w:hint="eastAsia" w:eastAsia="仿宋_GB2312" w:cs="仿宋_GB2312"/>
          <w:kern w:val="0"/>
          <w:sz w:val="32"/>
          <w:szCs w:val="32"/>
          <w:lang w:val="en-US" w:eastAsia="zh-CN"/>
        </w:rPr>
        <w:t>5.64</w:t>
      </w:r>
      <w:r>
        <w:rPr>
          <w:rFonts w:hint="eastAsia" w:eastAsia="仿宋_GB2312" w:cs="仿宋_GB2312"/>
          <w:kern w:val="0"/>
          <w:sz w:val="32"/>
          <w:szCs w:val="32"/>
          <w:lang w:eastAsia="zh-CN"/>
        </w:rPr>
        <w:t>万元和机关运行经费</w:t>
      </w:r>
      <w:r>
        <w:rPr>
          <w:rFonts w:hint="eastAsia" w:eastAsia="仿宋_GB2312" w:cs="仿宋_GB2312"/>
          <w:kern w:val="0"/>
          <w:sz w:val="32"/>
          <w:szCs w:val="32"/>
          <w:lang w:val="en-US" w:eastAsia="zh-CN"/>
        </w:rPr>
        <w:t>4.86</w:t>
      </w:r>
      <w:r>
        <w:rPr>
          <w:rFonts w:hint="eastAsia" w:eastAsia="仿宋_GB2312" w:cs="仿宋_GB2312"/>
          <w:kern w:val="0"/>
          <w:sz w:val="32"/>
          <w:szCs w:val="32"/>
          <w:lang w:eastAsia="zh-CN"/>
        </w:rPr>
        <w:t>万元），比上年增</w:t>
      </w:r>
      <w:r>
        <w:rPr>
          <w:rFonts w:hint="eastAsia" w:eastAsia="仿宋_GB2312" w:cs="仿宋_GB2312"/>
          <w:kern w:val="0"/>
          <w:sz w:val="32"/>
          <w:szCs w:val="32"/>
          <w:highlight w:val="none"/>
          <w:lang w:eastAsia="zh-CN"/>
        </w:rPr>
        <w:t>加</w:t>
      </w:r>
      <w:r>
        <w:rPr>
          <w:rFonts w:hint="eastAsia" w:eastAsia="仿宋_GB2312" w:cs="仿宋_GB2312"/>
          <w:kern w:val="0"/>
          <w:sz w:val="32"/>
          <w:szCs w:val="32"/>
          <w:highlight w:val="none"/>
          <w:lang w:val="en-US" w:eastAsia="zh-CN"/>
        </w:rPr>
        <w:t>1.14</w:t>
      </w:r>
      <w:r>
        <w:rPr>
          <w:rFonts w:hint="eastAsia" w:eastAsia="仿宋_GB2312" w:cs="仿宋_GB2312"/>
          <w:kern w:val="0"/>
          <w:sz w:val="32"/>
          <w:szCs w:val="32"/>
          <w:highlight w:val="none"/>
          <w:lang w:eastAsia="zh-CN"/>
        </w:rPr>
        <w:t>万元，增加</w:t>
      </w:r>
      <w:r>
        <w:rPr>
          <w:rFonts w:hint="eastAsia" w:eastAsia="仿宋_GB2312" w:cs="仿宋_GB2312"/>
          <w:kern w:val="0"/>
          <w:sz w:val="32"/>
          <w:szCs w:val="32"/>
          <w:highlight w:val="none"/>
          <w:lang w:val="en-US" w:eastAsia="zh-CN"/>
        </w:rPr>
        <w:t>12.18</w:t>
      </w:r>
      <w:r>
        <w:rPr>
          <w:rFonts w:hint="eastAsia" w:eastAsia="仿宋_GB2312" w:cs="仿宋_GB2312"/>
          <w:kern w:val="0"/>
          <w:sz w:val="32"/>
          <w:szCs w:val="32"/>
          <w:highlight w:val="none"/>
          <w:lang w:eastAsia="zh-CN"/>
        </w:rPr>
        <w:t>%。主要原因是人员增加导致人员经费增加。</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（二）“三公”经费预算　本单位2024年“三公”经费预算数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万元，其中，公务接待费</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万元，因公出国（境）费0万元，公务用车购置及运行费0万元，其中公务用车购置费0万元，公务用车运行费0万元。与上年持平比上一年增加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万元，增加</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%，主要原因是本单位节约原则一般公务用餐在食堂招待。</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（三）一般性支出情况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本单位2024年会议费预算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r>
        <w:rPr>
          <w:rFonts w:hint="eastAsia" w:eastAsia="仿宋_GB2312" w:cs="仿宋_GB2312"/>
          <w:kern w:val="0"/>
          <w:sz w:val="32"/>
          <w:szCs w:val="32"/>
          <w:lang w:val="en-US" w:eastAsia="zh-CN"/>
        </w:rPr>
        <w:t>（数据来源见表14会议费+培训费）</w:t>
      </w:r>
      <w:r>
        <w:rPr>
          <w:rFonts w:hint="eastAsia" w:eastAsia="仿宋_GB2312" w:cs="仿宋_GB2312"/>
          <w:kern w:val="0"/>
          <w:sz w:val="32"/>
          <w:szCs w:val="32"/>
          <w:lang w:eastAsia="zh-CN"/>
        </w:rPr>
        <w:t>，拟召开</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次会议，人数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人；培训费预算</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万元，拟开展</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次培训，人数</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；计划举办节庆、晚会、论坛、赛事活动</w:t>
      </w:r>
      <w:r>
        <w:rPr>
          <w:rFonts w:hint="eastAsia" w:eastAsia="仿宋_GB2312" w:cs="仿宋_GB2312"/>
          <w:kern w:val="0"/>
          <w:sz w:val="32"/>
          <w:szCs w:val="32"/>
          <w:lang w:val="en-US" w:eastAsia="zh-CN"/>
        </w:rPr>
        <w:t>0万元0。2024年度本单位</w:t>
      </w:r>
      <w:r>
        <w:rPr>
          <w:rFonts w:hint="eastAsia" w:eastAsia="仿宋_GB2312" w:cs="仿宋_GB2312"/>
          <w:kern w:val="0"/>
          <w:sz w:val="32"/>
          <w:szCs w:val="32"/>
          <w:lang w:eastAsia="zh-CN"/>
        </w:rPr>
        <w:t>未计划</w:t>
      </w:r>
      <w:r>
        <w:rPr>
          <w:rFonts w:hint="eastAsia" w:eastAsia="仿宋_GB2312" w:cs="仿宋_GB2312"/>
          <w:kern w:val="0"/>
          <w:sz w:val="32"/>
          <w:szCs w:val="32"/>
          <w:lang w:val="en-US" w:eastAsia="zh-CN"/>
        </w:rPr>
        <w:t>安排会议、培训，未计划</w:t>
      </w:r>
      <w:r>
        <w:rPr>
          <w:rFonts w:hint="eastAsia" w:eastAsia="仿宋_GB2312" w:cs="仿宋_GB2312"/>
          <w:kern w:val="0"/>
          <w:sz w:val="32"/>
          <w:szCs w:val="32"/>
          <w:lang w:eastAsia="zh-CN"/>
        </w:rPr>
        <w:t>举办节庆、晚会、论坛、赛事活动。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（四）政府采购情况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本单位2024年政府采购预算总额</w:t>
      </w:r>
      <w:r>
        <w:rPr>
          <w:rFonts w:hint="eastAsia" w:eastAsia="仿宋_GB2312" w:cs="仿宋_GB2312"/>
          <w:kern w:val="0"/>
          <w:sz w:val="32"/>
          <w:szCs w:val="32"/>
          <w:highlight w:val="none"/>
          <w:lang w:val="en-US" w:eastAsia="zh-CN"/>
        </w:rPr>
        <w:t>2.9</w:t>
      </w:r>
      <w:r>
        <w:rPr>
          <w:rFonts w:hint="eastAsia" w:eastAsia="仿宋_GB2312" w:cs="仿宋_GB2312"/>
          <w:kern w:val="0"/>
          <w:sz w:val="32"/>
          <w:szCs w:val="32"/>
          <w:highlight w:val="none"/>
          <w:lang w:eastAsia="zh-CN"/>
        </w:rPr>
        <w:t>万元，其中工程类</w:t>
      </w:r>
      <w:r>
        <w:rPr>
          <w:rFonts w:hint="eastAsia" w:eastAsia="仿宋_GB2312" w:cs="仿宋_GB2312"/>
          <w:kern w:val="0"/>
          <w:sz w:val="32"/>
          <w:szCs w:val="32"/>
          <w:highlight w:val="none"/>
          <w:lang w:val="en-US" w:eastAsia="zh-CN"/>
        </w:rPr>
        <w:t>0</w:t>
      </w:r>
      <w:r>
        <w:rPr>
          <w:rFonts w:hint="eastAsia" w:eastAsia="仿宋_GB2312" w:cs="仿宋_GB2312"/>
          <w:kern w:val="0"/>
          <w:sz w:val="32"/>
          <w:szCs w:val="32"/>
          <w:highlight w:val="none"/>
          <w:lang w:eastAsia="zh-CN"/>
        </w:rPr>
        <w:t>万元，货物类</w:t>
      </w:r>
      <w:r>
        <w:rPr>
          <w:rFonts w:hint="eastAsia" w:eastAsia="仿宋_GB2312" w:cs="仿宋_GB2312"/>
          <w:kern w:val="0"/>
          <w:sz w:val="32"/>
          <w:szCs w:val="32"/>
          <w:highlight w:val="none"/>
          <w:lang w:val="en-US" w:eastAsia="zh-CN"/>
        </w:rPr>
        <w:t>2.9</w:t>
      </w:r>
      <w:r>
        <w:rPr>
          <w:rFonts w:hint="eastAsia" w:eastAsia="仿宋_GB2312" w:cs="仿宋_GB2312"/>
          <w:kern w:val="0"/>
          <w:sz w:val="32"/>
          <w:szCs w:val="32"/>
          <w:lang w:eastAsia="zh-CN"/>
        </w:rPr>
        <w:t>万元，服务类</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（五）国有资产占有使用及新增资产配置情况</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截至上一年12月底，本单位共有车辆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2</w:t>
      </w:r>
      <w:r>
        <w:rPr>
          <w:rFonts w:hint="eastAsia" w:eastAsia="仿宋_GB2312" w:cs="仿宋_GB2312"/>
          <w:kern w:val="0"/>
          <w:sz w:val="32"/>
          <w:szCs w:val="32"/>
          <w:lang w:eastAsia="zh-CN"/>
        </w:rPr>
        <w:t>辆。单位价值50万元以上通用设备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2024年拟报废处置公务用车</w:t>
      </w:r>
      <w:r>
        <w:rPr>
          <w:rFonts w:hint="eastAsia" w:eastAsia="仿宋_GB2312" w:cs="仿宋_GB2312"/>
          <w:kern w:val="0"/>
          <w:sz w:val="32"/>
          <w:szCs w:val="32"/>
          <w:lang w:val="en-US" w:eastAsia="zh-CN"/>
        </w:rPr>
        <w:t>0辆，</w:t>
      </w:r>
      <w:r>
        <w:rPr>
          <w:rFonts w:hint="eastAsia" w:eastAsia="仿宋_GB2312" w:cs="仿宋_GB2312"/>
          <w:kern w:val="0"/>
          <w:sz w:val="32"/>
          <w:szCs w:val="32"/>
          <w:lang w:eastAsia="zh-CN"/>
        </w:rPr>
        <w:t>拟新增配置车辆</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辆，其中领导干部用车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辆，一般公务用车</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辆，其他用车</w:t>
      </w:r>
      <w:r>
        <w:rPr>
          <w:rFonts w:hint="eastAsia" w:eastAsia="仿宋_GB2312" w:cs="仿宋_GB2312"/>
          <w:kern w:val="0"/>
          <w:sz w:val="32"/>
          <w:szCs w:val="32"/>
          <w:lang w:val="en-US" w:eastAsia="zh-CN"/>
        </w:rPr>
        <w:t>2</w:t>
      </w:r>
      <w:r>
        <w:rPr>
          <w:rFonts w:hint="eastAsia" w:eastAsia="仿宋_GB2312" w:cs="仿宋_GB2312"/>
          <w:kern w:val="0"/>
          <w:sz w:val="32"/>
          <w:szCs w:val="32"/>
          <w:lang w:eastAsia="zh-CN"/>
        </w:rPr>
        <w:t>辆，主要用于巡逻及高空作业，资金来源为临批资金。</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val="en-US" w:eastAsia="zh-CN"/>
        </w:rPr>
        <w:t>2024年</w:t>
      </w:r>
      <w:r>
        <w:rPr>
          <w:rFonts w:hint="eastAsia" w:eastAsia="仿宋_GB2312" w:cs="仿宋_GB2312"/>
          <w:kern w:val="0"/>
          <w:sz w:val="32"/>
          <w:szCs w:val="32"/>
          <w:lang w:eastAsia="zh-CN"/>
        </w:rPr>
        <w:t>拟新增配备单位价值50万元以上通用设备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台，单位价值100万元以上专用设备</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台。</w:t>
      </w:r>
      <w:r>
        <w:rPr>
          <w:rFonts w:hint="eastAsia" w:eastAsia="仿宋_GB2312" w:cs="仿宋_GB2312"/>
          <w:kern w:val="0"/>
          <w:sz w:val="32"/>
          <w:szCs w:val="32"/>
          <w:lang w:val="en-US" w:eastAsia="zh-CN"/>
        </w:rPr>
        <w:t>2024年度本单位未计划处置或新增车辆、设备等。</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（六）预算绩效</w:t>
      </w:r>
      <w:r>
        <w:rPr>
          <w:rFonts w:hint="eastAsia" w:eastAsia="仿宋_GB2312" w:cs="仿宋_GB2312"/>
          <w:kern w:val="0"/>
          <w:sz w:val="32"/>
          <w:szCs w:val="32"/>
          <w:lang w:val="en-US" w:eastAsia="zh-CN"/>
        </w:rPr>
        <w:t>目标</w:t>
      </w:r>
      <w:r>
        <w:rPr>
          <w:rFonts w:hint="eastAsia" w:eastAsia="仿宋_GB2312" w:cs="仿宋_GB2312"/>
          <w:kern w:val="0"/>
          <w:sz w:val="32"/>
          <w:szCs w:val="32"/>
          <w:lang w:eastAsia="zh-CN"/>
        </w:rPr>
        <w:t>说明</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本单位所有支出实行绩效目标管理。纳入2024年单位整体支出绩效目标的金额为</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万元，其中，基本支出</w:t>
      </w:r>
      <w:r>
        <w:rPr>
          <w:rFonts w:hint="eastAsia" w:eastAsia="仿宋_GB2312" w:cs="仿宋_GB2312"/>
          <w:kern w:val="0"/>
          <w:sz w:val="32"/>
          <w:szCs w:val="32"/>
          <w:lang w:val="en-US" w:eastAsia="zh-CN"/>
        </w:rPr>
        <w:t>98.18</w:t>
      </w:r>
      <w:r>
        <w:rPr>
          <w:rFonts w:hint="eastAsia" w:eastAsia="仿宋_GB2312" w:cs="仿宋_GB2312"/>
          <w:kern w:val="0"/>
          <w:sz w:val="32"/>
          <w:szCs w:val="32"/>
          <w:lang w:eastAsia="zh-CN"/>
        </w:rPr>
        <w:t>万元，项目支出</w:t>
      </w:r>
      <w:r>
        <w:rPr>
          <w:rFonts w:hint="eastAsia" w:eastAsia="仿宋_GB2312" w:cs="仿宋_GB2312"/>
          <w:kern w:val="0"/>
          <w:sz w:val="32"/>
          <w:szCs w:val="32"/>
          <w:lang w:val="en-US" w:eastAsia="zh-CN"/>
        </w:rPr>
        <w:t>0</w:t>
      </w:r>
      <w:r>
        <w:rPr>
          <w:rFonts w:hint="eastAsia" w:eastAsia="仿宋_GB2312" w:cs="仿宋_GB2312"/>
          <w:kern w:val="0"/>
          <w:sz w:val="32"/>
          <w:szCs w:val="32"/>
          <w:lang w:eastAsia="zh-CN"/>
        </w:rPr>
        <w:t>万元，详见文尾附表中单位预算公开表格的</w:t>
      </w:r>
      <w:r>
        <w:rPr>
          <w:rFonts w:hint="eastAsia" w:eastAsia="仿宋_GB2312" w:cs="仿宋_GB2312"/>
          <w:kern w:val="0"/>
          <w:sz w:val="32"/>
          <w:szCs w:val="32"/>
          <w:lang w:val="en-US" w:eastAsia="zh-CN"/>
        </w:rPr>
        <w:t>表22-23</w:t>
      </w:r>
      <w:r>
        <w:rPr>
          <w:rFonts w:hint="eastAsia" w:eastAsia="仿宋_GB2312" w:cs="仿宋_GB2312"/>
          <w:kern w:val="0"/>
          <w:sz w:val="32"/>
          <w:szCs w:val="32"/>
          <w:lang w:eastAsia="zh-CN"/>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五</w:t>
      </w:r>
      <w:r>
        <w:rPr>
          <w:rFonts w:hint="eastAsia" w:ascii="黑体" w:hAnsi="黑体" w:eastAsia="黑体" w:cs="黑体"/>
          <w:kern w:val="0"/>
          <w:sz w:val="32"/>
          <w:szCs w:val="32"/>
        </w:rPr>
        <w:t>、名词解释</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eastAsia="仿宋_GB2312" w:cs="仿宋_GB2312"/>
          <w:kern w:val="0"/>
          <w:sz w:val="32"/>
          <w:szCs w:val="32"/>
          <w:lang w:eastAsia="zh-CN"/>
        </w:rPr>
      </w:pPr>
      <w:r>
        <w:rPr>
          <w:rFonts w:hint="eastAsia" w:eastAsia="仿宋_GB2312" w:cs="仿宋_GB2312"/>
          <w:kern w:val="0"/>
          <w:sz w:val="32"/>
          <w:szCs w:val="32"/>
          <w:lang w:eastAsia="zh-CN"/>
        </w:rPr>
        <w:t>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default" w:eastAsia="仿宋_GB2312" w:cs="仿宋_GB2312"/>
          <w:kern w:val="0"/>
          <w:sz w:val="32"/>
          <w:szCs w:val="32"/>
          <w:lang w:val="en-US" w:eastAsia="zh-CN"/>
        </w:rPr>
      </w:pPr>
      <w:r>
        <w:rPr>
          <w:rFonts w:hint="eastAsia" w:eastAsia="仿宋_GB2312" w:cs="仿宋_GB2312"/>
          <w:kern w:val="0"/>
          <w:sz w:val="32"/>
          <w:szCs w:val="32"/>
          <w:lang w:eastAsia="zh-CN"/>
        </w:rPr>
        <w:t>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hint="eastAsia" w:eastAsia="仿宋_GB2312" w:cs="仿宋_GB2312"/>
          <w:kern w:val="0"/>
          <w:sz w:val="32"/>
          <w:szCs w:val="32"/>
          <w:lang w:val="en-US" w:eastAsia="zh-CN"/>
        </w:rPr>
        <w:t xml:space="preserve">               </w:t>
      </w:r>
    </w:p>
    <w:p>
      <w:pPr>
        <w:keepNext w:val="0"/>
        <w:keepLines w:val="0"/>
        <w:pageBreakBefore w:val="0"/>
        <w:widowControl/>
        <w:kinsoku/>
        <w:wordWrap/>
        <w:overflowPunct/>
        <w:topLinePunct w:val="0"/>
        <w:bidi w:val="0"/>
        <w:adjustRightInd/>
        <w:snapToGrid/>
        <w:spacing w:line="600" w:lineRule="exact"/>
        <w:ind w:firstLine="640" w:firstLineChars="200"/>
        <w:jc w:val="center"/>
        <w:textAlignment w:val="auto"/>
        <w:rPr>
          <w:rFonts w:hint="eastAsia" w:eastAsia="黑体" w:cs="黑体"/>
          <w:kern w:val="0"/>
          <w:sz w:val="32"/>
          <w:szCs w:val="32"/>
          <w:lang w:val="en-US" w:eastAsia="zh-CN"/>
        </w:rPr>
      </w:pPr>
      <w:r>
        <w:rPr>
          <w:rFonts w:hint="eastAsia" w:eastAsia="仿宋_GB2312" w:cs="仿宋_GB2312"/>
          <w:kern w:val="0"/>
          <w:sz w:val="32"/>
          <w:szCs w:val="32"/>
          <w:lang w:eastAsia="zh-CN"/>
        </w:rPr>
        <w:br w:type="page"/>
      </w:r>
      <w:r>
        <w:rPr>
          <w:rFonts w:hint="eastAsia" w:eastAsia="黑体" w:cs="黑体"/>
          <w:kern w:val="0"/>
          <w:sz w:val="32"/>
          <w:szCs w:val="32"/>
        </w:rPr>
        <w:t>第二部分</w:t>
      </w:r>
      <w:r>
        <w:rPr>
          <w:rFonts w:hint="eastAsia" w:eastAsia="黑体" w:cs="黑体"/>
          <w:kern w:val="0"/>
          <w:sz w:val="32"/>
          <w:szCs w:val="32"/>
          <w:lang w:val="en-US" w:eastAsia="zh-CN"/>
        </w:rPr>
        <w:t xml:space="preserve">  </w:t>
      </w:r>
      <w:r>
        <w:rPr>
          <w:rFonts w:hint="eastAsia" w:eastAsia="黑体" w:cs="黑体"/>
          <w:kern w:val="0"/>
          <w:sz w:val="32"/>
          <w:szCs w:val="32"/>
          <w:lang w:eastAsia="zh-CN"/>
        </w:rPr>
        <w:t>单位预算</w:t>
      </w:r>
      <w:r>
        <w:rPr>
          <w:rFonts w:hint="eastAsia" w:eastAsia="黑体" w:cs="黑体"/>
          <w:kern w:val="0"/>
          <w:sz w:val="32"/>
          <w:szCs w:val="32"/>
          <w:lang w:val="en-US" w:eastAsia="zh-CN"/>
        </w:rPr>
        <w:t>公开</w:t>
      </w:r>
      <w:r>
        <w:rPr>
          <w:rFonts w:hint="eastAsia" w:eastAsia="黑体" w:cs="黑体"/>
          <w:kern w:val="0"/>
          <w:sz w:val="32"/>
          <w:szCs w:val="32"/>
        </w:rPr>
        <w:t>表</w:t>
      </w:r>
      <w:r>
        <w:rPr>
          <w:rFonts w:hint="eastAsia" w:eastAsia="黑体" w:cs="黑体"/>
          <w:kern w:val="0"/>
          <w:sz w:val="32"/>
          <w:szCs w:val="32"/>
          <w:lang w:val="en-US" w:eastAsia="zh-CN"/>
        </w:rPr>
        <w:t>格</w:t>
      </w:r>
    </w:p>
    <w:p>
      <w:pPr>
        <w:keepNext w:val="0"/>
        <w:keepLines w:val="0"/>
        <w:pageBreakBefore w:val="0"/>
        <w:widowControl/>
        <w:kinsoku/>
        <w:wordWrap/>
        <w:overflowPunct/>
        <w:topLinePunct w:val="0"/>
        <w:bidi w:val="0"/>
        <w:adjustRightInd/>
        <w:snapToGrid/>
        <w:spacing w:line="600" w:lineRule="exact"/>
        <w:ind w:firstLine="11520" w:firstLineChars="3600"/>
        <w:textAlignment w:val="auto"/>
        <w:rPr>
          <w:rFonts w:hint="default" w:eastAsia="黑体" w:cs="黑体"/>
          <w:kern w:val="0"/>
          <w:sz w:val="32"/>
          <w:szCs w:val="32"/>
          <w:lang w:val="en-US" w:eastAsia="zh-CN"/>
        </w:rPr>
      </w:pPr>
      <w:r>
        <w:rPr>
          <w:rFonts w:hint="eastAsia" w:eastAsia="黑体" w:cs="黑体"/>
          <w:kern w:val="0"/>
          <w:sz w:val="32"/>
          <w:szCs w:val="32"/>
          <w:lang w:eastAsia="zh-CN"/>
        </w:rPr>
        <w:t>附件：</w:t>
      </w:r>
      <w:r>
        <w:rPr>
          <w:rFonts w:hint="eastAsia" w:eastAsia="黑体" w:cs="黑体"/>
          <w:kern w:val="0"/>
          <w:sz w:val="32"/>
          <w:szCs w:val="32"/>
          <w:lang w:val="en-US" w:eastAsia="zh-CN"/>
        </w:rPr>
        <w:t>岳阳县市政设施运行维护中心中心预算公开表格</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A37582-1EA2-4276-91E7-4D01E6B5DB4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6AB880F4-BFBC-4D44-A7FA-20F2271DB8AF}"/>
  </w:font>
  <w:font w:name="微软雅黑">
    <w:panose1 w:val="020B0503020204020204"/>
    <w:charset w:val="86"/>
    <w:family w:val="auto"/>
    <w:pitch w:val="default"/>
    <w:sig w:usb0="80000287" w:usb1="280F3C52" w:usb2="00000016" w:usb3="00000000" w:csb0="0004001F" w:csb1="00000000"/>
    <w:embedRegular r:id="rId3" w:fontKey="{C606A3A1-3628-4D08-AFC0-C97234ECECAC}"/>
  </w:font>
  <w:font w:name="仿宋_GB2312">
    <w:panose1 w:val="02010609030101010101"/>
    <w:charset w:val="86"/>
    <w:family w:val="auto"/>
    <w:pitch w:val="default"/>
    <w:sig w:usb0="00000001" w:usb1="080E0000" w:usb2="00000000" w:usb3="00000000" w:csb0="00040000" w:csb1="00000000"/>
    <w:embedRegular r:id="rId4" w:fontKey="{365656D4-A74F-4E64-9854-517D4A27738F}"/>
  </w:font>
  <w:font w:name="仿宋">
    <w:panose1 w:val="02010609060101010101"/>
    <w:charset w:val="86"/>
    <w:family w:val="auto"/>
    <w:pitch w:val="default"/>
    <w:sig w:usb0="800002BF" w:usb1="38CF7CFA" w:usb2="00000016" w:usb3="00000000" w:csb0="00040001" w:csb1="00000000"/>
    <w:embedRegular r:id="rId5" w:fontKey="{0FCD838F-BD9B-4C47-AE71-3883F0BA242D}"/>
  </w:font>
  <w:font w:name="楷体_GB2312">
    <w:panose1 w:val="02010609030101010101"/>
    <w:charset w:val="86"/>
    <w:family w:val="auto"/>
    <w:pitch w:val="default"/>
    <w:sig w:usb0="00000001" w:usb1="080E0000" w:usb2="00000000" w:usb3="00000000" w:csb0="00040000" w:csb1="00000000"/>
    <w:embedRegular r:id="rId6" w:fontKey="{2AF70AB3-212E-422E-8F79-75EF486298A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00CA5057"/>
    <w:rsid w:val="00001697"/>
    <w:rsid w:val="000034D6"/>
    <w:rsid w:val="0006270B"/>
    <w:rsid w:val="00065DA2"/>
    <w:rsid w:val="00117900"/>
    <w:rsid w:val="001336FC"/>
    <w:rsid w:val="00193395"/>
    <w:rsid w:val="001A0136"/>
    <w:rsid w:val="001A3382"/>
    <w:rsid w:val="001A3861"/>
    <w:rsid w:val="001A6377"/>
    <w:rsid w:val="001C6E63"/>
    <w:rsid w:val="001D154A"/>
    <w:rsid w:val="001F365A"/>
    <w:rsid w:val="00203B0A"/>
    <w:rsid w:val="0025517E"/>
    <w:rsid w:val="00270E85"/>
    <w:rsid w:val="002B0968"/>
    <w:rsid w:val="002C117B"/>
    <w:rsid w:val="002F5747"/>
    <w:rsid w:val="002F57F8"/>
    <w:rsid w:val="00344D3D"/>
    <w:rsid w:val="003457B4"/>
    <w:rsid w:val="00355284"/>
    <w:rsid w:val="003C0AE2"/>
    <w:rsid w:val="003C0E16"/>
    <w:rsid w:val="003C62F5"/>
    <w:rsid w:val="003E6642"/>
    <w:rsid w:val="00452611"/>
    <w:rsid w:val="00464A20"/>
    <w:rsid w:val="00466617"/>
    <w:rsid w:val="004711E9"/>
    <w:rsid w:val="00490880"/>
    <w:rsid w:val="0049696B"/>
    <w:rsid w:val="004A0D4C"/>
    <w:rsid w:val="004A798F"/>
    <w:rsid w:val="004B4F1A"/>
    <w:rsid w:val="004B766D"/>
    <w:rsid w:val="004D0879"/>
    <w:rsid w:val="004E302C"/>
    <w:rsid w:val="0054440F"/>
    <w:rsid w:val="005E6320"/>
    <w:rsid w:val="006137D9"/>
    <w:rsid w:val="00617392"/>
    <w:rsid w:val="00637664"/>
    <w:rsid w:val="00687143"/>
    <w:rsid w:val="00695750"/>
    <w:rsid w:val="006C1259"/>
    <w:rsid w:val="006E013D"/>
    <w:rsid w:val="006E335E"/>
    <w:rsid w:val="006F2FD2"/>
    <w:rsid w:val="00714685"/>
    <w:rsid w:val="00754296"/>
    <w:rsid w:val="00755471"/>
    <w:rsid w:val="007B0161"/>
    <w:rsid w:val="007C48A3"/>
    <w:rsid w:val="00812DE3"/>
    <w:rsid w:val="008177B6"/>
    <w:rsid w:val="00832EBB"/>
    <w:rsid w:val="008459F5"/>
    <w:rsid w:val="008511BD"/>
    <w:rsid w:val="00854FCA"/>
    <w:rsid w:val="0085589C"/>
    <w:rsid w:val="008827C7"/>
    <w:rsid w:val="00893563"/>
    <w:rsid w:val="008974A0"/>
    <w:rsid w:val="008C1057"/>
    <w:rsid w:val="008E61DB"/>
    <w:rsid w:val="008E6571"/>
    <w:rsid w:val="009143CB"/>
    <w:rsid w:val="0093410B"/>
    <w:rsid w:val="00990520"/>
    <w:rsid w:val="00995AF1"/>
    <w:rsid w:val="009D1CA3"/>
    <w:rsid w:val="009D450C"/>
    <w:rsid w:val="009E5041"/>
    <w:rsid w:val="009E7921"/>
    <w:rsid w:val="00A0350C"/>
    <w:rsid w:val="00A03C0E"/>
    <w:rsid w:val="00A867C6"/>
    <w:rsid w:val="00AA481C"/>
    <w:rsid w:val="00AB576D"/>
    <w:rsid w:val="00AB6861"/>
    <w:rsid w:val="00AC160E"/>
    <w:rsid w:val="00B0403C"/>
    <w:rsid w:val="00B21CBD"/>
    <w:rsid w:val="00B366B4"/>
    <w:rsid w:val="00B82665"/>
    <w:rsid w:val="00BC04D7"/>
    <w:rsid w:val="00BE4229"/>
    <w:rsid w:val="00BF5A08"/>
    <w:rsid w:val="00C36022"/>
    <w:rsid w:val="00C5316A"/>
    <w:rsid w:val="00CA5057"/>
    <w:rsid w:val="00CB1E6F"/>
    <w:rsid w:val="00CB5C8F"/>
    <w:rsid w:val="00CF2BA3"/>
    <w:rsid w:val="00D1730A"/>
    <w:rsid w:val="00D279D7"/>
    <w:rsid w:val="00D60DAB"/>
    <w:rsid w:val="00D75CFA"/>
    <w:rsid w:val="00D84D40"/>
    <w:rsid w:val="00D96317"/>
    <w:rsid w:val="00DB63BF"/>
    <w:rsid w:val="00DD2BA7"/>
    <w:rsid w:val="00DD573A"/>
    <w:rsid w:val="00E01BD5"/>
    <w:rsid w:val="00E179D0"/>
    <w:rsid w:val="00E24DC7"/>
    <w:rsid w:val="00E419D9"/>
    <w:rsid w:val="00E5547E"/>
    <w:rsid w:val="00E75085"/>
    <w:rsid w:val="00EA5C43"/>
    <w:rsid w:val="00EC052E"/>
    <w:rsid w:val="00F05F5B"/>
    <w:rsid w:val="00F06D7F"/>
    <w:rsid w:val="00F078E9"/>
    <w:rsid w:val="00F24836"/>
    <w:rsid w:val="00F36C19"/>
    <w:rsid w:val="00F74B02"/>
    <w:rsid w:val="00FB0434"/>
    <w:rsid w:val="00FB1B41"/>
    <w:rsid w:val="00FB3CC9"/>
    <w:rsid w:val="00FE2E8C"/>
    <w:rsid w:val="02DF562C"/>
    <w:rsid w:val="032D48E5"/>
    <w:rsid w:val="039837D0"/>
    <w:rsid w:val="04497920"/>
    <w:rsid w:val="069419C6"/>
    <w:rsid w:val="08281851"/>
    <w:rsid w:val="08A92604"/>
    <w:rsid w:val="0AF15A72"/>
    <w:rsid w:val="0C0C6008"/>
    <w:rsid w:val="0C4F7AFC"/>
    <w:rsid w:val="0D5B6622"/>
    <w:rsid w:val="0DA55A8A"/>
    <w:rsid w:val="0E064421"/>
    <w:rsid w:val="0ED234CD"/>
    <w:rsid w:val="0F654CC7"/>
    <w:rsid w:val="0F9E0A26"/>
    <w:rsid w:val="14903A2F"/>
    <w:rsid w:val="15D9563A"/>
    <w:rsid w:val="19420C90"/>
    <w:rsid w:val="19D5374E"/>
    <w:rsid w:val="1A7B5CE6"/>
    <w:rsid w:val="1AC31CB7"/>
    <w:rsid w:val="1BEF6124"/>
    <w:rsid w:val="1EAD2225"/>
    <w:rsid w:val="1F1F1226"/>
    <w:rsid w:val="26570D53"/>
    <w:rsid w:val="27D848B8"/>
    <w:rsid w:val="2CDB483B"/>
    <w:rsid w:val="2FC40521"/>
    <w:rsid w:val="3405688C"/>
    <w:rsid w:val="34622065"/>
    <w:rsid w:val="34E11E02"/>
    <w:rsid w:val="388764A3"/>
    <w:rsid w:val="38B25D8F"/>
    <w:rsid w:val="3BC82B6A"/>
    <w:rsid w:val="3D3766F0"/>
    <w:rsid w:val="3E4D3BDD"/>
    <w:rsid w:val="41DA7DB9"/>
    <w:rsid w:val="43815A8B"/>
    <w:rsid w:val="447637E8"/>
    <w:rsid w:val="45892B57"/>
    <w:rsid w:val="49EF4858"/>
    <w:rsid w:val="4AE9742D"/>
    <w:rsid w:val="4BA67C06"/>
    <w:rsid w:val="4CA46ED7"/>
    <w:rsid w:val="4D013E21"/>
    <w:rsid w:val="4D8D7228"/>
    <w:rsid w:val="4DDD2C7F"/>
    <w:rsid w:val="4F1826FF"/>
    <w:rsid w:val="506C2AB0"/>
    <w:rsid w:val="53344C63"/>
    <w:rsid w:val="55295806"/>
    <w:rsid w:val="55D3446A"/>
    <w:rsid w:val="593F63D3"/>
    <w:rsid w:val="5B423ECD"/>
    <w:rsid w:val="5CDA4DA9"/>
    <w:rsid w:val="62820F98"/>
    <w:rsid w:val="62873CEC"/>
    <w:rsid w:val="64035B71"/>
    <w:rsid w:val="64DB31B9"/>
    <w:rsid w:val="681842B0"/>
    <w:rsid w:val="6AE87D9C"/>
    <w:rsid w:val="6F8561D3"/>
    <w:rsid w:val="70271B5B"/>
    <w:rsid w:val="714E7742"/>
    <w:rsid w:val="71AC0C24"/>
    <w:rsid w:val="773C67F0"/>
    <w:rsid w:val="7DED1C3F"/>
    <w:rsid w:val="7DFA5EB0"/>
    <w:rsid w:val="7E3E73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link w:val="11"/>
    <w:autoRedefine/>
    <w:qFormat/>
    <w:uiPriority w:val="0"/>
    <w:pPr>
      <w:spacing w:after="120"/>
    </w:pPr>
  </w:style>
  <w:style w:type="paragraph" w:styleId="4">
    <w:name w:val="Date"/>
    <w:basedOn w:val="1"/>
    <w:next w:val="1"/>
    <w:link w:val="12"/>
    <w:autoRedefine/>
    <w:qFormat/>
    <w:uiPriority w:val="0"/>
    <w:pPr>
      <w:ind w:left="100" w:leftChars="2500"/>
    </w:pPr>
  </w:style>
  <w:style w:type="paragraph" w:styleId="5">
    <w:name w:val="Balloon Text"/>
    <w:basedOn w:val="1"/>
    <w:link w:val="13"/>
    <w:autoRedefine/>
    <w:semiHidden/>
    <w:qFormat/>
    <w:uiPriority w:val="0"/>
    <w:rPr>
      <w:sz w:val="18"/>
      <w:szCs w:val="18"/>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customStyle="1" w:styleId="11">
    <w:name w:val="Body Text Char"/>
    <w:basedOn w:val="10"/>
    <w:link w:val="3"/>
    <w:autoRedefine/>
    <w:qFormat/>
    <w:locked/>
    <w:uiPriority w:val="0"/>
    <w:rPr>
      <w:rFonts w:eastAsia="宋体"/>
      <w:kern w:val="2"/>
      <w:sz w:val="21"/>
      <w:szCs w:val="21"/>
      <w:lang w:val="en-US" w:eastAsia="zh-CN" w:bidi="ar-SA"/>
    </w:rPr>
  </w:style>
  <w:style w:type="character" w:customStyle="1" w:styleId="12">
    <w:name w:val="Date Char"/>
    <w:basedOn w:val="10"/>
    <w:link w:val="4"/>
    <w:autoRedefine/>
    <w:qFormat/>
    <w:locked/>
    <w:uiPriority w:val="0"/>
    <w:rPr>
      <w:rFonts w:eastAsia="宋体"/>
      <w:kern w:val="2"/>
      <w:sz w:val="21"/>
      <w:szCs w:val="21"/>
      <w:lang w:val="en-US" w:eastAsia="zh-CN" w:bidi="ar-SA"/>
    </w:rPr>
  </w:style>
  <w:style w:type="character" w:customStyle="1" w:styleId="13">
    <w:name w:val="Balloon Text Char"/>
    <w:basedOn w:val="10"/>
    <w:link w:val="5"/>
    <w:autoRedefine/>
    <w:qFormat/>
    <w:locked/>
    <w:uiPriority w:val="0"/>
    <w:rPr>
      <w:rFonts w:eastAsia="宋体"/>
      <w:kern w:val="2"/>
      <w:sz w:val="18"/>
      <w:szCs w:val="18"/>
      <w:lang w:val="en-US" w:eastAsia="zh-CN" w:bidi="ar-SA"/>
    </w:rPr>
  </w:style>
  <w:style w:type="character" w:customStyle="1" w:styleId="14">
    <w:name w:val="Footer Char"/>
    <w:basedOn w:val="10"/>
    <w:link w:val="6"/>
    <w:autoRedefine/>
    <w:qFormat/>
    <w:locked/>
    <w:uiPriority w:val="0"/>
    <w:rPr>
      <w:rFonts w:eastAsia="宋体"/>
      <w:kern w:val="2"/>
      <w:sz w:val="18"/>
      <w:szCs w:val="18"/>
      <w:lang w:val="en-US" w:eastAsia="zh-CN" w:bidi="ar-SA"/>
    </w:rPr>
  </w:style>
  <w:style w:type="character" w:customStyle="1" w:styleId="15">
    <w:name w:val="Header Char"/>
    <w:basedOn w:val="10"/>
    <w:link w:val="7"/>
    <w:autoRedefine/>
    <w:qFormat/>
    <w:locked/>
    <w:uiPriority w:val="0"/>
    <w:rPr>
      <w:rFonts w:eastAsia="宋体"/>
      <w:kern w:val="2"/>
      <w:sz w:val="18"/>
      <w:szCs w:val="18"/>
      <w:lang w:val="en-US" w:eastAsia="zh-CN" w:bidi="ar-SA"/>
    </w:rPr>
  </w:style>
  <w:style w:type="paragraph" w:customStyle="1" w:styleId="16">
    <w:name w:val="表格内容"/>
    <w:basedOn w:val="3"/>
    <w:autoRedefine/>
    <w:qFormat/>
    <w:uiPriority w:val="0"/>
    <w:pPr>
      <w:suppressLineNumbers/>
      <w:suppressAutoHyphens/>
      <w:jc w:val="left"/>
    </w:pPr>
    <w:rPr>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Corporation</Company>
  <Pages>9</Pages>
  <Words>2687</Words>
  <Characters>2902</Characters>
  <Lines>38</Lines>
  <Paragraphs>10</Paragraphs>
  <TotalTime>0</TotalTime>
  <ScaleCrop>false</ScaleCrop>
  <LinksUpToDate>false</LinksUpToDate>
  <CharactersWithSpaces>2925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2018-08-09T00:21:00Z</dcterms:created>
  <dc:creator>周继恩 10.105.113.143</dc:creator>
  <cp:lastModifiedBy>Administrator</cp:lastModifiedBy>
  <cp:lastPrinted>2019-05-05T07:55:00Z</cp:lastPrinted>
  <dcterms:modified xsi:type="dcterms:W3CDTF">2024-03-21T08:16:16Z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9B2DAD9225D747E2B66F20B14DAEFC3C_13</vt:lpwstr>
  </property>
</Properties>
</file>