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color w:val="000000"/>
          <w:kern w:val="0"/>
          <w:sz w:val="72"/>
          <w:szCs w:val="72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72"/>
          <w:szCs w:val="72"/>
          <w:lang w:val="en-US" w:eastAsia="zh-CN" w:bidi="ar"/>
        </w:rPr>
        <w:t>岳阳县动物疫病预防控制中心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pStyle w:val="2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</w:p>
    <w:p>
      <w:pPr>
        <w:pStyle w:val="2"/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pStyle w:val="8"/>
        <w:widowControl/>
        <w:shd w:val="clear" w:fill="FFFFFF"/>
        <w:wordWrap w:val="0"/>
        <w:spacing w:before="0" w:beforeAutospacing="0" w:after="0" w:afterAutospacing="0" w:line="480" w:lineRule="auto"/>
        <w:ind w:left="0" w:right="0" w:firstLine="960" w:firstLineChars="300"/>
        <w:jc w:val="both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eastAsia="仿宋_GB2312" w:cs="仿宋_GB2312"/>
          <w:color w:val="auto"/>
          <w:sz w:val="32"/>
          <w:szCs w:val="32"/>
          <w:shd w:val="clear" w:fill="FFFFFF"/>
          <w:lang w:eastAsia="zh-CN"/>
        </w:rPr>
        <w:t>岳阳县动物疫病预防控制中心负责本县动物疫病的监测、检测、诊断、流行病学调查、疫情报告以及其他预防控制等技术工作；承担动物疫病净化、消灭的技术工作。组织动物防疫工作措施的制订和实施；动物疫病防控物资的供应；承担本县防疫技术陪训；承担本县家畜血防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岳阳县动物疫病预防控制中心属全额拨款事业单位，现在编制数</w:t>
      </w:r>
      <w:r>
        <w:rPr>
          <w:rFonts w:hint="eastAsia" w:eastAsia="仿宋_GB2312" w:cs="仿宋_GB2312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人。内设机构</w:t>
      </w:r>
      <w:r>
        <w:rPr>
          <w:rFonts w:hint="default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个：办公室、财务室、实验室、疫苗室。本单位是隶属于岳阳县畜牧水产发展服务中心的二级机构，无部门预算单位构成。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78.89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78.89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（本单位2024年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16-18（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政府性基金预算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19（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国有资本经营预算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表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专户管理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均为空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收入较去年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26.63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万元，主要是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因为本年度增加了3人预算收入。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left"/>
        <w:rPr>
          <w:rFonts w:hint="default" w:eastAsia="仿宋_GB2312" w:cs="仿宋_GB2312"/>
          <w:kern w:val="0"/>
          <w:sz w:val="32"/>
          <w:szCs w:val="32"/>
          <w:lang w:val="en-US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/>
          <w:sz w:val="32"/>
          <w:szCs w:val="32"/>
          <w:lang w:val="en-US" w:eastAsia="zh-CN"/>
        </w:rPr>
        <w:t>78.89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社会保障和就业支出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7.5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万元、卫生健康支出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4.19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万元、农林水支出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61.9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万元，住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房保障支出</w:t>
      </w:r>
      <w:r>
        <w:rPr>
          <w:rFonts w:hint="eastAsia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5.3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万元。</w:t>
      </w:r>
      <w:r>
        <w:rPr>
          <w:rFonts w:hint="eastAsia"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支出较去年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26.63</w:t>
      </w:r>
      <w:r>
        <w:rPr>
          <w:rFonts w:hint="eastAsia"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基本支出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26.63</w:t>
      </w:r>
      <w:r>
        <w:rPr>
          <w:rFonts w:hint="eastAsia"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万元，项目支出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万元。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其中基本支出较上年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主要是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因为增加了3人预算支出。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78.89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社会保障和就业支出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7.5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，占9.5%；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卫生健康支出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4.19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，占5.3%；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农林水支出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61.9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万元，</w:t>
      </w:r>
      <w:r>
        <w:rPr>
          <w:rFonts w:hint="eastAsia" w:eastAsia="仿宋_GB2312" w:cs="Times New Roman"/>
          <w:sz w:val="32"/>
          <w:szCs w:val="32"/>
          <w:lang w:val="en-US" w:eastAsia="zh-CN" w:bidi="ar"/>
        </w:rPr>
        <w:t>占78.5%；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房保障支出</w:t>
      </w:r>
      <w:r>
        <w:rPr>
          <w:rFonts w:hint="eastAsia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5.3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，占6.7%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78.89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项目预算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2024年政府性基金预算拨款支出预算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无政府性基金安排的支出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所以公开的附件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16-18（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政府性基金预算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为空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8.22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比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上一年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3.48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73.4</w:t>
      </w:r>
      <w:r>
        <w:rPr>
          <w:rFonts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预算人数增加3人，增加了办公经费和公务交通补贴支出。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0.3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0.3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因公出国（境）费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</w:t>
      </w:r>
      <w:r>
        <w:rPr>
          <w:rFonts w:hint="eastAsia" w:eastAsia="仿宋_GB2312" w:cs="仿宋_GB2312"/>
          <w:kern w:val="0"/>
          <w:sz w:val="32"/>
          <w:szCs w:val="32"/>
        </w:rPr>
        <w:t>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与上年度相同。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2024年度本单位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安排会议、培训，未计划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举办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节庆、晚会、</w:t>
      </w:r>
      <w:r>
        <w:rPr>
          <w:rFonts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论坛、赛事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2024年度本单位未安排政府采购预算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eastAsia="仿宋_GB2312"/>
          <w:bCs/>
          <w:kern w:val="0"/>
          <w:sz w:val="32"/>
          <w:szCs w:val="32"/>
        </w:rPr>
        <w:t>拟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报废处置公务用车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0辆，</w:t>
      </w:r>
      <w:r>
        <w:rPr>
          <w:rFonts w:hint="eastAsia" w:eastAsia="仿宋_GB2312" w:cs="仿宋_GB2312"/>
          <w:kern w:val="0"/>
          <w:sz w:val="32"/>
          <w:szCs w:val="32"/>
        </w:rPr>
        <w:t>拟新增配置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，其中</w:t>
      </w:r>
      <w:r>
        <w:rPr>
          <w:rFonts w:hint="eastAsia" w:eastAsia="仿宋_GB2312" w:cs="仿宋_GB2312"/>
          <w:kern w:val="0"/>
          <w:sz w:val="32"/>
          <w:szCs w:val="32"/>
        </w:rPr>
        <w:t>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2024年度本单位未计划处置或新增车辆、设备等）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78.89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78.89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ascii="Times New Roman" w:hAnsi="Times New Roman" w:eastAsia="黑体" w:cs="黑体"/>
          <w:kern w:val="0"/>
          <w:sz w:val="32"/>
          <w:szCs w:val="32"/>
          <w:lang w:val="en-US" w:eastAsia="zh-CN" w:bidi="ar"/>
        </w:rPr>
        <w:t>岳阳县动物疫病预防控制中心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92EF3A-6A59-4C79-8E3F-F5CD7AB67B7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1894B68-8191-40F0-B30C-6A5C2D31D31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B86372AB-109D-40EA-B696-278C5379042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967551F-F6BE-4A6D-9E42-A658D519CA9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4BB0E92-8C36-4787-A1EA-AB7B1C1B32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lZmFiYjIxYzlhMWY4NGQ2ZDA0YTI4OGYyZjljY2E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2D5EB0"/>
    <w:rsid w:val="04497920"/>
    <w:rsid w:val="055119F2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06E62AF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675397F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2BD78C4"/>
    <w:rsid w:val="64035B71"/>
    <w:rsid w:val="64DB31B9"/>
    <w:rsid w:val="681842B0"/>
    <w:rsid w:val="6AE87D9C"/>
    <w:rsid w:val="6B921BA2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autoRedefine/>
    <w:qFormat/>
    <w:uiPriority w:val="0"/>
    <w:pPr>
      <w:spacing w:after="120"/>
    </w:pPr>
  </w:style>
  <w:style w:type="paragraph" w:styleId="4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3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Body Text Char"/>
    <w:basedOn w:val="10"/>
    <w:link w:val="3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252</TotalTime>
  <ScaleCrop>false</ScaleCrop>
  <LinksUpToDate>false</LinksUpToDate>
  <CharactersWithSpaces>2925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LENOVO-BGS</cp:lastModifiedBy>
  <cp:lastPrinted>2019-05-05T07:55:00Z</cp:lastPrinted>
  <dcterms:modified xsi:type="dcterms:W3CDTF">2024-04-07T08:15:13Z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673D1C60E7BD4E07AC2AD4D31AC315A9_13</vt:lpwstr>
  </property>
</Properties>
</file>