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/>
        </w:rPr>
        <w:t>岳阳县</w:t>
      </w:r>
      <w:r>
        <w:t>第一中学集英学</w:t>
      </w:r>
      <w:r>
        <w:rPr>
          <w:rFonts w:hint="eastAsia"/>
        </w:rPr>
        <w:t>校2024年度单位预算</w:t>
      </w:r>
    </w:p>
    <w:p/>
    <w:p>
      <w:r>
        <w:rPr>
          <w:rFonts w:hint="eastAsia"/>
        </w:rPr>
        <w:t>目录</w:t>
      </w:r>
    </w:p>
    <w:p/>
    <w:p>
      <w:r>
        <w:rPr>
          <w:rFonts w:hint="eastAsia"/>
        </w:rPr>
        <w:t>第一部分  2024年单位预算说明</w:t>
      </w:r>
    </w:p>
    <w:p>
      <w:r>
        <w:rPr>
          <w:rFonts w:hint="eastAsia"/>
        </w:rPr>
        <w:t>第二部分  单位预算公开表格</w:t>
      </w:r>
    </w:p>
    <w:p>
      <w:r>
        <w:t>1、收支总表</w:t>
      </w:r>
    </w:p>
    <w:p>
      <w:r>
        <w:t>2、收入总表</w:t>
      </w:r>
    </w:p>
    <w:p>
      <w:r>
        <w:t>3、支出总表</w:t>
      </w:r>
    </w:p>
    <w:p>
      <w:r>
        <w:t>4、支出预算分类汇总表（按政府预算经济分类）</w:t>
      </w:r>
    </w:p>
    <w:p>
      <w:r>
        <w:t>5、支出预算分类汇总表（按部门预算经济分类）</w:t>
      </w:r>
    </w:p>
    <w:p>
      <w:r>
        <w:t>6、财政拨款收支总表</w:t>
      </w:r>
    </w:p>
    <w:p>
      <w:r>
        <w:t>7、一般公共预算支出表</w:t>
      </w:r>
    </w:p>
    <w:p>
      <w:r>
        <w:rPr>
          <w:rFonts w:hint="eastAsia"/>
        </w:rPr>
        <w:t>8</w:t>
      </w:r>
      <w:r>
        <w:t>、</w:t>
      </w:r>
      <w:r>
        <w:rPr>
          <w:rFonts w:hint="eastAsia"/>
        </w:rPr>
        <w:t>一般公共预算基本支出表</w:t>
      </w:r>
    </w:p>
    <w:p>
      <w:r>
        <w:rPr>
          <w:rFonts w:hint="eastAsia"/>
        </w:rPr>
        <w:t>9</w:t>
      </w:r>
      <w:r>
        <w:t>、一般公共预算基本支出表-人员经费（工资福利支出）（按政府预算经济分类）</w:t>
      </w:r>
    </w:p>
    <w:p>
      <w:r>
        <w:rPr>
          <w:rFonts w:hint="eastAsia"/>
        </w:rPr>
        <w:t>10</w:t>
      </w:r>
      <w:r>
        <w:t>、一般公共预算基本支出表-人员经费（工资福利支出）（按部门预算经济分类）</w:t>
      </w:r>
    </w:p>
    <w:p>
      <w:r>
        <w:t>1</w:t>
      </w:r>
      <w:r>
        <w:rPr>
          <w:rFonts w:hint="eastAsia"/>
        </w:rPr>
        <w:t>1</w:t>
      </w:r>
      <w:r>
        <w:t>、一般公共预算基本支出表-人员经费（对个人和家庭的补助）（按政府预算经济分类）</w:t>
      </w:r>
    </w:p>
    <w:p>
      <w:r>
        <w:t>1</w:t>
      </w:r>
      <w:r>
        <w:rPr>
          <w:rFonts w:hint="eastAsia"/>
        </w:rPr>
        <w:t>2</w:t>
      </w:r>
      <w:r>
        <w:t>、一般公共预算基本支出表-人员经费（对个人和家庭的补助）（按部门预算经济分类）</w:t>
      </w:r>
    </w:p>
    <w:p>
      <w:r>
        <w:t>1</w:t>
      </w:r>
      <w:r>
        <w:rPr>
          <w:rFonts w:hint="eastAsia"/>
        </w:rPr>
        <w:t>3</w:t>
      </w:r>
      <w:r>
        <w:t>、一般公共预算基本支出表-</w:t>
      </w:r>
      <w:r>
        <w:rPr>
          <w:rFonts w:hint="eastAsia"/>
        </w:rPr>
        <w:t>公用</w:t>
      </w:r>
      <w:r>
        <w:t>经费（商品和服务支出）（按政府预算经济分类）</w:t>
      </w:r>
    </w:p>
    <w:p>
      <w:r>
        <w:t>1</w:t>
      </w:r>
      <w:r>
        <w:rPr>
          <w:rFonts w:hint="eastAsia"/>
        </w:rPr>
        <w:t>4</w:t>
      </w:r>
      <w:r>
        <w:t>、一般公共预算基本支出表-</w:t>
      </w:r>
      <w:r>
        <w:rPr>
          <w:rFonts w:hint="eastAsia"/>
        </w:rPr>
        <w:t>公用</w:t>
      </w:r>
      <w:r>
        <w:t>经费（商品和服务支出）（按部门预算经济分类）</w:t>
      </w:r>
    </w:p>
    <w:p>
      <w:r>
        <w:t>1</w:t>
      </w:r>
      <w:r>
        <w:rPr>
          <w:rFonts w:hint="eastAsia"/>
        </w:rPr>
        <w:t>5</w:t>
      </w:r>
      <w:r>
        <w:t>、一般公共预算“三公”经费支出表</w:t>
      </w:r>
    </w:p>
    <w:p>
      <w:r>
        <w:t>1</w:t>
      </w:r>
      <w:r>
        <w:rPr>
          <w:rFonts w:hint="eastAsia"/>
        </w:rPr>
        <w:t>6</w:t>
      </w:r>
      <w:r>
        <w:t>、政府性基金预算支出表</w:t>
      </w:r>
    </w:p>
    <w:p>
      <w:r>
        <w:t>1</w:t>
      </w:r>
      <w:r>
        <w:rPr>
          <w:rFonts w:hint="eastAsia"/>
        </w:rPr>
        <w:t>7</w:t>
      </w:r>
      <w:r>
        <w:t>、政府性基金预算支出分类汇总表（按政府预算经济分类）</w:t>
      </w:r>
    </w:p>
    <w:p>
      <w:r>
        <w:t>1</w:t>
      </w:r>
      <w:r>
        <w:rPr>
          <w:rFonts w:hint="eastAsia"/>
        </w:rPr>
        <w:t>8</w:t>
      </w:r>
      <w:r>
        <w:t>、政府性基金预算支出分类汇总表（按部门预算经济分类）</w:t>
      </w:r>
    </w:p>
    <w:p>
      <w:r>
        <w:t>1</w:t>
      </w:r>
      <w:r>
        <w:rPr>
          <w:rFonts w:hint="eastAsia"/>
        </w:rPr>
        <w:t>9</w:t>
      </w:r>
      <w:r>
        <w:t>、国有资本经营预算支出表</w:t>
      </w:r>
    </w:p>
    <w:p>
      <w:r>
        <w:rPr>
          <w:rFonts w:hint="eastAsia"/>
        </w:rPr>
        <w:t>20</w:t>
      </w:r>
      <w:r>
        <w:t>、财政专户管理资金预算支出表</w:t>
      </w:r>
    </w:p>
    <w:p>
      <w:r>
        <w:t>2</w:t>
      </w:r>
      <w:r>
        <w:rPr>
          <w:rFonts w:hint="eastAsia"/>
        </w:rPr>
        <w:t>1</w:t>
      </w:r>
      <w:r>
        <w:t>、专项资金预算汇总表</w:t>
      </w:r>
    </w:p>
    <w:p>
      <w:r>
        <w:t>2</w:t>
      </w:r>
      <w:r>
        <w:rPr>
          <w:rFonts w:hint="eastAsia"/>
        </w:rPr>
        <w:t>2、项目支出</w:t>
      </w:r>
      <w:r>
        <w:t>绩效目标表</w:t>
      </w:r>
    </w:p>
    <w:p>
      <w:r>
        <w:t>2</w:t>
      </w:r>
      <w:r>
        <w:rPr>
          <w:rFonts w:hint="eastAsia"/>
        </w:rPr>
        <w:t>3</w:t>
      </w:r>
      <w:r>
        <w:t>、部门整体支出绩效目标表</w:t>
      </w:r>
    </w:p>
    <w:p>
      <w:r>
        <w:t>注：以上</w:t>
      </w:r>
      <w:r>
        <w:rPr>
          <w:rFonts w:hint="eastAsia"/>
        </w:rPr>
        <w:t>单位预算公开</w:t>
      </w:r>
      <w:r>
        <w:t>报表中，空表表示本</w:t>
      </w:r>
      <w:r>
        <w:rPr>
          <w:rFonts w:hint="eastAsia"/>
        </w:rPr>
        <w:t>单位</w:t>
      </w:r>
      <w:r>
        <w:t>无相关收支情况。</w:t>
      </w:r>
    </w:p>
    <w:p>
      <w:r>
        <w:rPr>
          <w:rFonts w:hint="eastAsia"/>
        </w:rPr>
        <w:br w:type="page"/>
      </w:r>
      <w:r>
        <w:rPr>
          <w:rFonts w:hint="eastAsia"/>
        </w:rPr>
        <w:t>第一部分  2024年单位预算说明</w:t>
      </w:r>
    </w:p>
    <w:p/>
    <w:p>
      <w:r>
        <w:rPr>
          <w:rFonts w:hint="eastAsia"/>
        </w:rPr>
        <w:t>一、单位基本概况</w:t>
      </w:r>
    </w:p>
    <w:p>
      <w:r>
        <w:rPr>
          <w:rFonts w:hint="eastAsia"/>
        </w:rPr>
        <w:t>（一）职能职责</w:t>
      </w:r>
    </w:p>
    <w:p>
      <w:pPr>
        <w:rPr>
          <w:rFonts w:eastAsia="宋体"/>
        </w:rPr>
      </w:pPr>
      <w:r>
        <w:rPr>
          <w:rFonts w:hint="eastAsia"/>
        </w:rPr>
        <w:t>岳阳县第一中学集英学校是一所九年一贯制义务教育公办学校，创建于</w:t>
      </w:r>
      <w:r>
        <w:t>2020</w:t>
      </w:r>
      <w:r>
        <w:rPr>
          <w:rFonts w:hint="eastAsia"/>
        </w:rPr>
        <w:t>年，占地面积</w:t>
      </w:r>
      <w:r>
        <w:t>91</w:t>
      </w:r>
      <w:r>
        <w:rPr>
          <w:rFonts w:hint="eastAsia"/>
        </w:rPr>
        <w:t>亩，建筑面积</w:t>
      </w:r>
      <w:r>
        <w:t>31042</w:t>
      </w:r>
      <w:r>
        <w:rPr>
          <w:rFonts w:hint="eastAsia"/>
        </w:rPr>
        <w:t>平方米，办学规模为</w:t>
      </w:r>
      <w:r>
        <w:t>60</w:t>
      </w:r>
      <w:r>
        <w:rPr>
          <w:rFonts w:hint="eastAsia"/>
        </w:rPr>
        <w:t>个教学班。</w:t>
      </w:r>
    </w:p>
    <w:p>
      <w:r>
        <w:rPr>
          <w:rFonts w:hint="eastAsia"/>
        </w:rPr>
        <w:t>依洞庭湖、新墙河、荣湾湖三水环绕的地域特点，我校确立了“上善若水”的核心理念；承水之灵性、善之德行，确立了“以水载德、以善育人”的文化内涵，将一廉如水（党建清廉）、水润德育（德育）、水墨书香（阅读）、水击三千（体育）、水木年华（劳育）、水滴石穿（教学教研）、鸥水相依（家校共育）、积水成渊（教育基金）、水暖情深（工会）融为一体，办“有担当、有情怀、有文化、有故事”的学校。</w:t>
      </w:r>
    </w:p>
    <w:p>
      <w:r>
        <w:rPr>
          <w:rFonts w:hint="eastAsia"/>
        </w:rPr>
        <w:t>我校先后被评为岳阳县“先进基层党组织”“发展性评价综合先进单位”；岳阳市“文明校园”“平安建设示范学校”“质量先进学校”“中小学心理健康教育特色学校”“课改实验学校”；湖南省“中小学生信息素养提升实践活动优秀组织”“基础教育精品课征集遴选活动优秀组织单位”，湖南省首批劳动教育实验校。</w:t>
      </w:r>
    </w:p>
    <w:p>
      <w:r>
        <w:rPr>
          <w:rFonts w:hint="eastAsia"/>
        </w:rPr>
        <w:t>（二）机构设置</w:t>
      </w:r>
    </w:p>
    <w:p>
      <w:r>
        <w:rPr>
          <w:rFonts w:hint="eastAsia"/>
        </w:rPr>
        <w:t>学校现有</w:t>
      </w:r>
      <w:r>
        <w:t>177</w:t>
      </w:r>
      <w:r>
        <w:rPr>
          <w:rFonts w:hint="eastAsia"/>
        </w:rPr>
        <w:t>名在编教职工，62个教学班，3</w:t>
      </w:r>
      <w:r>
        <w:t>600</w:t>
      </w:r>
      <w:r>
        <w:rPr>
          <w:rFonts w:hint="eastAsia"/>
        </w:rPr>
        <w:t>名学生，设有办公室，德育处，教导处，后勤处，教科室，心理咨询室、初中初一</w:t>
      </w:r>
      <w:r>
        <w:t>至初三</w:t>
      </w:r>
      <w:r>
        <w:rPr>
          <w:rFonts w:hint="eastAsia"/>
        </w:rPr>
        <w:t>年级</w:t>
      </w:r>
      <w:r>
        <w:t>，小学一年级至六年级</w:t>
      </w:r>
      <w:r>
        <w:rPr>
          <w:rFonts w:hint="eastAsia"/>
        </w:rPr>
        <w:t>。</w:t>
      </w:r>
    </w:p>
    <w:p>
      <w:pPr>
        <w:pStyle w:val="2"/>
        <w:ind w:firstLine="480"/>
        <w:rPr>
          <w:rFonts w:hint="eastAsia"/>
        </w:rPr>
      </w:pPr>
    </w:p>
    <w:p>
      <w:r>
        <w:rPr>
          <w:rFonts w:hint="eastAsia"/>
        </w:rPr>
        <w:t>二、单位收支总体情况</w:t>
      </w:r>
    </w:p>
    <w:p>
      <w:r>
        <w:rPr>
          <w:rFonts w:hint="eastAsia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/>
        </w:rPr>
        <w:t>包括一般公共预算、政府性基金、国有资本经营预算等财政拨款收入，以及经营收入、事业收入等单位资金。2024年本单位收入预算2090.72万元，其中，一般公共预算拨款</w:t>
      </w:r>
      <w:r>
        <w:t>1,810.73</w:t>
      </w:r>
      <w:r>
        <w:rPr>
          <w:rFonts w:hint="eastAsia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财政专户管理资金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279.988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（数据来源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</w:rPr>
        <w:t>见表2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</w:rPr>
        <w:t>本单位2024年没有政府性基金预算拨款，也没有使用政府性基金预算拨款、国有资本经营预算收入，所以公开的附件16-18（政府性基金预算）、19（国有资本经营预算）、均为空。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”）本单位2024年以前没有预算到校，不是一级预算单位，因此相关数据无法与上年对比。</w:t>
      </w:r>
    </w:p>
    <w:p>
      <w:r>
        <w:rPr>
          <w:rFonts w:hint="eastAsia"/>
        </w:rPr>
        <w:t>（二）支出预算</w:t>
      </w:r>
    </w:p>
    <w:p>
      <w:r>
        <w:rPr>
          <w:rFonts w:hint="eastAsia"/>
        </w:rPr>
        <w:t>2024年本单位</w:t>
      </w:r>
      <w:r>
        <w:t>支出预算</w:t>
      </w:r>
      <w:r>
        <w:rPr>
          <w:rFonts w:hint="eastAsia"/>
        </w:rPr>
        <w:t>2,090.72</w:t>
      </w:r>
      <w:r>
        <w:t>万元，其中</w:t>
      </w:r>
      <w:r>
        <w:rPr>
          <w:rFonts w:hint="eastAsia"/>
        </w:rPr>
        <w:t>,教育支出1,657.02万元，社会保障和就业支出</w:t>
      </w:r>
      <w:r>
        <w:t>191.50</w:t>
      </w:r>
      <w:r>
        <w:rPr>
          <w:rFonts w:hint="eastAsia"/>
        </w:rPr>
        <w:t>万元,卫生健康支出</w:t>
      </w:r>
      <w:r>
        <w:t>107.02</w:t>
      </w:r>
      <w:r>
        <w:rPr>
          <w:rFonts w:hint="eastAsia"/>
        </w:rPr>
        <w:t>万元，住房保障支出</w:t>
      </w:r>
      <w:r>
        <w:t>135.18。</w:t>
      </w:r>
      <w:r>
        <w:rPr>
          <w:rFonts w:hint="eastAsia"/>
        </w:rPr>
        <w:t>本单位2024年以前</w:t>
      </w:r>
      <w:r>
        <w:t>没有预算到校，不是一级预算单位，因此</w:t>
      </w:r>
      <w:r>
        <w:rPr>
          <w:rFonts w:hint="eastAsia"/>
        </w:rPr>
        <w:t>相关</w:t>
      </w:r>
      <w:r>
        <w:t>数据无法与上年对比。</w:t>
      </w:r>
    </w:p>
    <w:p>
      <w:r>
        <w:rPr>
          <w:rFonts w:hint="eastAsia"/>
        </w:rPr>
        <w:t>三、一般公共预算拨款支出预算</w:t>
      </w:r>
    </w:p>
    <w:p>
      <w:r>
        <w:rPr>
          <w:rFonts w:hint="eastAsia"/>
        </w:rPr>
        <w:t>2024年一般公共预算拨款支出预算</w:t>
      </w:r>
      <w:r>
        <w:t>1,810.73</w:t>
      </w:r>
      <w:r>
        <w:rPr>
          <w:rFonts w:hint="eastAsia"/>
        </w:rPr>
        <w:t>万元，其中</w:t>
      </w:r>
      <w:r>
        <w:t>，</w:t>
      </w:r>
      <w:r>
        <w:rPr>
          <w:rFonts w:hint="eastAsia"/>
        </w:rPr>
        <w:t>教育</w:t>
      </w:r>
      <w:r>
        <w:t>支出1377.04万元，占76.05</w:t>
      </w:r>
      <w:r>
        <w:rPr>
          <w:rFonts w:hint="eastAsia"/>
        </w:rPr>
        <w:t>%，小学教育科目支出</w:t>
      </w:r>
      <w:r>
        <w:t>1377.04</w:t>
      </w:r>
      <w:r>
        <w:rPr>
          <w:rFonts w:hint="eastAsia"/>
        </w:rPr>
        <w:t>万元，占教育</w:t>
      </w:r>
      <w:r>
        <w:t>支出</w:t>
      </w:r>
      <w:r>
        <w:rPr>
          <w:rFonts w:hint="eastAsia"/>
        </w:rPr>
        <w:t>的</w:t>
      </w:r>
      <w:r>
        <w:t>100</w:t>
      </w:r>
      <w:r>
        <w:rPr>
          <w:rFonts w:hint="eastAsia"/>
        </w:rPr>
        <w:t>%；社会保障和就业支出191.50万元</w:t>
      </w:r>
      <w:r>
        <w:t>，占</w:t>
      </w:r>
      <w:r>
        <w:rPr>
          <w:rFonts w:hint="eastAsia"/>
        </w:rPr>
        <w:t>10.58</w:t>
      </w:r>
      <w:r>
        <w:t>%</w:t>
      </w:r>
      <w:r>
        <w:rPr>
          <w:rFonts w:hint="eastAsia"/>
        </w:rPr>
        <w:t>，机关事业单位基本养老保险缴费科目支出180.24万元</w:t>
      </w:r>
      <w:r>
        <w:t>，占</w:t>
      </w:r>
      <w:r>
        <w:rPr>
          <w:rFonts w:hint="eastAsia"/>
        </w:rPr>
        <w:t>社会保障和就业支出的94.12%，其他社会保障和就业支出11.26万元</w:t>
      </w:r>
      <w:r>
        <w:t>，占</w:t>
      </w:r>
      <w:r>
        <w:rPr>
          <w:rFonts w:hint="eastAsia"/>
        </w:rPr>
        <w:t>社会保障和就业支出的</w:t>
      </w:r>
      <w:r>
        <w:t>5.88</w:t>
      </w:r>
      <w:r>
        <w:rPr>
          <w:rFonts w:hint="eastAsia"/>
        </w:rPr>
        <w:t>%；卫生健康支出107.02万元</w:t>
      </w:r>
      <w:r>
        <w:t>，占</w:t>
      </w:r>
      <w:r>
        <w:rPr>
          <w:rFonts w:hint="eastAsia"/>
        </w:rPr>
        <w:t>5.91%，事业单位医疗科目</w:t>
      </w:r>
      <w:r>
        <w:t>支出</w:t>
      </w:r>
      <w:r>
        <w:rPr>
          <w:rFonts w:hint="eastAsia"/>
        </w:rPr>
        <w:t>95.75万元，</w:t>
      </w:r>
      <w:r>
        <w:t>占</w:t>
      </w:r>
      <w:r>
        <w:rPr>
          <w:rFonts w:hint="eastAsia"/>
        </w:rPr>
        <w:t>卫生健康支出的89.47%，公务员医疗补助科目</w:t>
      </w:r>
      <w:r>
        <w:t>支出</w:t>
      </w:r>
      <w:r>
        <w:rPr>
          <w:rFonts w:hint="eastAsia"/>
        </w:rPr>
        <w:t>11.26万元</w:t>
      </w:r>
      <w:r>
        <w:t>，占</w:t>
      </w:r>
      <w:r>
        <w:rPr>
          <w:rFonts w:hint="eastAsia"/>
        </w:rPr>
        <w:t>卫生健康支出的</w:t>
      </w:r>
      <w:r>
        <w:t>10.53</w:t>
      </w:r>
      <w:r>
        <w:rPr>
          <w:rFonts w:hint="eastAsia"/>
        </w:rPr>
        <w:t>%；住房保障支出135.18万元</w:t>
      </w:r>
      <w:r>
        <w:t>，占</w:t>
      </w:r>
      <w:r>
        <w:rPr>
          <w:rFonts w:hint="eastAsia"/>
        </w:rPr>
        <w:t>7.47%，住房公积金科目</w:t>
      </w:r>
      <w:r>
        <w:t>支出</w:t>
      </w:r>
      <w:r>
        <w:rPr>
          <w:rFonts w:hint="eastAsia"/>
        </w:rPr>
        <w:t>135.18万元</w:t>
      </w:r>
      <w:r>
        <w:t>，占</w:t>
      </w:r>
      <w:r>
        <w:rPr>
          <w:rFonts w:hint="eastAsia"/>
        </w:rPr>
        <w:t>住房保障支出的100%，具体安排情况如下：</w:t>
      </w:r>
    </w:p>
    <w:p>
      <w:r>
        <w:rPr>
          <w:rFonts w:hint="eastAsia"/>
        </w:rPr>
        <w:t>（一）基本支出：2024年基本支出年初预算数为</w:t>
      </w:r>
      <w:r>
        <w:t>1,810.73</w:t>
      </w:r>
      <w:r>
        <w:rPr>
          <w:rFonts w:hint="eastAsia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r>
        <w:rPr>
          <w:rFonts w:hint="eastAsia"/>
        </w:rPr>
        <w:t>（二）项目支出：2024年项目支出年初预算数为</w:t>
      </w:r>
      <w:r>
        <w:t>0</w:t>
      </w:r>
      <w:r>
        <w:rPr>
          <w:rFonts w:hint="eastAsia"/>
        </w:rPr>
        <w:t>万元，2024年度本单位无项目预算。</w:t>
      </w:r>
    </w:p>
    <w:p>
      <w:r>
        <w:rPr>
          <w:rFonts w:hint="eastAsia"/>
        </w:rPr>
        <w:t>四、政府性基金预算支出</w:t>
      </w:r>
    </w:p>
    <w:p>
      <w:r>
        <w:rPr>
          <w:rFonts w:hint="eastAsia"/>
        </w:rPr>
        <w:t>2024年度本单位无政府性基金安排的支出，所以公开的附件16-18（政府性基金预算）为空。</w:t>
      </w:r>
    </w:p>
    <w:p>
      <w:r>
        <w:rPr>
          <w:rFonts w:hint="eastAsia"/>
        </w:rPr>
        <w:t>五、其他重要事项的情况说明</w:t>
      </w:r>
    </w:p>
    <w:p>
      <w:r>
        <w:rPr>
          <w:rFonts w:hint="eastAsia"/>
        </w:rPr>
        <w:t>（一）机关运行经费</w:t>
      </w:r>
    </w:p>
    <w:p>
      <w:r>
        <w:rPr>
          <w:rFonts w:hint="eastAsia"/>
        </w:rPr>
        <w:t>本单位2024年机关运行经费当年一般公共预算拨款</w:t>
      </w:r>
      <w:r>
        <w:t>0</w:t>
      </w:r>
      <w:r>
        <w:rPr>
          <w:rFonts w:hint="eastAsia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2024年度本单位无政府性基金安排的支出，所以公开的附件16-18（政府性基金预算）为空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/>
        </w:rPr>
        <w:t>本单位2024年以前</w:t>
      </w:r>
      <w:r>
        <w:t>没有预算到校，不是一级预算单位，因此</w:t>
      </w:r>
      <w:r>
        <w:rPr>
          <w:rFonts w:hint="eastAsia"/>
        </w:rPr>
        <w:t>相关</w:t>
      </w:r>
      <w:r>
        <w:t>数据无法与上年对比。</w:t>
      </w:r>
    </w:p>
    <w:p>
      <w:r>
        <w:rPr>
          <w:rFonts w:hint="eastAsia"/>
        </w:rPr>
        <w:t>（二）“三公”经费预算</w:t>
      </w:r>
    </w:p>
    <w:p>
      <w:pPr>
        <w:widowControl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本单位2024年“三公”经费预算数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万元（数据来源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见表15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），其中，公务接待费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万元，因公出国（境）费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万元，公务用车购置及运行费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万元，其中公务用车购置费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万元，公务用车运行费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万元。本单位2024年以前没有预算到校，不是一级预算单位，因此相关数据无法与上年对比。</w:t>
      </w:r>
    </w:p>
    <w:p>
      <w:r>
        <w:rPr>
          <w:rFonts w:hint="eastAsia"/>
        </w:rPr>
        <w:t>（三）一般性支出情况</w:t>
      </w:r>
    </w:p>
    <w:p>
      <w:pPr>
        <w:widowControl w:val="0"/>
        <w:autoSpaceDE w:val="0"/>
        <w:autoSpaceDN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本单位2024年会议费预算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万元（数据来源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见表14会议费+培训费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</w:rPr>
        <w:t>2024年度本单位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未计划安排会议、培训，未计划举办节庆、晚会、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论坛、赛事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>活动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</w:p>
    <w:p>
      <w:r>
        <w:rPr>
          <w:rFonts w:hint="eastAsia"/>
        </w:rPr>
        <w:t>（四）政府采购情况</w:t>
      </w:r>
    </w:p>
    <w:p>
      <w:pP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本单位2024年政府采购预算总额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万元。（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</w:rPr>
        <w:t>2024年度本单位未安排政府采购预算</w:t>
      </w:r>
      <w:r>
        <w:rPr>
          <w:rFonts w:hint="eastAsia" w:cs="仿宋_GB2312"/>
          <w:color w:val="auto"/>
          <w:kern w:val="0"/>
          <w:sz w:val="32"/>
          <w:szCs w:val="32"/>
          <w:u w:val="single"/>
          <w:lang w:eastAsia="zh-CN"/>
        </w:rPr>
        <w:t>。）</w:t>
      </w:r>
    </w:p>
    <w:p>
      <w:r>
        <w:rPr>
          <w:rFonts w:hint="eastAsia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截至上一年12月底，本单位共有车辆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辆，其中领导干部用车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辆，一般公务用车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辆，其他用车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辆。单位价值50万元以上通用设备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2024年</w:t>
      </w:r>
      <w:r>
        <w:rPr>
          <w:rFonts w:ascii="Times New Roman" w:hAnsi="Times New Roman" w:eastAsia="仿宋_GB2312" w:cs="Times New Roman"/>
          <w:bCs/>
          <w:color w:val="auto"/>
          <w:kern w:val="0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报废处置公务用车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辆，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拟新增配置车辆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辆，其中领导干部用车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辆，一般公务用车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辆，其他用车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辆。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2024年拟新增配备单位价值50万元以上通用设备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台。（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single"/>
        </w:rPr>
        <w:t>2024年度本单位未计划处置或新增车辆、设备等。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</w:p>
    <w:p>
      <w:r>
        <w:rPr>
          <w:rFonts w:hint="eastAsia"/>
        </w:rPr>
        <w:t>（六）预算绩效目标说明</w:t>
      </w:r>
    </w:p>
    <w:p>
      <w:r>
        <w:rPr>
          <w:rFonts w:hint="eastAsia"/>
        </w:rPr>
        <w:t>本单位</w:t>
      </w:r>
      <w:r>
        <w:t>所有支出实行绩效目标管理。纳入</w:t>
      </w:r>
      <w:r>
        <w:rPr>
          <w:rFonts w:hint="eastAsia"/>
        </w:rPr>
        <w:t>2024年单位</w:t>
      </w:r>
      <w:r>
        <w:t>整体支出绩效目标的金额为</w:t>
      </w:r>
      <w:bookmarkStart w:id="0" w:name="_GoBack"/>
      <w:bookmarkEnd w:id="0"/>
      <w:r>
        <w:t>1,810.73万元，其中，基本支出1,810.73万元，项目支出0万元，</w:t>
      </w:r>
      <w:r>
        <w:rPr>
          <w:rFonts w:hint="eastAsia"/>
        </w:rPr>
        <w:t>详见文尾附表中单位预算公开表格的表22-23。</w:t>
      </w:r>
    </w:p>
    <w:p>
      <w:r>
        <w:rPr>
          <w:rFonts w:hint="eastAsia"/>
        </w:rPr>
        <w:t>五、名词解释</w:t>
      </w:r>
    </w:p>
    <w:p>
      <w:r>
        <w:rPr>
          <w:rFonts w:hint="eastAsia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r>
        <w:rPr>
          <w:rFonts w:hint="eastAsia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r>
        <w:rPr>
          <w:rFonts w:hint="eastAsia"/>
        </w:rPr>
        <w:br w:type="page"/>
      </w:r>
      <w:r>
        <w:rPr>
          <w:rFonts w:hint="eastAsia"/>
        </w:rPr>
        <w:t>第二部分  单位预算公开表格</w:t>
      </w:r>
    </w:p>
    <w:p>
      <w:r>
        <w:rPr>
          <w:rFonts w:hint="eastAsia"/>
        </w:rPr>
        <w:t>附件：岳阳县第一中学一中</w:t>
      </w:r>
      <w:r>
        <w:t>集英</w:t>
      </w:r>
      <w:r>
        <w:rPr>
          <w:rFonts w:hint="eastAsia"/>
        </w:rPr>
        <w:t>单位预算公开表格</w:t>
      </w:r>
    </w:p>
    <w:p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MDkwMWQ5ZDI1OGNmM2YyMzFjZGFiZjBhMDhiZDkifQ=="/>
  </w:docVars>
  <w:rsids>
    <w:rsidRoot w:val="00735079"/>
    <w:rsid w:val="00262AD3"/>
    <w:rsid w:val="00412DDD"/>
    <w:rsid w:val="0049447F"/>
    <w:rsid w:val="004F506E"/>
    <w:rsid w:val="00510088"/>
    <w:rsid w:val="005D32C3"/>
    <w:rsid w:val="00735079"/>
    <w:rsid w:val="007F07EF"/>
    <w:rsid w:val="009443B6"/>
    <w:rsid w:val="00A370B2"/>
    <w:rsid w:val="00A5323A"/>
    <w:rsid w:val="00A94BBB"/>
    <w:rsid w:val="00AA2C3C"/>
    <w:rsid w:val="00BA647D"/>
    <w:rsid w:val="00C1435C"/>
    <w:rsid w:val="00C479BB"/>
    <w:rsid w:val="00D31CD9"/>
    <w:rsid w:val="00DB299D"/>
    <w:rsid w:val="00DF3D1B"/>
    <w:rsid w:val="00F766AD"/>
    <w:rsid w:val="01B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600" w:lineRule="exact"/>
      <w:ind w:firstLine="640" w:firstLineChars="200"/>
      <w:jc w:val="both"/>
    </w:pPr>
    <w:rPr>
      <w:rFonts w:ascii="Times New Roman" w:hAnsi="Times New Roman" w:eastAsia="仿宋_GB2312" w:cs="仿宋_GB2312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425</Words>
  <Characters>2429</Characters>
  <Lines>20</Lines>
  <Paragraphs>5</Paragraphs>
  <TotalTime>4</TotalTime>
  <ScaleCrop>false</ScaleCrop>
  <LinksUpToDate>false</LinksUpToDate>
  <CharactersWithSpaces>2849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2024-05-23T14:37:00Z</dcterms:created>
  <dc:creator>Administrator</dc:creator>
  <cp:lastModifiedBy>幺</cp:lastModifiedBy>
  <dcterms:modified xsi:type="dcterms:W3CDTF">2024-05-24T12:09:39Z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C73CCE4368454353A0D1F03500EC7233_13</vt:lpwstr>
  </property>
</Properties>
</file>