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方正小标宋简体" w:eastAsia="方正小标宋简体" w:cs="方正小标宋简体"/>
          <w:b/>
          <w:bCs/>
          <w:color w:val="auto"/>
          <w:kern w:val="0"/>
          <w:sz w:val="72"/>
          <w:szCs w:val="72"/>
          <w:u w:val="none"/>
        </w:rPr>
      </w:pPr>
    </w:p>
    <w:p>
      <w:pPr>
        <w:widowControl/>
        <w:jc w:val="center"/>
        <w:rPr>
          <w:rFonts w:ascii="微软雅黑" w:hAnsi="微软雅黑" w:eastAsia="微软雅黑" w:cs="微软雅黑"/>
          <w:color w:val="auto"/>
          <w:kern w:val="0"/>
          <w:sz w:val="72"/>
          <w:szCs w:val="72"/>
          <w:u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72"/>
          <w:szCs w:val="72"/>
          <w:u w:val="none"/>
          <w:lang w:val="en-US" w:eastAsia="zh-CN"/>
        </w:rPr>
        <w:t>岳阳县教师进修学校</w:t>
      </w:r>
      <w:r>
        <w:rPr>
          <w:rFonts w:hint="eastAsia" w:ascii="微软雅黑" w:hAnsi="微软雅黑" w:eastAsia="微软雅黑" w:cs="微软雅黑"/>
          <w:color w:val="auto"/>
          <w:kern w:val="0"/>
          <w:sz w:val="72"/>
          <w:szCs w:val="72"/>
          <w:u w:val="none"/>
        </w:rPr>
        <w:t>2024年度单位预算</w:t>
      </w:r>
    </w:p>
    <w:p>
      <w:pPr>
        <w:widowControl/>
        <w:ind w:firstLine="880" w:firstLineChars="200"/>
        <w:jc w:val="center"/>
        <w:rPr>
          <w:rFonts w:ascii="黑体" w:hAnsi="黑体" w:eastAsia="黑体" w:cs="黑体"/>
          <w:color w:val="auto"/>
          <w:kern w:val="0"/>
          <w:sz w:val="44"/>
          <w:szCs w:val="44"/>
          <w:u w:val="none"/>
        </w:rPr>
      </w:pPr>
    </w:p>
    <w:p>
      <w:pPr>
        <w:widowControl/>
        <w:ind w:firstLine="880" w:firstLineChars="200"/>
        <w:jc w:val="center"/>
        <w:rPr>
          <w:rFonts w:ascii="黑体" w:hAnsi="黑体" w:eastAsia="黑体" w:cs="黑体"/>
          <w:color w:val="auto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</w:rPr>
        <w:t>目录</w:t>
      </w:r>
    </w:p>
    <w:p>
      <w:pPr>
        <w:widowControl/>
        <w:ind w:firstLine="643" w:firstLineChars="200"/>
        <w:rPr>
          <w:rFonts w:ascii="仿宋_GB2312" w:eastAsia="仿宋_GB2312"/>
          <w:b/>
          <w:bCs/>
          <w:color w:val="auto"/>
          <w:kern w:val="0"/>
          <w:sz w:val="32"/>
          <w:szCs w:val="32"/>
          <w:u w:val="none"/>
        </w:rPr>
      </w:pP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第二部分  单位预算公开表格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8、一般公共预算基本支出表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9、一般公共预算基本支出表-人员经费（工资福利支出）（按政府预算经济分类）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10、一般公共预算基本支出表-人员经费（工资福利支出）（按部门预算经济分类）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11、一般公共预算基本支出表-人员经费（对个人和家庭的补助）（按政府预算经济分类）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12、一般公共预算基本支出表-人员经费（对个人和家庭的补助）（按部门预算经济分类）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13、一般公共预算基本支出表-公用经费（商品和服务支出）（按政府预算经济分类）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14、一般公共预算基本支出表-公用经费（商品和服务支出）（按部门预算经济分类）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15、一般公共预算“三公”经费支出表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16、政府性基金预算支出表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17、政府性基金预算支出分类汇总表（按政府预算经济分类）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18、政府性基金预算支出分类汇总表（按部门预算经济分类）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19、国有资本经营预算支出表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20、财政专户管理资金预算支出表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21、专项资金预算汇总表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22、项目支出绩效目标表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23、部门整体支出绩效目标表</w:t>
      </w:r>
    </w:p>
    <w:p>
      <w:pPr>
        <w:widowControl/>
        <w:spacing w:line="600" w:lineRule="exact"/>
        <w:ind w:firstLine="640" w:firstLineChars="200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</w:p>
    <w:p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一、单位基本概况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（一）</w:t>
      </w:r>
      <w:bookmarkStart w:id="0" w:name="OLE_LINK1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职能职责</w:t>
      </w:r>
      <w:bookmarkEnd w:id="0"/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负责培训教师及教育行政干部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办公室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、教导处、总务处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二、单位收支总体情况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（一）收入预算</w:t>
      </w:r>
    </w:p>
    <w:p>
      <w:pPr>
        <w:spacing w:line="520" w:lineRule="exact"/>
        <w:ind w:firstLine="66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151.56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万元，其中，一般公共预算拨款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151.56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万元，本单位2024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本单位2024年以前没有预算到校，不是一级预算单位，因此相关数据无法与上年对比。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2024年本单位支出预算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151.56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万元，其中，教育支出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15.7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，卫生健康支出8.77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11.08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本单位2024年以前没有预算到校，不是一级预算单位，因此相关数据无法与上年对比。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2024年一般公共预算拨款支出预算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151.56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万元，其中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，教育支出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76.7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15.7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10.3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卫生健康支出8.77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5.8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%；住房保障支出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11.08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7.3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具体安排情况如下：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（一）基本支出：2024年基本支出年初预算数为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151.56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（二）项目支出：2024年项目支出年初预算数为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2024年度本单位无项目预算。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四、政府性基金预算支出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2024年政府性基金预算拨款支出预算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元，2024年度本单位无政府性基金安排的支出，所以公开的附件16-18（政府性基金预算）为空。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五、其他重要事项的情况说明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（一）机关运行经费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本单位2024年机关运行经费当年一般公共预算拨款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5.94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本单位2024年以前没有预算到校，不是一级预算单位，因此相关数据无法与上年对比。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（二）“三公”经费预算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本单位2024年“三公”经费预算数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本单位2024年以前没有预算到校，不是一级预算单位，因此相关数据无法与上年对比。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（三）一般性支出情况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本单位2024年会议费预算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2024年度本单位未计划安排会议、未计划举办节庆、晚会、论坛、赛事活动。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本单位2024年政府采购预算总额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元，其中工程类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元，货物类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元，服务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元。2024年度本单位未安排政府采购预算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（五）国有资产占有使用及新增资产配置情况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截至上一年12月底，本单位共有车辆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辆，其中领导干部用车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辆，一般公务用车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辆，其他用车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辆。单位价值50万元以上通用设备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台。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2024年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</w:rPr>
        <w:t>拟报废处置公务用车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</w:rPr>
        <w:t>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拟新增配置车辆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辆，其中领导干部用车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辆，一般公务用车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辆，其他用车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辆。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2024年拟新增配备单位价值50万元以上通用设备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台。2024年度本单位未计划处置或新增车辆、设备。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t>（六）预算绩效目标说明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</w:rPr>
        <w:t>本单位所有支出实行绩效目标管理。纳入2024年单位整体支出绩效目标的金额为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151.56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</w:rPr>
        <w:t>万元，其中，基本支出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151.56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</w:rPr>
        <w:t>万元，项目支出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u w:val="none"/>
        </w:rPr>
        <w:t>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详见文尾附表中单位预算公开表格的表22-23。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六、名词解释</w:t>
      </w:r>
      <w:bookmarkStart w:id="1" w:name="_GoBack"/>
      <w:bookmarkEnd w:id="1"/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eastAsia="黑体" w:cs="黑体"/>
          <w:color w:val="auto"/>
          <w:kern w:val="0"/>
          <w:sz w:val="32"/>
          <w:szCs w:val="32"/>
          <w:u w:val="none"/>
        </w:rPr>
        <w:br w:type="page"/>
      </w:r>
      <w:r>
        <w:rPr>
          <w:rFonts w:hint="eastAsia" w:eastAsia="黑体" w:cs="黑体"/>
          <w:color w:val="auto"/>
          <w:kern w:val="0"/>
          <w:sz w:val="32"/>
          <w:szCs w:val="32"/>
          <w:u w:val="none"/>
        </w:rPr>
        <w:t>第二部分  单位预算公开表格</w:t>
      </w:r>
    </w:p>
    <w:p>
      <w:pPr>
        <w:widowControl/>
        <w:spacing w:line="600" w:lineRule="exact"/>
        <w:ind w:firstLine="11520" w:firstLineChars="3600"/>
        <w:rPr>
          <w:rFonts w:eastAsia="黑体" w:cs="黑体"/>
          <w:color w:val="auto"/>
          <w:kern w:val="0"/>
          <w:sz w:val="32"/>
          <w:szCs w:val="32"/>
          <w:u w:val="none"/>
        </w:rPr>
      </w:pPr>
      <w:r>
        <w:rPr>
          <w:rFonts w:hint="eastAsia" w:eastAsia="黑体" w:cs="黑体"/>
          <w:color w:val="auto"/>
          <w:kern w:val="0"/>
          <w:sz w:val="32"/>
          <w:szCs w:val="32"/>
          <w:u w:val="none"/>
        </w:rPr>
        <w:t>附</w:t>
      </w:r>
      <w:r>
        <w:rPr>
          <w:rFonts w:hint="eastAsia" w:eastAsia="黑体" w:cs="黑体"/>
          <w:color w:val="auto"/>
          <w:kern w:val="0"/>
          <w:sz w:val="32"/>
          <w:szCs w:val="32"/>
          <w:u w:val="none"/>
          <w:lang w:val="en-US" w:eastAsia="zh-CN"/>
        </w:rPr>
        <w:t>附</w:t>
      </w:r>
      <w:r>
        <w:rPr>
          <w:rFonts w:hint="eastAsia" w:eastAsia="黑体" w:cs="黑体"/>
          <w:color w:val="auto"/>
          <w:kern w:val="0"/>
          <w:sz w:val="32"/>
          <w:szCs w:val="32"/>
          <w:u w:val="none"/>
        </w:rPr>
        <w:t>件：岳阳县进修学校2024年部门预算公开表</w:t>
      </w:r>
    </w:p>
    <w:p>
      <w:pPr>
        <w:rPr>
          <w:color w:val="auto"/>
          <w:u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2MzMzOTMxMWZhYzQwYTNiNzQ5Nzk1YzZkNDVhNTQifQ=="/>
  </w:docVars>
  <w:rsids>
    <w:rsidRoot w:val="00735079"/>
    <w:rsid w:val="00735079"/>
    <w:rsid w:val="00AA2C3C"/>
    <w:rsid w:val="014A19CE"/>
    <w:rsid w:val="14520361"/>
    <w:rsid w:val="1F54277C"/>
    <w:rsid w:val="238E1AE4"/>
    <w:rsid w:val="249E2D4F"/>
    <w:rsid w:val="363F3CD8"/>
    <w:rsid w:val="4EAF1904"/>
    <w:rsid w:val="54DD7C17"/>
    <w:rsid w:val="6472797F"/>
    <w:rsid w:val="790064A8"/>
    <w:rsid w:val="7CC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447</Words>
  <Characters>2553</Characters>
  <Lines>21</Lines>
  <Paragraphs>5</Paragraphs>
  <TotalTime>34</TotalTime>
  <ScaleCrop>false</ScaleCrop>
  <LinksUpToDate>false</LinksUpToDate>
  <CharactersWithSpaces>2995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2024-05-21T00:27:00Z</dcterms:created>
  <dc:creator>Administrator</dc:creator>
  <cp:lastModifiedBy>WPS_1666334357</cp:lastModifiedBy>
  <dcterms:modified xsi:type="dcterms:W3CDTF">2024-05-22T00:58:23Z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B6AD261FF4B24A2EAD320E2BF3B35FB8_12</vt:lpwstr>
  </property>
</Properties>
</file>