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方正小标宋简体" w:hAnsi="方正小标宋简体" w:eastAsia="方正小标宋简体" w:cs="方正小标宋简体"/>
          <w:b/>
          <w:bCs/>
          <w:color w:val="auto"/>
          <w:kern w:val="0"/>
          <w:sz w:val="72"/>
          <w:szCs w:val="72"/>
        </w:rPr>
      </w:pPr>
    </w:p>
    <w:p>
      <w:pPr>
        <w:widowControl/>
        <w:jc w:val="center"/>
        <w:rPr>
          <w:rFonts w:ascii="微软雅黑" w:hAnsi="微软雅黑" w:eastAsia="微软雅黑" w:cs="微软雅黑"/>
          <w:b/>
          <w:bCs/>
          <w:kern w:val="0"/>
          <w:sz w:val="48"/>
          <w:szCs w:val="48"/>
        </w:rPr>
      </w:pPr>
      <w:r>
        <w:rPr>
          <w:rFonts w:hint="eastAsia" w:ascii="微软雅黑" w:hAnsi="微软雅黑" w:eastAsia="微软雅黑" w:cs="微软雅黑"/>
          <w:b/>
          <w:bCs/>
          <w:kern w:val="0"/>
          <w:sz w:val="48"/>
          <w:szCs w:val="48"/>
          <w:lang w:eastAsia="zh-CN"/>
        </w:rPr>
        <w:t>岳阳县</w:t>
      </w:r>
      <w:r>
        <w:rPr>
          <w:rFonts w:hint="eastAsia" w:ascii="微软雅黑" w:hAnsi="微软雅黑" w:eastAsia="微软雅黑" w:cs="微软雅黑"/>
          <w:b/>
          <w:bCs/>
          <w:kern w:val="0"/>
          <w:sz w:val="48"/>
          <w:szCs w:val="48"/>
          <w:lang w:val="en-US" w:eastAsia="zh-CN"/>
        </w:rPr>
        <w:t>明德小学</w:t>
      </w:r>
      <w:r>
        <w:rPr>
          <w:rFonts w:hint="eastAsia" w:ascii="微软雅黑" w:hAnsi="微软雅黑" w:eastAsia="微软雅黑" w:cs="微软雅黑"/>
          <w:b/>
          <w:bCs/>
          <w:kern w:val="0"/>
          <w:sz w:val="48"/>
          <w:szCs w:val="48"/>
        </w:rPr>
        <w:t>单位2024年度</w:t>
      </w:r>
    </w:p>
    <w:p>
      <w:pPr>
        <w:widowControl/>
        <w:jc w:val="center"/>
        <w:rPr>
          <w:rFonts w:ascii="微软雅黑" w:hAnsi="微软雅黑" w:eastAsia="微软雅黑" w:cs="微软雅黑"/>
          <w:b/>
          <w:bCs/>
          <w:kern w:val="0"/>
          <w:sz w:val="48"/>
          <w:szCs w:val="48"/>
        </w:rPr>
      </w:pPr>
      <w:r>
        <w:rPr>
          <w:rFonts w:hint="eastAsia" w:ascii="微软雅黑" w:hAnsi="微软雅黑" w:eastAsia="微软雅黑" w:cs="微软雅黑"/>
          <w:b/>
          <w:bCs/>
          <w:kern w:val="0"/>
          <w:sz w:val="48"/>
          <w:szCs w:val="48"/>
        </w:rPr>
        <w:t>单位预算</w:t>
      </w:r>
    </w:p>
    <w:p>
      <w:pPr>
        <w:widowControl/>
        <w:ind w:firstLine="880" w:firstLineChars="200"/>
        <w:jc w:val="center"/>
        <w:rPr>
          <w:rFonts w:ascii="黑体" w:hAnsi="黑体" w:eastAsia="黑体" w:cs="黑体"/>
          <w:kern w:val="0"/>
          <w:sz w:val="44"/>
          <w:szCs w:val="44"/>
        </w:rPr>
      </w:pPr>
    </w:p>
    <w:p>
      <w:pPr>
        <w:widowControl/>
        <w:jc w:val="center"/>
        <w:rPr>
          <w:rFonts w:ascii="黑体" w:hAnsi="黑体" w:eastAsia="黑体" w:cs="黑体"/>
          <w:kern w:val="0"/>
          <w:sz w:val="44"/>
          <w:szCs w:val="44"/>
        </w:rPr>
      </w:pPr>
      <w:r>
        <w:rPr>
          <w:rFonts w:hint="eastAsia" w:ascii="黑体" w:hAnsi="黑体" w:eastAsia="黑体" w:cs="黑体"/>
          <w:kern w:val="0"/>
          <w:sz w:val="44"/>
          <w:szCs w:val="44"/>
        </w:rPr>
        <w:t>目录</w:t>
      </w:r>
    </w:p>
    <w:p>
      <w:pPr>
        <w:widowControl/>
        <w:ind w:firstLine="643" w:firstLineChars="200"/>
        <w:rPr>
          <w:rFonts w:ascii="仿宋_GB2312" w:eastAsia="仿宋_GB2312"/>
          <w:b/>
          <w:bCs/>
          <w:kern w:val="0"/>
          <w:sz w:val="32"/>
          <w:szCs w:val="32"/>
        </w:rPr>
      </w:pPr>
    </w:p>
    <w:p>
      <w:pPr>
        <w:widowControl/>
        <w:numPr>
          <w:ilvl w:val="0"/>
          <w:numId w:val="1"/>
        </w:numPr>
        <w:spacing w:line="600" w:lineRule="exact"/>
        <w:ind w:firstLine="640" w:firstLineChars="200"/>
        <w:rPr>
          <w:rFonts w:hint="eastAsia" w:eastAsia="黑体" w:cs="黑体"/>
          <w:kern w:val="0"/>
          <w:sz w:val="32"/>
          <w:szCs w:val="32"/>
        </w:rPr>
      </w:pPr>
      <w:r>
        <w:rPr>
          <w:rFonts w:hint="eastAsia" w:eastAsia="黑体" w:cs="黑体"/>
          <w:kern w:val="0"/>
          <w:sz w:val="32"/>
          <w:szCs w:val="32"/>
        </w:rPr>
        <w:t xml:space="preserve"> 2024年单位预算说明</w:t>
      </w:r>
    </w:p>
    <w:p>
      <w:pPr>
        <w:pStyle w:val="2"/>
        <w:numPr>
          <w:ilvl w:val="0"/>
          <w:numId w:val="0"/>
        </w:numPr>
        <w:rPr>
          <w:sz w:val="32"/>
          <w:szCs w:val="32"/>
        </w:rPr>
      </w:pPr>
      <w:r>
        <w:rPr>
          <w:sz w:val="32"/>
          <w:szCs w:val="32"/>
        </w:rPr>
        <w:t>一、部门基本概况</w:t>
      </w:r>
    </w:p>
    <w:p>
      <w:pPr>
        <w:pStyle w:val="2"/>
        <w:numPr>
          <w:ilvl w:val="0"/>
          <w:numId w:val="0"/>
        </w:numPr>
        <w:rPr>
          <w:sz w:val="32"/>
          <w:szCs w:val="32"/>
        </w:rPr>
      </w:pPr>
      <w:r>
        <w:rPr>
          <w:sz w:val="32"/>
          <w:szCs w:val="32"/>
        </w:rPr>
        <w:t>　　（一）职能职责</w:t>
      </w:r>
    </w:p>
    <w:p>
      <w:pPr>
        <w:pStyle w:val="2"/>
        <w:numPr>
          <w:ilvl w:val="0"/>
          <w:numId w:val="0"/>
        </w:numPr>
        <w:rPr>
          <w:sz w:val="32"/>
          <w:szCs w:val="32"/>
        </w:rPr>
      </w:pPr>
      <w:r>
        <w:rPr>
          <w:sz w:val="32"/>
          <w:szCs w:val="32"/>
        </w:rPr>
        <w:t>　　（二）机构设置</w:t>
      </w:r>
    </w:p>
    <w:p>
      <w:pPr>
        <w:pStyle w:val="2"/>
        <w:numPr>
          <w:ilvl w:val="0"/>
          <w:numId w:val="0"/>
        </w:numPr>
        <w:rPr>
          <w:sz w:val="32"/>
          <w:szCs w:val="32"/>
        </w:rPr>
      </w:pPr>
      <w:r>
        <w:rPr>
          <w:sz w:val="32"/>
          <w:szCs w:val="32"/>
        </w:rPr>
        <w:t>二、部门预算单位构成</w:t>
      </w:r>
    </w:p>
    <w:p>
      <w:pPr>
        <w:pStyle w:val="2"/>
        <w:numPr>
          <w:ilvl w:val="0"/>
          <w:numId w:val="0"/>
        </w:numPr>
        <w:rPr>
          <w:sz w:val="32"/>
          <w:szCs w:val="32"/>
        </w:rPr>
      </w:pPr>
      <w:r>
        <w:rPr>
          <w:sz w:val="32"/>
          <w:szCs w:val="32"/>
        </w:rPr>
        <w:t>三、部门收支总体情况</w:t>
      </w:r>
    </w:p>
    <w:p>
      <w:pPr>
        <w:pStyle w:val="2"/>
        <w:numPr>
          <w:ilvl w:val="0"/>
          <w:numId w:val="0"/>
        </w:numPr>
        <w:rPr>
          <w:sz w:val="32"/>
          <w:szCs w:val="32"/>
        </w:rPr>
      </w:pPr>
      <w:r>
        <w:rPr>
          <w:sz w:val="32"/>
          <w:szCs w:val="32"/>
        </w:rPr>
        <w:t>　　（一）收入预算</w:t>
      </w:r>
    </w:p>
    <w:p>
      <w:pPr>
        <w:pStyle w:val="2"/>
        <w:numPr>
          <w:ilvl w:val="0"/>
          <w:numId w:val="0"/>
        </w:numPr>
        <w:rPr>
          <w:sz w:val="32"/>
          <w:szCs w:val="32"/>
        </w:rPr>
      </w:pPr>
      <w:r>
        <w:rPr>
          <w:sz w:val="32"/>
          <w:szCs w:val="32"/>
        </w:rPr>
        <w:t>　　（二）支出预算</w:t>
      </w:r>
    </w:p>
    <w:p>
      <w:pPr>
        <w:pStyle w:val="2"/>
        <w:numPr>
          <w:ilvl w:val="0"/>
          <w:numId w:val="0"/>
        </w:numPr>
        <w:rPr>
          <w:sz w:val="32"/>
          <w:szCs w:val="32"/>
        </w:rPr>
      </w:pPr>
      <w:r>
        <w:rPr>
          <w:sz w:val="32"/>
          <w:szCs w:val="32"/>
        </w:rPr>
        <w:t>四、一般公共预算拨款支出预算</w:t>
      </w:r>
    </w:p>
    <w:p>
      <w:pPr>
        <w:pStyle w:val="2"/>
        <w:numPr>
          <w:ilvl w:val="0"/>
          <w:numId w:val="0"/>
        </w:numPr>
        <w:rPr>
          <w:sz w:val="32"/>
          <w:szCs w:val="32"/>
        </w:rPr>
      </w:pPr>
      <w:r>
        <w:rPr>
          <w:sz w:val="32"/>
          <w:szCs w:val="32"/>
        </w:rPr>
        <w:t>　　（一）基本支出</w:t>
      </w:r>
    </w:p>
    <w:p>
      <w:pPr>
        <w:pStyle w:val="2"/>
        <w:numPr>
          <w:ilvl w:val="0"/>
          <w:numId w:val="0"/>
        </w:numPr>
        <w:rPr>
          <w:sz w:val="32"/>
          <w:szCs w:val="32"/>
        </w:rPr>
      </w:pPr>
      <w:r>
        <w:rPr>
          <w:sz w:val="32"/>
          <w:szCs w:val="32"/>
        </w:rPr>
        <w:t>　　（二）项目支出</w:t>
      </w:r>
    </w:p>
    <w:p>
      <w:pPr>
        <w:pStyle w:val="2"/>
        <w:numPr>
          <w:ilvl w:val="0"/>
          <w:numId w:val="0"/>
        </w:numPr>
        <w:rPr>
          <w:sz w:val="32"/>
          <w:szCs w:val="32"/>
        </w:rPr>
      </w:pPr>
      <w:r>
        <w:rPr>
          <w:sz w:val="32"/>
          <w:szCs w:val="32"/>
        </w:rPr>
        <w:t>五、政府性基金预算支出</w:t>
      </w:r>
    </w:p>
    <w:p>
      <w:pPr>
        <w:pStyle w:val="2"/>
        <w:numPr>
          <w:ilvl w:val="0"/>
          <w:numId w:val="0"/>
        </w:numPr>
        <w:rPr>
          <w:sz w:val="32"/>
          <w:szCs w:val="32"/>
        </w:rPr>
      </w:pPr>
      <w:r>
        <w:rPr>
          <w:sz w:val="32"/>
          <w:szCs w:val="32"/>
        </w:rPr>
        <w:t>六、其他重要事项的情况说明</w:t>
      </w:r>
    </w:p>
    <w:p>
      <w:pPr>
        <w:pStyle w:val="2"/>
        <w:numPr>
          <w:ilvl w:val="0"/>
          <w:numId w:val="0"/>
        </w:numPr>
        <w:rPr>
          <w:sz w:val="32"/>
          <w:szCs w:val="32"/>
        </w:rPr>
      </w:pPr>
      <w:r>
        <w:rPr>
          <w:sz w:val="32"/>
          <w:szCs w:val="32"/>
        </w:rPr>
        <w:t>　　（一）机关运行经费</w:t>
      </w:r>
    </w:p>
    <w:p>
      <w:pPr>
        <w:pStyle w:val="2"/>
        <w:numPr>
          <w:ilvl w:val="0"/>
          <w:numId w:val="0"/>
        </w:numPr>
        <w:rPr>
          <w:sz w:val="32"/>
          <w:szCs w:val="32"/>
        </w:rPr>
      </w:pPr>
      <w:r>
        <w:rPr>
          <w:sz w:val="32"/>
          <w:szCs w:val="32"/>
        </w:rPr>
        <w:t>　　（二）“三公”经费预算</w:t>
      </w:r>
    </w:p>
    <w:p>
      <w:pPr>
        <w:pStyle w:val="2"/>
        <w:numPr>
          <w:ilvl w:val="0"/>
          <w:numId w:val="0"/>
        </w:numPr>
        <w:rPr>
          <w:sz w:val="32"/>
          <w:szCs w:val="32"/>
        </w:rPr>
      </w:pPr>
      <w:r>
        <w:rPr>
          <w:sz w:val="32"/>
          <w:szCs w:val="32"/>
        </w:rPr>
        <w:t>　　（三）一般性支出情况</w:t>
      </w:r>
    </w:p>
    <w:p>
      <w:pPr>
        <w:pStyle w:val="2"/>
        <w:numPr>
          <w:ilvl w:val="0"/>
          <w:numId w:val="0"/>
        </w:numPr>
        <w:rPr>
          <w:sz w:val="32"/>
          <w:szCs w:val="32"/>
        </w:rPr>
      </w:pPr>
      <w:r>
        <w:rPr>
          <w:sz w:val="32"/>
          <w:szCs w:val="32"/>
        </w:rPr>
        <w:t>　　（四）政府采购情况</w:t>
      </w:r>
    </w:p>
    <w:p>
      <w:pPr>
        <w:pStyle w:val="2"/>
        <w:numPr>
          <w:ilvl w:val="0"/>
          <w:numId w:val="0"/>
        </w:numPr>
        <w:rPr>
          <w:sz w:val="32"/>
          <w:szCs w:val="32"/>
        </w:rPr>
      </w:pPr>
      <w:r>
        <w:rPr>
          <w:sz w:val="32"/>
          <w:szCs w:val="32"/>
        </w:rPr>
        <w:t>　　（五）国有资产占有使用情况及新增资产配置情况</w:t>
      </w:r>
    </w:p>
    <w:p>
      <w:pPr>
        <w:pStyle w:val="2"/>
        <w:numPr>
          <w:ilvl w:val="0"/>
          <w:numId w:val="0"/>
        </w:numPr>
        <w:rPr>
          <w:sz w:val="32"/>
          <w:szCs w:val="32"/>
        </w:rPr>
      </w:pPr>
      <w:r>
        <w:rPr>
          <w:sz w:val="32"/>
          <w:szCs w:val="32"/>
        </w:rPr>
        <w:t>　　（</w:t>
      </w:r>
      <w:r>
        <w:rPr>
          <w:rFonts w:hint="eastAsia"/>
          <w:sz w:val="32"/>
          <w:szCs w:val="32"/>
          <w:lang w:eastAsia="zh-CN"/>
        </w:rPr>
        <w:t>六</w:t>
      </w:r>
      <w:r>
        <w:rPr>
          <w:sz w:val="32"/>
          <w:szCs w:val="32"/>
        </w:rPr>
        <w:t>）重点项目预算的绩效目标等预算绩效情况说明</w:t>
      </w:r>
    </w:p>
    <w:p>
      <w:pPr>
        <w:pStyle w:val="2"/>
        <w:numPr>
          <w:ilvl w:val="0"/>
          <w:numId w:val="0"/>
        </w:numPr>
        <w:rPr>
          <w:sz w:val="32"/>
          <w:szCs w:val="32"/>
        </w:rPr>
      </w:pPr>
      <w:r>
        <w:rPr>
          <w:sz w:val="32"/>
          <w:szCs w:val="32"/>
        </w:rPr>
        <w:t>七、名词解释</w:t>
      </w:r>
    </w:p>
    <w:p>
      <w:pPr>
        <w:pStyle w:val="2"/>
        <w:numPr>
          <w:ilvl w:val="0"/>
          <w:numId w:val="0"/>
        </w:numPr>
      </w:pPr>
    </w:p>
    <w:p>
      <w:pPr>
        <w:widowControl/>
        <w:spacing w:line="600" w:lineRule="exact"/>
        <w:ind w:firstLine="640" w:firstLineChars="200"/>
        <w:rPr>
          <w:rFonts w:eastAsia="黑体" w:cs="黑体"/>
          <w:kern w:val="0"/>
          <w:sz w:val="32"/>
          <w:szCs w:val="32"/>
        </w:rPr>
      </w:pPr>
      <w:r>
        <w:rPr>
          <w:rFonts w:hint="eastAsia" w:eastAsia="黑体" w:cs="黑体"/>
          <w:kern w:val="0"/>
          <w:sz w:val="32"/>
          <w:szCs w:val="32"/>
        </w:rPr>
        <w:t>第二部分  单位预算公开表格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2、项目支出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、部门整体支出绩效目标表</w:t>
      </w:r>
    </w:p>
    <w:p>
      <w:pPr>
        <w:widowControl/>
        <w:spacing w:line="600" w:lineRule="exact"/>
        <w:ind w:firstLine="643" w:firstLineChars="200"/>
        <w:rPr>
          <w:rFonts w:eastAsia="仿宋_GB2312" w:cs="仿宋_GB2312"/>
          <w:color w:val="FF0000"/>
          <w:kern w:val="0"/>
          <w:sz w:val="32"/>
          <w:szCs w:val="32"/>
        </w:rPr>
      </w:pPr>
      <w:r>
        <w:rPr>
          <w:rFonts w:eastAsia="仿宋_GB2312"/>
          <w:b/>
          <w:color w:val="FF0000"/>
          <w:kern w:val="0"/>
          <w:sz w:val="32"/>
          <w:szCs w:val="32"/>
        </w:rPr>
        <w:t>注：以上</w:t>
      </w:r>
      <w:r>
        <w:rPr>
          <w:rFonts w:hint="eastAsia" w:eastAsia="仿宋_GB2312"/>
          <w:b/>
          <w:color w:val="FF0000"/>
          <w:kern w:val="0"/>
          <w:sz w:val="32"/>
          <w:szCs w:val="32"/>
        </w:rPr>
        <w:t>单位预算公开</w:t>
      </w:r>
      <w:r>
        <w:rPr>
          <w:rFonts w:eastAsia="仿宋_GB2312"/>
          <w:b/>
          <w:color w:val="FF0000"/>
          <w:kern w:val="0"/>
          <w:sz w:val="32"/>
          <w:szCs w:val="32"/>
        </w:rPr>
        <w:t>报表中，空表表示本</w:t>
      </w:r>
      <w:r>
        <w:rPr>
          <w:rFonts w:hint="eastAsia" w:eastAsia="仿宋_GB2312"/>
          <w:b/>
          <w:color w:val="FF0000"/>
          <w:kern w:val="0"/>
          <w:sz w:val="32"/>
          <w:szCs w:val="32"/>
        </w:rPr>
        <w:t>单位</w:t>
      </w:r>
      <w:r>
        <w:rPr>
          <w:rFonts w:eastAsia="仿宋_GB2312"/>
          <w:b/>
          <w:color w:val="FF0000"/>
          <w:kern w:val="0"/>
          <w:sz w:val="32"/>
          <w:szCs w:val="32"/>
        </w:rPr>
        <w:t>无相关收支情况。</w:t>
      </w:r>
    </w:p>
    <w:p>
      <w:pPr>
        <w:widowControl/>
        <w:spacing w:line="600" w:lineRule="exact"/>
        <w:ind w:firstLine="640" w:firstLineChars="200"/>
        <w:jc w:val="center"/>
        <w:rPr>
          <w:rFonts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  2024年单位预算说明</w:t>
      </w:r>
    </w:p>
    <w:p>
      <w:pPr>
        <w:widowControl/>
        <w:spacing w:line="600" w:lineRule="exact"/>
        <w:ind w:firstLine="640" w:firstLineChars="200"/>
        <w:rPr>
          <w:rFonts w:eastAsia="仿宋_GB2312" w:cs="仿宋_GB2312"/>
          <w:kern w:val="0"/>
          <w:sz w:val="32"/>
          <w:szCs w:val="32"/>
        </w:rPr>
      </w:pP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一、单位基本概况</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（一）职能职责</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1、宣传贯彻执行党和国家的教育方针、政策、法律法规等，坚持依法治教、依法治学，贯彻执行县教体局的行政规章制度。</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2、配合</w:t>
      </w:r>
      <w:r>
        <w:rPr>
          <w:rFonts w:hint="eastAsia" w:eastAsia="仿宋_GB2312" w:cs="仿宋_GB2312"/>
          <w:kern w:val="0"/>
          <w:sz w:val="32"/>
          <w:szCs w:val="32"/>
          <w:lang w:eastAsia="zh-CN"/>
        </w:rPr>
        <w:t>各级</w:t>
      </w:r>
      <w:r>
        <w:rPr>
          <w:rFonts w:hint="eastAsia" w:eastAsia="仿宋_GB2312" w:cs="仿宋_GB2312"/>
          <w:kern w:val="0"/>
          <w:sz w:val="32"/>
          <w:szCs w:val="32"/>
        </w:rPr>
        <w:t>人民政府制定符合党的教育方针和国家教育法律法规以及本校实际的教育发展规划和学校布局调整规划，并抓好组织实施和落实工作。</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3、配合各级人民政府依法动员、组织适龄</w:t>
      </w:r>
      <w:r>
        <w:rPr>
          <w:rFonts w:hint="eastAsia" w:eastAsia="仿宋_GB2312" w:cs="仿宋_GB2312"/>
          <w:kern w:val="0"/>
          <w:sz w:val="32"/>
          <w:szCs w:val="32"/>
          <w:lang w:eastAsia="zh-CN"/>
        </w:rPr>
        <w:t>青</w:t>
      </w:r>
      <w:r>
        <w:rPr>
          <w:rFonts w:hint="eastAsia" w:eastAsia="仿宋_GB2312" w:cs="仿宋_GB2312"/>
          <w:kern w:val="0"/>
          <w:sz w:val="32"/>
          <w:szCs w:val="32"/>
        </w:rPr>
        <w:t>少年入学，严格控制辍学</w:t>
      </w:r>
      <w:r>
        <w:rPr>
          <w:rFonts w:hint="eastAsia" w:eastAsia="仿宋_GB2312" w:cs="仿宋_GB2312"/>
          <w:kern w:val="0"/>
          <w:sz w:val="32"/>
          <w:szCs w:val="32"/>
          <w:lang w:eastAsia="zh-CN"/>
        </w:rPr>
        <w:t>，依法保证青少年接受九年</w:t>
      </w:r>
      <w:r>
        <w:rPr>
          <w:rFonts w:hint="eastAsia" w:eastAsia="仿宋_GB2312" w:cs="仿宋_GB2312"/>
          <w:kern w:val="0"/>
          <w:sz w:val="32"/>
          <w:szCs w:val="32"/>
        </w:rPr>
        <w:t>义务教育。</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4、负责按照教育主管部门发布的指导性教学计划、教学大纲组织实施教育教学活动。</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val="en-US" w:eastAsia="zh-CN"/>
        </w:rPr>
        <w:t>5、</w:t>
      </w:r>
      <w:r>
        <w:rPr>
          <w:rFonts w:hint="eastAsia" w:eastAsia="仿宋_GB2312" w:cs="仿宋_GB2312"/>
          <w:kern w:val="0"/>
          <w:sz w:val="32"/>
          <w:szCs w:val="32"/>
        </w:rPr>
        <w:t>负责依据国家主管部门教学计划、课程设置等方面的规定，决定和实施本校的教学计划，组织教学评比，集体备课。对学生进行统一考核、考试等。</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val="en-US" w:eastAsia="zh-CN"/>
        </w:rPr>
        <w:t>6、负责</w:t>
      </w:r>
      <w:r>
        <w:rPr>
          <w:rFonts w:hint="eastAsia" w:eastAsia="仿宋_GB2312" w:cs="仿宋_GB2312"/>
          <w:kern w:val="0"/>
          <w:sz w:val="32"/>
          <w:szCs w:val="32"/>
        </w:rPr>
        <w:t>指导、管理、检查、评价本校的教育教学工作，提高办学质量和办学效益。认真实施中小学的教育教学管理，全面推进素质教育，全面提高教育教学质量。</w:t>
      </w:r>
    </w:p>
    <w:p>
      <w:pPr>
        <w:widowControl/>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7、负责学籍管理。</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val="en-US" w:eastAsia="zh-CN"/>
        </w:rPr>
        <w:t>8</w:t>
      </w:r>
      <w:r>
        <w:rPr>
          <w:rFonts w:hint="eastAsia" w:eastAsia="仿宋_GB2312" w:cs="仿宋_GB2312"/>
          <w:kern w:val="0"/>
          <w:sz w:val="32"/>
          <w:szCs w:val="32"/>
        </w:rPr>
        <w:t>、按照教师的职数、编制和管理权限，负责本校教师人事管理、继续教育、考核考评等工作。</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val="en-US" w:eastAsia="zh-CN"/>
        </w:rPr>
        <w:t>9</w:t>
      </w:r>
      <w:r>
        <w:rPr>
          <w:rFonts w:hint="eastAsia" w:eastAsia="仿宋_GB2312" w:cs="仿宋_GB2312"/>
          <w:kern w:val="0"/>
          <w:sz w:val="32"/>
          <w:szCs w:val="32"/>
        </w:rPr>
        <w:t>、负责科学管理，合理使用学校的设施和经费，并积极筹措资金改善办学条件。</w:t>
      </w:r>
    </w:p>
    <w:p>
      <w:pPr>
        <w:widowControl/>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10、负责维护学校师生的合法权益，有权拒绝任何组织和个人对教育教学活动进行非法干涉。</w:t>
      </w:r>
    </w:p>
    <w:p>
      <w:pPr>
        <w:widowControl/>
        <w:spacing w:line="600" w:lineRule="exact"/>
        <w:ind w:firstLine="640" w:firstLineChars="200"/>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11、依法接受各级教育行政部门的检查指导和人民群众的监督。</w:t>
      </w:r>
    </w:p>
    <w:p>
      <w:pPr>
        <w:widowControl/>
        <w:spacing w:line="600" w:lineRule="exact"/>
        <w:ind w:firstLine="320" w:firstLineChars="100"/>
        <w:rPr>
          <w:rFonts w:eastAsia="仿宋_GB2312" w:cs="仿宋_GB2312"/>
          <w:kern w:val="0"/>
          <w:sz w:val="32"/>
          <w:szCs w:val="32"/>
        </w:rPr>
      </w:pPr>
      <w:r>
        <w:rPr>
          <w:rFonts w:hint="eastAsia" w:eastAsia="仿宋_GB2312" w:cs="仿宋_GB2312"/>
          <w:kern w:val="0"/>
          <w:sz w:val="32"/>
          <w:szCs w:val="32"/>
        </w:rPr>
        <w:t>（二）机构设置</w:t>
      </w:r>
    </w:p>
    <w:p>
      <w:pPr>
        <w:widowControl/>
        <w:spacing w:line="600" w:lineRule="exact"/>
        <w:ind w:firstLine="640" w:firstLineChars="200"/>
        <w:rPr>
          <w:rFonts w:hint="default" w:eastAsia="仿宋_GB2312" w:cs="仿宋_GB2312"/>
          <w:kern w:val="0"/>
          <w:sz w:val="32"/>
          <w:szCs w:val="32"/>
          <w:lang w:val="en-US" w:eastAsia="zh-CN"/>
        </w:rPr>
      </w:pPr>
      <w:r>
        <w:rPr>
          <w:rFonts w:hint="eastAsia" w:eastAsia="仿宋_GB2312" w:cs="仿宋_GB2312"/>
          <w:kern w:val="0"/>
          <w:sz w:val="32"/>
          <w:szCs w:val="32"/>
          <w:lang w:eastAsia="zh-CN"/>
        </w:rPr>
        <w:t>岳阳县</w:t>
      </w:r>
      <w:r>
        <w:rPr>
          <w:rFonts w:hint="eastAsia" w:eastAsia="仿宋_GB2312" w:cs="仿宋_GB2312"/>
          <w:kern w:val="0"/>
          <w:sz w:val="32"/>
          <w:szCs w:val="32"/>
          <w:lang w:val="en-US" w:eastAsia="zh-CN"/>
        </w:rPr>
        <w:t>明德小</w:t>
      </w:r>
      <w:r>
        <w:rPr>
          <w:rFonts w:hint="eastAsia" w:eastAsia="仿宋_GB2312" w:cs="仿宋_GB2312"/>
          <w:kern w:val="0"/>
          <w:sz w:val="32"/>
          <w:szCs w:val="32"/>
          <w:lang w:eastAsia="zh-CN"/>
        </w:rPr>
        <w:t>学是一所县直</w:t>
      </w:r>
      <w:r>
        <w:rPr>
          <w:rFonts w:hint="eastAsia" w:eastAsia="仿宋_GB2312" w:cs="仿宋_GB2312"/>
          <w:kern w:val="0"/>
          <w:sz w:val="32"/>
          <w:szCs w:val="32"/>
          <w:lang w:val="en-US" w:eastAsia="zh-CN"/>
        </w:rPr>
        <w:t>小</w:t>
      </w:r>
      <w:r>
        <w:rPr>
          <w:rFonts w:hint="eastAsia" w:eastAsia="仿宋_GB2312" w:cs="仿宋_GB2312"/>
          <w:kern w:val="0"/>
          <w:sz w:val="32"/>
          <w:szCs w:val="32"/>
          <w:lang w:eastAsia="zh-CN"/>
        </w:rPr>
        <w:t>学，在校学生</w:t>
      </w:r>
      <w:r>
        <w:rPr>
          <w:rFonts w:hint="eastAsia" w:eastAsia="仿宋_GB2312" w:cs="仿宋_GB2312"/>
          <w:kern w:val="0"/>
          <w:sz w:val="32"/>
          <w:szCs w:val="32"/>
          <w:lang w:val="en-US" w:eastAsia="zh-CN"/>
        </w:rPr>
        <w:t>3573</w:t>
      </w:r>
      <w:r>
        <w:rPr>
          <w:rFonts w:hint="eastAsia" w:eastAsia="仿宋_GB2312" w:cs="仿宋_GB2312"/>
          <w:kern w:val="0"/>
          <w:sz w:val="32"/>
          <w:szCs w:val="32"/>
          <w:lang w:eastAsia="zh-CN"/>
        </w:rPr>
        <w:t>人，在编教师</w:t>
      </w:r>
      <w:r>
        <w:rPr>
          <w:rFonts w:hint="eastAsia" w:eastAsia="仿宋_GB2312" w:cs="仿宋_GB2312"/>
          <w:kern w:val="0"/>
          <w:sz w:val="32"/>
          <w:szCs w:val="32"/>
          <w:lang w:val="en-US" w:eastAsia="zh-CN"/>
        </w:rPr>
        <w:t>182人,66个教学班</w:t>
      </w:r>
      <w:r>
        <w:rPr>
          <w:rFonts w:hint="eastAsia" w:eastAsia="仿宋_GB2312" w:cs="仿宋_GB2312"/>
          <w:kern w:val="0"/>
          <w:sz w:val="32"/>
          <w:szCs w:val="32"/>
          <w:lang w:eastAsia="zh-CN"/>
        </w:rPr>
        <w:t>。内设</w:t>
      </w:r>
      <w:r>
        <w:rPr>
          <w:rFonts w:hint="eastAsia" w:eastAsia="仿宋_GB2312" w:cs="仿宋_GB2312"/>
          <w:kern w:val="0"/>
          <w:sz w:val="32"/>
          <w:szCs w:val="32"/>
          <w:lang w:val="en-US" w:eastAsia="zh-CN"/>
        </w:rPr>
        <w:t>9个处室，有行政办公室、教导处、德育处、教科室、安全办、党建办、团委、工会、后勤处。</w:t>
      </w:r>
    </w:p>
    <w:p>
      <w:pPr>
        <w:widowControl/>
        <w:spacing w:line="60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二、单位收支总体情况</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（一）收入预算</w:t>
      </w:r>
    </w:p>
    <w:p>
      <w:pPr>
        <w:widowControl/>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包括一般公共预算、政府性基金、国有资本经营预算等财政拨款收入，以及经营收入、事业收入等单位资金。2024年本单位收入预算</w:t>
      </w:r>
      <w:r>
        <w:rPr>
          <w:rFonts w:hint="eastAsia" w:eastAsia="仿宋_GB2312" w:cs="仿宋_GB2312"/>
          <w:color w:val="auto"/>
          <w:kern w:val="0"/>
          <w:sz w:val="32"/>
          <w:szCs w:val="32"/>
          <w:lang w:val="en-US" w:eastAsia="zh-CN"/>
        </w:rPr>
        <w:t>2340.88</w:t>
      </w:r>
      <w:r>
        <w:rPr>
          <w:rFonts w:hint="eastAsia" w:eastAsia="仿宋_GB2312" w:cs="仿宋_GB2312"/>
          <w:color w:val="auto"/>
          <w:kern w:val="0"/>
          <w:sz w:val="32"/>
          <w:szCs w:val="32"/>
        </w:rPr>
        <w:t>万元，其中，一般公共预算拨款</w:t>
      </w:r>
      <w:r>
        <w:rPr>
          <w:rFonts w:hint="eastAsia" w:eastAsia="仿宋_GB2312" w:cs="仿宋_GB2312"/>
          <w:color w:val="auto"/>
          <w:kern w:val="0"/>
          <w:sz w:val="32"/>
          <w:szCs w:val="32"/>
          <w:lang w:val="en-US" w:eastAsia="zh-CN"/>
        </w:rPr>
        <w:t>2050.88</w:t>
      </w:r>
      <w:r>
        <w:rPr>
          <w:rFonts w:hint="eastAsia" w:eastAsia="仿宋_GB2312" w:cs="仿宋_GB2312"/>
          <w:color w:val="auto"/>
          <w:kern w:val="0"/>
          <w:sz w:val="32"/>
          <w:szCs w:val="32"/>
        </w:rPr>
        <w:t>万元，财政专户管理资金</w:t>
      </w:r>
      <w:r>
        <w:rPr>
          <w:rFonts w:hint="eastAsia" w:eastAsia="仿宋_GB2312" w:cs="仿宋_GB2312"/>
          <w:color w:val="auto"/>
          <w:kern w:val="0"/>
          <w:sz w:val="32"/>
          <w:szCs w:val="32"/>
          <w:lang w:val="en-US" w:eastAsia="zh-CN"/>
        </w:rPr>
        <w:t>290</w:t>
      </w:r>
      <w:r>
        <w:rPr>
          <w:rFonts w:hint="eastAsia" w:eastAsia="仿宋_GB2312" w:cs="仿宋_GB2312"/>
          <w:color w:val="auto"/>
          <w:kern w:val="0"/>
          <w:sz w:val="32"/>
          <w:szCs w:val="32"/>
        </w:rPr>
        <w:t>万元。（数据来源</w:t>
      </w:r>
      <w:r>
        <w:rPr>
          <w:rFonts w:hint="eastAsia" w:eastAsia="仿宋_GB2312" w:cs="仿宋_GB2312"/>
          <w:b/>
          <w:bCs/>
          <w:color w:val="auto"/>
          <w:kern w:val="0"/>
          <w:sz w:val="32"/>
          <w:szCs w:val="32"/>
        </w:rPr>
        <w:t>见表2</w:t>
      </w:r>
      <w:r>
        <w:rPr>
          <w:rFonts w:hint="eastAsia" w:eastAsia="仿宋_GB2312" w:cs="仿宋_GB2312"/>
          <w:color w:val="auto"/>
          <w:kern w:val="0"/>
          <w:sz w:val="32"/>
          <w:szCs w:val="32"/>
        </w:rPr>
        <w:t>。</w:t>
      </w:r>
      <w:r>
        <w:rPr>
          <w:rFonts w:hint="eastAsia" w:eastAsia="仿宋_GB2312" w:cs="仿宋_GB2312"/>
          <w:color w:val="auto"/>
          <w:kern w:val="0"/>
          <w:sz w:val="32"/>
          <w:szCs w:val="32"/>
          <w:u w:val="single"/>
        </w:rPr>
        <w:t>本单位2024年没有政府性基金预算拨款，也没有使用政府性基金预算拨款、国有资本经营预算收入，所以公开的附件16-18（政府性基金预算）、19（国有资本经营预算）、均为空。</w:t>
      </w:r>
      <w:r>
        <w:rPr>
          <w:rFonts w:hint="eastAsia" w:eastAsia="仿宋_GB2312" w:cs="仿宋_GB2312"/>
          <w:color w:val="auto"/>
          <w:kern w:val="0"/>
          <w:sz w:val="32"/>
          <w:szCs w:val="32"/>
        </w:rPr>
        <w:t>”）本单位2024年以前没有预算到校，不是一级预算单位，因此相关数据无法与上年对比。</w:t>
      </w:r>
    </w:p>
    <w:p>
      <w:pPr>
        <w:widowControl/>
        <w:spacing w:line="600" w:lineRule="exact"/>
        <w:ind w:firstLine="630" w:firstLineChars="196"/>
        <w:jc w:val="left"/>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（二）支出预算</w:t>
      </w:r>
    </w:p>
    <w:p>
      <w:pPr>
        <w:widowControl/>
        <w:spacing w:line="600" w:lineRule="exact"/>
        <w:ind w:firstLine="627" w:firstLineChars="196"/>
        <w:jc w:val="left"/>
        <w:rPr>
          <w:rFonts w:eastAsia="仿宋_GB2312" w:cs="仿宋_GB2312"/>
          <w:color w:val="auto"/>
          <w:kern w:val="0"/>
          <w:sz w:val="32"/>
          <w:szCs w:val="32"/>
        </w:rPr>
      </w:pPr>
      <w:r>
        <w:rPr>
          <w:rFonts w:hint="eastAsia" w:eastAsia="仿宋_GB2312"/>
          <w:color w:val="auto"/>
          <w:sz w:val="32"/>
          <w:szCs w:val="32"/>
        </w:rPr>
        <w:t>2024年本单位</w:t>
      </w:r>
      <w:r>
        <w:rPr>
          <w:rFonts w:eastAsia="仿宋_GB2312"/>
          <w:color w:val="auto"/>
          <w:sz w:val="32"/>
          <w:szCs w:val="32"/>
        </w:rPr>
        <w:t>支出预算</w:t>
      </w:r>
      <w:r>
        <w:rPr>
          <w:rFonts w:hint="eastAsia" w:eastAsia="仿宋_GB2312"/>
          <w:color w:val="auto"/>
          <w:sz w:val="32"/>
          <w:szCs w:val="32"/>
          <w:lang w:val="en-US" w:eastAsia="zh-CN"/>
        </w:rPr>
        <w:t>2340.88</w:t>
      </w:r>
      <w:r>
        <w:rPr>
          <w:rFonts w:eastAsia="仿宋_GB2312"/>
          <w:color w:val="auto"/>
          <w:sz w:val="32"/>
          <w:szCs w:val="32"/>
        </w:rPr>
        <w:t>万元，其中，</w:t>
      </w:r>
      <w:r>
        <w:rPr>
          <w:rFonts w:hint="eastAsia" w:eastAsia="仿宋_GB2312"/>
          <w:color w:val="auto"/>
          <w:sz w:val="32"/>
          <w:szCs w:val="32"/>
          <w:lang w:eastAsia="zh-CN"/>
        </w:rPr>
        <w:t>教育支出</w:t>
      </w:r>
      <w:r>
        <w:rPr>
          <w:rFonts w:hint="eastAsia" w:eastAsia="仿宋_GB2312"/>
          <w:color w:val="auto"/>
          <w:sz w:val="32"/>
          <w:szCs w:val="32"/>
          <w:lang w:val="en-US" w:eastAsia="zh-CN"/>
        </w:rPr>
        <w:t>1846.36</w:t>
      </w:r>
      <w:r>
        <w:rPr>
          <w:rFonts w:hint="eastAsia" w:eastAsia="仿宋_GB2312"/>
          <w:color w:val="auto"/>
          <w:sz w:val="32"/>
          <w:szCs w:val="32"/>
          <w:u w:val="none"/>
          <w:lang w:val="en-US" w:eastAsia="zh-CN"/>
        </w:rPr>
        <w:t>万元，社会保障和就业支出218.36万元，卫生健康支出122.02万元，住房保障支出154.14万元。</w:t>
      </w:r>
      <w:r>
        <w:rPr>
          <w:rFonts w:hint="eastAsia" w:eastAsia="仿宋_GB2312" w:cs="仿宋_GB2312"/>
          <w:color w:val="auto"/>
          <w:kern w:val="0"/>
          <w:sz w:val="32"/>
          <w:szCs w:val="32"/>
        </w:rPr>
        <w:t>本单位2024年以前没有预算到校，不是一级预算单位，因此相关数据无法与上年对比。</w:t>
      </w:r>
    </w:p>
    <w:p>
      <w:pPr>
        <w:widowControl/>
        <w:spacing w:line="60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三、一般公共预算拨款支出预算</w:t>
      </w:r>
    </w:p>
    <w:p>
      <w:pPr>
        <w:widowControl/>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2024年一般公共预算拨款支出预算</w:t>
      </w:r>
      <w:r>
        <w:rPr>
          <w:rFonts w:hint="eastAsia" w:eastAsia="仿宋_GB2312" w:cs="仿宋_GB2312"/>
          <w:color w:val="auto"/>
          <w:kern w:val="0"/>
          <w:sz w:val="32"/>
          <w:szCs w:val="32"/>
          <w:lang w:val="en-US" w:eastAsia="zh-CN"/>
        </w:rPr>
        <w:t>2050.88</w:t>
      </w:r>
      <w:r>
        <w:rPr>
          <w:rFonts w:hint="eastAsia" w:eastAsia="仿宋_GB2312" w:cs="仿宋_GB2312"/>
          <w:color w:val="auto"/>
          <w:kern w:val="0"/>
          <w:sz w:val="32"/>
          <w:szCs w:val="32"/>
        </w:rPr>
        <w:t>万元，其中</w:t>
      </w:r>
      <w:r>
        <w:rPr>
          <w:rFonts w:eastAsia="仿宋_GB2312"/>
          <w:color w:val="auto"/>
          <w:sz w:val="32"/>
          <w:szCs w:val="32"/>
        </w:rPr>
        <w:t>，一般公共服务支出</w:t>
      </w:r>
      <w:r>
        <w:rPr>
          <w:rFonts w:hint="eastAsia" w:eastAsia="仿宋_GB2312"/>
          <w:color w:val="auto"/>
          <w:sz w:val="32"/>
          <w:szCs w:val="32"/>
          <w:lang w:val="en-US" w:eastAsia="zh-CN"/>
        </w:rPr>
        <w:t>2050.88</w:t>
      </w:r>
      <w:r>
        <w:rPr>
          <w:rFonts w:eastAsia="仿宋_GB2312"/>
          <w:color w:val="auto"/>
          <w:sz w:val="32"/>
          <w:szCs w:val="32"/>
        </w:rPr>
        <w:t>万元，占</w:t>
      </w:r>
      <w:r>
        <w:rPr>
          <w:rFonts w:hint="eastAsia" w:eastAsia="仿宋_GB2312"/>
          <w:color w:val="auto"/>
          <w:sz w:val="32"/>
          <w:szCs w:val="32"/>
          <w:lang w:val="en-US" w:eastAsia="zh-CN"/>
        </w:rPr>
        <w:t>100</w:t>
      </w:r>
      <w:r>
        <w:rPr>
          <w:rFonts w:hint="eastAsia" w:eastAsia="仿宋_GB2312"/>
          <w:color w:val="auto"/>
          <w:sz w:val="32"/>
          <w:szCs w:val="32"/>
        </w:rPr>
        <w:t>%</w:t>
      </w:r>
      <w:r>
        <w:rPr>
          <w:rFonts w:hint="eastAsia" w:eastAsia="仿宋_GB2312"/>
          <w:color w:val="auto"/>
          <w:sz w:val="32"/>
          <w:szCs w:val="32"/>
          <w:lang w:eastAsia="zh-CN"/>
        </w:rPr>
        <w:t>。</w:t>
      </w:r>
      <w:r>
        <w:rPr>
          <w:rFonts w:hint="eastAsia" w:eastAsia="仿宋_GB2312" w:cs="仿宋_GB2312"/>
          <w:color w:val="auto"/>
          <w:kern w:val="0"/>
          <w:sz w:val="32"/>
          <w:szCs w:val="32"/>
        </w:rPr>
        <w:t>具体安排情况如下：</w:t>
      </w:r>
    </w:p>
    <w:p>
      <w:pPr>
        <w:widowControl/>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（一）基本支出：2024年基本支出年初预算数为</w:t>
      </w:r>
      <w:r>
        <w:rPr>
          <w:rFonts w:hint="eastAsia" w:eastAsia="仿宋_GB2312" w:cs="仿宋_GB2312"/>
          <w:color w:val="auto"/>
          <w:kern w:val="0"/>
          <w:sz w:val="32"/>
          <w:szCs w:val="32"/>
          <w:lang w:val="en-US" w:eastAsia="zh-CN"/>
        </w:rPr>
        <w:t>2050.88</w:t>
      </w:r>
      <w:r>
        <w:rPr>
          <w:rFonts w:hint="eastAsia" w:eastAsia="仿宋_GB2312" w:cs="仿宋_GB2312"/>
          <w:color w:val="auto"/>
          <w:kern w:val="0"/>
          <w:sz w:val="32"/>
          <w:szCs w:val="32"/>
        </w:rPr>
        <w:t>万元，是指为保障单位机构正常运转、完成日常工作任务而发生的各项支出，包括用于基本工资、津贴补贴等人员经费。</w:t>
      </w:r>
    </w:p>
    <w:p>
      <w:pPr>
        <w:widowControl/>
        <w:spacing w:line="600" w:lineRule="exact"/>
        <w:ind w:firstLine="640" w:firstLineChars="200"/>
        <w:rPr>
          <w:rFonts w:ascii="黑体" w:hAnsi="黑体" w:eastAsia="黑体" w:cs="黑体"/>
          <w:color w:val="auto"/>
          <w:kern w:val="0"/>
          <w:sz w:val="32"/>
          <w:szCs w:val="32"/>
        </w:rPr>
      </w:pPr>
      <w:r>
        <w:rPr>
          <w:rFonts w:hint="eastAsia" w:eastAsia="仿宋_GB2312" w:cs="仿宋_GB2312"/>
          <w:color w:val="auto"/>
          <w:kern w:val="0"/>
          <w:sz w:val="32"/>
          <w:szCs w:val="32"/>
        </w:rPr>
        <w:t>（二）项目支出：2024年项目支出年初预算数为</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rPr>
        <w:t>万元，是指单位为完成特定行政工作任务或事业发展目标而发生的支出，包括有关业务工作经费</w:t>
      </w:r>
      <w:r>
        <w:rPr>
          <w:rFonts w:hint="eastAsia" w:eastAsia="仿宋_GB2312"/>
          <w:color w:val="auto"/>
          <w:sz w:val="32"/>
          <w:szCs w:val="32"/>
        </w:rPr>
        <w:t>、运行维护经费等。其中：业务工作经费支出</w:t>
      </w:r>
      <w:r>
        <w:rPr>
          <w:rFonts w:hint="eastAsia" w:eastAsia="仿宋_GB2312"/>
          <w:color w:val="auto"/>
          <w:sz w:val="32"/>
          <w:szCs w:val="32"/>
          <w:u w:val="single"/>
          <w:lang w:val="en-US" w:eastAsia="zh-CN"/>
        </w:rPr>
        <w:t>0</w:t>
      </w:r>
      <w:r>
        <w:rPr>
          <w:rFonts w:hint="eastAsia" w:eastAsia="仿宋_GB2312"/>
          <w:color w:val="auto"/>
          <w:sz w:val="32"/>
          <w:szCs w:val="32"/>
        </w:rPr>
        <w:t>万元，；运行维护经</w:t>
      </w:r>
      <w:r>
        <w:rPr>
          <w:rFonts w:hint="eastAsia" w:eastAsia="仿宋_GB2312"/>
          <w:color w:val="auto"/>
          <w:sz w:val="32"/>
          <w:szCs w:val="32"/>
          <w:lang w:val="en-US" w:eastAsia="zh-CN"/>
        </w:rPr>
        <w:t>0</w:t>
      </w:r>
      <w:r>
        <w:rPr>
          <w:rFonts w:hint="eastAsia" w:eastAsia="仿宋_GB2312"/>
          <w:color w:val="auto"/>
          <w:sz w:val="32"/>
          <w:szCs w:val="32"/>
        </w:rPr>
        <w:t>万元，主要用于</w:t>
      </w:r>
      <w:r>
        <w:rPr>
          <w:rFonts w:hint="eastAsia" w:eastAsia="仿宋_GB2312"/>
          <w:color w:val="auto"/>
          <w:sz w:val="32"/>
          <w:szCs w:val="32"/>
          <w:lang w:eastAsia="zh-CN"/>
        </w:rPr>
        <w:t>学校基础设施的维修维护</w:t>
      </w:r>
      <w:r>
        <w:rPr>
          <w:rFonts w:hint="eastAsia" w:eastAsia="仿宋_GB2312"/>
          <w:color w:val="auto"/>
          <w:sz w:val="32"/>
          <w:szCs w:val="32"/>
        </w:rPr>
        <w:t>等方面。</w:t>
      </w:r>
    </w:p>
    <w:p>
      <w:pPr>
        <w:widowControl/>
        <w:numPr>
          <w:ilvl w:val="0"/>
          <w:numId w:val="2"/>
        </w:numPr>
        <w:spacing w:line="60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政府性基金预算支出</w:t>
      </w:r>
    </w:p>
    <w:p>
      <w:pPr>
        <w:widowControl/>
        <w:spacing w:line="600" w:lineRule="exact"/>
        <w:ind w:firstLine="640" w:firstLineChars="200"/>
        <w:rPr>
          <w:rFonts w:hint="eastAsia" w:eastAsia="仿宋_GB2312" w:cs="仿宋_GB2312"/>
          <w:color w:val="auto"/>
          <w:kern w:val="0"/>
          <w:sz w:val="32"/>
          <w:szCs w:val="32"/>
          <w:u w:val="none"/>
          <w:lang w:eastAsia="zh-CN"/>
        </w:rPr>
      </w:pPr>
      <w:r>
        <w:rPr>
          <w:rFonts w:hint="eastAsia" w:eastAsia="仿宋_GB2312" w:cs="仿宋_GB2312"/>
          <w:color w:val="auto"/>
          <w:kern w:val="0"/>
          <w:sz w:val="32"/>
          <w:szCs w:val="32"/>
          <w:u w:val="none"/>
        </w:rPr>
        <w:t>2024年度本单位无政府性基金安排的支出，所以公开的附件16-18（政府性基金预算）为空</w:t>
      </w:r>
      <w:r>
        <w:rPr>
          <w:rFonts w:hint="eastAsia" w:eastAsia="仿宋_GB2312" w:cs="仿宋_GB2312"/>
          <w:color w:val="auto"/>
          <w:kern w:val="0"/>
          <w:sz w:val="32"/>
          <w:szCs w:val="32"/>
          <w:u w:val="none"/>
          <w:lang w:eastAsia="zh-CN"/>
        </w:rPr>
        <w:t>。</w:t>
      </w:r>
    </w:p>
    <w:p>
      <w:pPr>
        <w:widowControl/>
        <w:spacing w:line="60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其他重要事项的情况说明</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（一）机关运行经费</w:t>
      </w:r>
    </w:p>
    <w:p>
      <w:pPr>
        <w:widowControl/>
        <w:spacing w:line="600" w:lineRule="exact"/>
        <w:ind w:firstLine="627" w:firstLineChars="196"/>
        <w:jc w:val="left"/>
        <w:rPr>
          <w:rFonts w:eastAsia="仿宋_GB2312" w:cs="仿宋_GB2312"/>
          <w:color w:val="auto"/>
          <w:kern w:val="0"/>
          <w:sz w:val="32"/>
          <w:szCs w:val="32"/>
        </w:rPr>
      </w:pPr>
      <w:r>
        <w:rPr>
          <w:rFonts w:hint="eastAsia" w:eastAsia="仿宋_GB2312" w:cs="仿宋_GB2312"/>
          <w:color w:val="auto"/>
          <w:kern w:val="0"/>
          <w:sz w:val="32"/>
          <w:szCs w:val="32"/>
        </w:rPr>
        <w:t>本单位2024年机关运行经费当年一般公共预算拨款</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万元（数据来源</w:t>
      </w:r>
      <w:r>
        <w:rPr>
          <w:rFonts w:hint="eastAsia" w:eastAsia="仿宋_GB2312"/>
          <w:b/>
          <w:bCs/>
          <w:color w:val="auto"/>
          <w:sz w:val="32"/>
          <w:szCs w:val="32"/>
        </w:rPr>
        <w:t>见表14</w:t>
      </w:r>
      <w:r>
        <w:rPr>
          <w:rFonts w:hint="eastAsia" w:eastAsia="仿宋_GB2312" w:cs="仿宋_GB2312"/>
          <w:color w:val="auto"/>
          <w:kern w:val="0"/>
          <w:sz w:val="32"/>
          <w:szCs w:val="32"/>
        </w:rPr>
        <w:t>），本单位2024年以前没有预算到校，不是一级预算单位，因此相关数据无法与上年对比。</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（二）“三公”经费预算</w:t>
      </w:r>
    </w:p>
    <w:p>
      <w:pPr>
        <w:autoSpaceDE w:val="0"/>
        <w:autoSpaceDN w:val="0"/>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本单位2024年“三公”经费预算数</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万元（数据来源</w:t>
      </w:r>
      <w:r>
        <w:rPr>
          <w:rFonts w:hint="eastAsia" w:eastAsia="仿宋_GB2312"/>
          <w:b/>
          <w:bCs/>
          <w:color w:val="auto"/>
          <w:sz w:val="32"/>
          <w:szCs w:val="32"/>
        </w:rPr>
        <w:t>见表15</w:t>
      </w:r>
      <w:r>
        <w:rPr>
          <w:rFonts w:hint="eastAsia" w:eastAsia="仿宋_GB2312" w:cs="仿宋_GB2312"/>
          <w:color w:val="auto"/>
          <w:kern w:val="0"/>
          <w:sz w:val="32"/>
          <w:szCs w:val="32"/>
        </w:rPr>
        <w:t>），其中，公务接待费</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万元，因公出国（境）费</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万元，公务用车购置及运行费</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万元，其中公务用车购置费</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万元，公务用车运行费</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万元。本单位2024年以前没有预算到校，不是一级预算单位，因此相关数据无法与上年对比。</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（三）一般性支出情况</w:t>
      </w:r>
    </w:p>
    <w:p>
      <w:pPr>
        <w:autoSpaceDE w:val="0"/>
        <w:autoSpaceDN w:val="0"/>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本单位2024年会议费预算</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万元（数据来源</w:t>
      </w:r>
      <w:r>
        <w:rPr>
          <w:rFonts w:hint="eastAsia" w:eastAsia="仿宋_GB2312"/>
          <w:b/>
          <w:bCs/>
          <w:color w:val="auto"/>
          <w:sz w:val="32"/>
          <w:szCs w:val="32"/>
        </w:rPr>
        <w:t>见表14会议费+培训费</w:t>
      </w:r>
      <w:r>
        <w:rPr>
          <w:rFonts w:hint="eastAsia" w:eastAsia="仿宋_GB2312" w:cs="仿宋_GB2312"/>
          <w:color w:val="auto"/>
          <w:kern w:val="0"/>
          <w:sz w:val="32"/>
          <w:szCs w:val="32"/>
        </w:rPr>
        <w:t>）</w:t>
      </w:r>
      <w:r>
        <w:rPr>
          <w:rFonts w:hint="eastAsia" w:eastAsia="仿宋_GB2312" w:cs="仿宋_GB2312"/>
          <w:color w:val="auto"/>
          <w:kern w:val="0"/>
          <w:sz w:val="32"/>
          <w:szCs w:val="32"/>
          <w:lang w:eastAsia="zh-CN"/>
        </w:rPr>
        <w:t>。</w:t>
      </w:r>
      <w:r>
        <w:rPr>
          <w:rFonts w:hint="eastAsia" w:eastAsia="仿宋_GB2312" w:cs="仿宋_GB2312"/>
          <w:color w:val="auto"/>
          <w:kern w:val="0"/>
          <w:sz w:val="32"/>
          <w:szCs w:val="32"/>
        </w:rPr>
        <w:t>（</w:t>
      </w:r>
      <w:r>
        <w:rPr>
          <w:rFonts w:hint="eastAsia" w:eastAsia="仿宋_GB2312" w:cs="仿宋_GB2312"/>
          <w:color w:val="auto"/>
          <w:kern w:val="0"/>
          <w:sz w:val="32"/>
          <w:szCs w:val="32"/>
          <w:u w:val="single"/>
        </w:rPr>
        <w:t>2024年度本单位</w:t>
      </w:r>
      <w:r>
        <w:rPr>
          <w:rFonts w:hint="eastAsia" w:eastAsia="仿宋_GB2312"/>
          <w:color w:val="auto"/>
          <w:kern w:val="0"/>
          <w:sz w:val="32"/>
          <w:szCs w:val="32"/>
          <w:u w:val="single"/>
        </w:rPr>
        <w:t>未计划安排会议、培训，未计划举办节庆、晚会、</w:t>
      </w:r>
      <w:r>
        <w:rPr>
          <w:rFonts w:eastAsia="仿宋_GB2312"/>
          <w:color w:val="auto"/>
          <w:kern w:val="0"/>
          <w:sz w:val="32"/>
          <w:szCs w:val="32"/>
          <w:u w:val="single"/>
        </w:rPr>
        <w:t>论坛、赛事</w:t>
      </w:r>
      <w:r>
        <w:rPr>
          <w:rFonts w:hint="eastAsia" w:eastAsia="仿宋_GB2312"/>
          <w:color w:val="auto"/>
          <w:kern w:val="0"/>
          <w:sz w:val="32"/>
          <w:szCs w:val="32"/>
          <w:u w:val="single"/>
        </w:rPr>
        <w:t>活动</w:t>
      </w:r>
      <w:r>
        <w:rPr>
          <w:rFonts w:hint="eastAsia" w:eastAsia="仿宋_GB2312" w:cs="仿宋_GB2312"/>
          <w:color w:val="auto"/>
          <w:kern w:val="0"/>
          <w:sz w:val="32"/>
          <w:szCs w:val="32"/>
        </w:rPr>
        <w:t>）</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（四）政府采购情况</w:t>
      </w:r>
    </w:p>
    <w:p>
      <w:pPr>
        <w:widowControl/>
        <w:spacing w:line="600" w:lineRule="exact"/>
        <w:ind w:firstLine="640" w:firstLineChars="200"/>
        <w:rPr>
          <w:rFonts w:eastAsia="仿宋_GB2312" w:cs="仿宋_GB2312"/>
          <w:color w:val="auto"/>
          <w:kern w:val="0"/>
          <w:sz w:val="32"/>
          <w:szCs w:val="32"/>
          <w:u w:val="single"/>
        </w:rPr>
      </w:pPr>
      <w:r>
        <w:rPr>
          <w:rFonts w:hint="eastAsia" w:eastAsia="仿宋_GB2312" w:cs="仿宋_GB2312"/>
          <w:color w:val="auto"/>
          <w:kern w:val="0"/>
          <w:sz w:val="32"/>
          <w:szCs w:val="32"/>
        </w:rPr>
        <w:t>本单位2024年政府采购预算总额</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万元，其中工程类</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万元，货物类</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万元，服务类</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w:t>
      </w:r>
      <w:r>
        <w:rPr>
          <w:rFonts w:hint="eastAsia" w:eastAsia="仿宋_GB2312" w:cs="仿宋_GB2312"/>
          <w:color w:val="auto"/>
          <w:kern w:val="0"/>
          <w:sz w:val="32"/>
          <w:szCs w:val="32"/>
          <w:u w:val="single"/>
        </w:rPr>
        <w:t>2024年度本单位未安排政府采购预算</w:t>
      </w:r>
      <w:r>
        <w:rPr>
          <w:rFonts w:hint="eastAsia" w:eastAsia="仿宋_GB2312" w:cs="仿宋_GB2312"/>
          <w:color w:val="auto"/>
          <w:kern w:val="0"/>
          <w:sz w:val="32"/>
          <w:szCs w:val="32"/>
        </w:rPr>
        <w:t>）</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（五）国有资产占有使用及新增资产配置情况</w:t>
      </w:r>
    </w:p>
    <w:p>
      <w:pPr>
        <w:widowControl/>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截至上一年12月底，本单位共有车辆</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辆，其中领导干部用车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辆，一般公务用车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辆，其他用车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辆。单位价值50万元以上通用设备</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台，单位价值100万元以上专用设备</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台。</w:t>
      </w:r>
    </w:p>
    <w:p>
      <w:pPr>
        <w:widowControl/>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2024年</w:t>
      </w:r>
      <w:r>
        <w:rPr>
          <w:rFonts w:eastAsia="仿宋_GB2312"/>
          <w:bCs/>
          <w:color w:val="auto"/>
          <w:kern w:val="0"/>
          <w:sz w:val="32"/>
          <w:szCs w:val="32"/>
        </w:rPr>
        <w:t>拟</w:t>
      </w:r>
      <w:r>
        <w:rPr>
          <w:rFonts w:hint="eastAsia" w:eastAsia="仿宋_GB2312"/>
          <w:bCs/>
          <w:color w:val="auto"/>
          <w:kern w:val="0"/>
          <w:sz w:val="32"/>
          <w:szCs w:val="32"/>
        </w:rPr>
        <w:t>报废处置公务用车</w:t>
      </w:r>
      <w:r>
        <w:rPr>
          <w:rFonts w:hint="eastAsia" w:eastAsia="仿宋_GB2312"/>
          <w:bCs/>
          <w:color w:val="auto"/>
          <w:kern w:val="0"/>
          <w:sz w:val="32"/>
          <w:szCs w:val="32"/>
          <w:u w:val="single"/>
          <w:lang w:val="en-US" w:eastAsia="zh-CN"/>
        </w:rPr>
        <w:t>0</w:t>
      </w:r>
      <w:r>
        <w:rPr>
          <w:rFonts w:hint="eastAsia" w:eastAsia="仿宋_GB2312"/>
          <w:bCs/>
          <w:color w:val="auto"/>
          <w:kern w:val="0"/>
          <w:sz w:val="32"/>
          <w:szCs w:val="32"/>
        </w:rPr>
        <w:t>辆，</w:t>
      </w:r>
      <w:r>
        <w:rPr>
          <w:rFonts w:hint="eastAsia" w:eastAsia="仿宋_GB2312" w:cs="仿宋_GB2312"/>
          <w:color w:val="auto"/>
          <w:kern w:val="0"/>
          <w:sz w:val="32"/>
          <w:szCs w:val="32"/>
        </w:rPr>
        <w:t>拟新增配置车辆</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辆，其中领导干部用车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辆，一般公务用车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辆，其他用车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w:t>
      </w:r>
    </w:p>
    <w:p>
      <w:pPr>
        <w:widowControl/>
        <w:spacing w:line="600" w:lineRule="exact"/>
        <w:ind w:firstLine="640" w:firstLineChars="200"/>
        <w:rPr>
          <w:rFonts w:eastAsia="仿宋_GB2312" w:cs="仿宋_GB2312"/>
          <w:color w:val="auto"/>
          <w:kern w:val="0"/>
          <w:sz w:val="36"/>
          <w:szCs w:val="36"/>
        </w:rPr>
      </w:pPr>
      <w:r>
        <w:rPr>
          <w:rFonts w:hint="eastAsia" w:eastAsia="仿宋_GB2312" w:cs="仿宋_GB2312"/>
          <w:color w:val="auto"/>
          <w:kern w:val="0"/>
          <w:sz w:val="32"/>
          <w:szCs w:val="32"/>
        </w:rPr>
        <w:t>2024年拟新增配备单位价值50万元以上通用设备</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台，单位价值100万元以上专用设备</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台。（</w:t>
      </w:r>
      <w:r>
        <w:rPr>
          <w:rFonts w:hint="eastAsia" w:eastAsia="仿宋_GB2312" w:cs="仿宋_GB2312"/>
          <w:color w:val="auto"/>
          <w:kern w:val="0"/>
          <w:sz w:val="32"/>
          <w:szCs w:val="32"/>
          <w:u w:val="single"/>
        </w:rPr>
        <w:t>2024年度本单位未计划处置或新增车辆、设备等。</w:t>
      </w:r>
      <w:r>
        <w:rPr>
          <w:rFonts w:hint="eastAsia" w:eastAsia="仿宋_GB2312" w:cs="仿宋_GB2312"/>
          <w:color w:val="auto"/>
          <w:kern w:val="0"/>
          <w:sz w:val="32"/>
          <w:szCs w:val="32"/>
        </w:rPr>
        <w:t>）</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（六）预算绩效目标说明</w:t>
      </w:r>
    </w:p>
    <w:p>
      <w:pPr>
        <w:widowControl/>
        <w:spacing w:line="600" w:lineRule="exact"/>
        <w:ind w:firstLine="640" w:firstLineChars="200"/>
        <w:rPr>
          <w:rFonts w:eastAsia="仿宋_GB2312" w:cs="仿宋_GB2312"/>
          <w:color w:val="auto"/>
          <w:kern w:val="0"/>
          <w:sz w:val="32"/>
          <w:szCs w:val="32"/>
        </w:rPr>
      </w:pPr>
      <w:r>
        <w:rPr>
          <w:rFonts w:hint="eastAsia" w:eastAsia="仿宋_GB2312"/>
          <w:bCs/>
          <w:color w:val="auto"/>
          <w:kern w:val="0"/>
          <w:sz w:val="32"/>
          <w:szCs w:val="32"/>
        </w:rPr>
        <w:t>本单位</w:t>
      </w:r>
      <w:r>
        <w:rPr>
          <w:rFonts w:eastAsia="仿宋_GB2312"/>
          <w:bCs/>
          <w:color w:val="auto"/>
          <w:kern w:val="0"/>
          <w:sz w:val="32"/>
          <w:szCs w:val="32"/>
        </w:rPr>
        <w:t>所有支出实行绩效目标管理。纳入</w:t>
      </w:r>
      <w:r>
        <w:rPr>
          <w:rFonts w:hint="eastAsia" w:eastAsia="仿宋_GB2312"/>
          <w:bCs/>
          <w:color w:val="auto"/>
          <w:kern w:val="0"/>
          <w:sz w:val="32"/>
          <w:szCs w:val="32"/>
        </w:rPr>
        <w:t>2024年单位</w:t>
      </w:r>
      <w:r>
        <w:rPr>
          <w:rFonts w:eastAsia="仿宋_GB2312"/>
          <w:bCs/>
          <w:color w:val="auto"/>
          <w:kern w:val="0"/>
          <w:sz w:val="32"/>
          <w:szCs w:val="32"/>
        </w:rPr>
        <w:t>整体支出绩效目标的金额为</w:t>
      </w:r>
      <w:r>
        <w:rPr>
          <w:rFonts w:hint="eastAsia" w:eastAsia="仿宋_GB2312"/>
          <w:bCs/>
          <w:color w:val="auto"/>
          <w:kern w:val="0"/>
          <w:sz w:val="32"/>
          <w:szCs w:val="32"/>
          <w:lang w:val="en-US" w:eastAsia="zh-CN"/>
        </w:rPr>
        <w:t>2050.88</w:t>
      </w:r>
      <w:r>
        <w:rPr>
          <w:rFonts w:eastAsia="仿宋_GB2312"/>
          <w:bCs/>
          <w:color w:val="auto"/>
          <w:kern w:val="0"/>
          <w:sz w:val="32"/>
          <w:szCs w:val="32"/>
        </w:rPr>
        <w:t>万元，其中，基本支出</w:t>
      </w:r>
      <w:r>
        <w:rPr>
          <w:rFonts w:hint="eastAsia" w:eastAsia="仿宋_GB2312"/>
          <w:bCs/>
          <w:color w:val="auto"/>
          <w:kern w:val="0"/>
          <w:sz w:val="32"/>
          <w:szCs w:val="32"/>
          <w:lang w:val="en-US" w:eastAsia="zh-CN"/>
        </w:rPr>
        <w:t>为2050.88</w:t>
      </w:r>
      <w:bookmarkStart w:id="0" w:name="_GoBack"/>
      <w:bookmarkEnd w:id="0"/>
      <w:r>
        <w:rPr>
          <w:rFonts w:eastAsia="仿宋_GB2312"/>
          <w:bCs/>
          <w:color w:val="auto"/>
          <w:kern w:val="0"/>
          <w:sz w:val="32"/>
          <w:szCs w:val="32"/>
        </w:rPr>
        <w:t>万元，项目支出</w:t>
      </w:r>
      <w:r>
        <w:rPr>
          <w:rFonts w:hint="eastAsia" w:eastAsia="仿宋_GB2312"/>
          <w:bCs/>
          <w:color w:val="auto"/>
          <w:kern w:val="0"/>
          <w:sz w:val="32"/>
          <w:szCs w:val="32"/>
          <w:lang w:val="en-US" w:eastAsia="zh-CN"/>
        </w:rPr>
        <w:t>0</w:t>
      </w:r>
      <w:r>
        <w:rPr>
          <w:rFonts w:eastAsia="仿宋_GB2312"/>
          <w:bCs/>
          <w:color w:val="auto"/>
          <w:kern w:val="0"/>
          <w:sz w:val="32"/>
          <w:szCs w:val="32"/>
        </w:rPr>
        <w:t>万元，</w:t>
      </w:r>
      <w:r>
        <w:rPr>
          <w:rFonts w:hint="eastAsia" w:eastAsia="仿宋_GB2312" w:cs="仿宋_GB2312"/>
          <w:color w:val="auto"/>
          <w:kern w:val="0"/>
          <w:sz w:val="32"/>
          <w:szCs w:val="32"/>
        </w:rPr>
        <w:t>详见文尾附表中单位预算公开表格的表22-23。</w:t>
      </w:r>
    </w:p>
    <w:p>
      <w:pPr>
        <w:widowControl/>
        <w:spacing w:line="60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、名词解释</w:t>
      </w:r>
    </w:p>
    <w:p>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 xml:space="preserve">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widowControl/>
        <w:spacing w:line="600" w:lineRule="exact"/>
        <w:ind w:firstLine="640" w:firstLineChars="200"/>
        <w:jc w:val="center"/>
        <w:rPr>
          <w:rFonts w:eastAsia="黑体" w:cs="黑体"/>
          <w:color w:val="auto"/>
          <w:kern w:val="0"/>
          <w:sz w:val="32"/>
          <w:szCs w:val="32"/>
        </w:rPr>
      </w:pPr>
      <w:r>
        <w:rPr>
          <w:rFonts w:hint="eastAsia" w:eastAsia="黑体" w:cs="黑体"/>
          <w:color w:val="auto"/>
          <w:kern w:val="0"/>
          <w:sz w:val="32"/>
          <w:szCs w:val="32"/>
        </w:rPr>
        <w:br w:type="page"/>
      </w:r>
      <w:r>
        <w:rPr>
          <w:rFonts w:hint="eastAsia" w:eastAsia="黑体" w:cs="黑体"/>
          <w:color w:val="auto"/>
          <w:kern w:val="0"/>
          <w:sz w:val="32"/>
          <w:szCs w:val="32"/>
        </w:rPr>
        <w:t>第二部分  单位预算公开表格</w:t>
      </w:r>
    </w:p>
    <w:p>
      <w:pPr>
        <w:widowControl/>
        <w:spacing w:line="600" w:lineRule="exact"/>
        <w:ind w:firstLine="11520" w:firstLineChars="3600"/>
        <w:rPr>
          <w:rFonts w:eastAsia="黑体" w:cs="黑体"/>
          <w:color w:val="auto"/>
          <w:kern w:val="0"/>
          <w:sz w:val="32"/>
          <w:szCs w:val="32"/>
        </w:rPr>
      </w:pPr>
      <w:r>
        <w:rPr>
          <w:rFonts w:hint="eastAsia" w:eastAsia="黑体" w:cs="黑体"/>
          <w:color w:val="auto"/>
          <w:kern w:val="0"/>
          <w:sz w:val="32"/>
          <w:szCs w:val="32"/>
        </w:rPr>
        <w:t>附件：</w:t>
      </w:r>
      <w:r>
        <w:rPr>
          <w:rFonts w:hint="eastAsia" w:eastAsia="黑体" w:cs="黑体"/>
          <w:color w:val="auto"/>
          <w:kern w:val="0"/>
          <w:sz w:val="32"/>
          <w:szCs w:val="32"/>
          <w:lang w:eastAsia="zh-CN"/>
        </w:rPr>
        <w:t>岳阳县</w:t>
      </w:r>
      <w:r>
        <w:rPr>
          <w:rFonts w:hint="eastAsia" w:eastAsia="黑体" w:cs="黑体"/>
          <w:color w:val="auto"/>
          <w:kern w:val="0"/>
          <w:sz w:val="32"/>
          <w:szCs w:val="32"/>
          <w:lang w:val="en-US" w:eastAsia="zh-CN"/>
        </w:rPr>
        <w:t>荣湾湖小学</w:t>
      </w:r>
      <w:r>
        <w:rPr>
          <w:rFonts w:hint="eastAsia" w:eastAsia="黑体" w:cs="黑体"/>
          <w:color w:val="auto"/>
          <w:kern w:val="0"/>
          <w:sz w:val="32"/>
          <w:szCs w:val="32"/>
        </w:rPr>
        <w:t>单位预算公开表格</w:t>
      </w:r>
    </w:p>
    <w:p>
      <w:pP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D3275"/>
    <w:multiLevelType w:val="singleLevel"/>
    <w:tmpl w:val="A2DD3275"/>
    <w:lvl w:ilvl="0" w:tentative="0">
      <w:start w:val="5"/>
      <w:numFmt w:val="chineseCounting"/>
      <w:suff w:val="nothing"/>
      <w:lvlText w:val="%1、"/>
      <w:lvlJc w:val="left"/>
      <w:rPr>
        <w:rFonts w:hint="eastAsia"/>
      </w:rPr>
    </w:lvl>
  </w:abstractNum>
  <w:abstractNum w:abstractNumId="1">
    <w:nsid w:val="A2E80FD4"/>
    <w:multiLevelType w:val="singleLevel"/>
    <w:tmpl w:val="A2E80FD4"/>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3ZjY2ODBmZjMwNTgzN2JkMzhkYzgyNjllZTM4MTAifQ=="/>
  </w:docVars>
  <w:rsids>
    <w:rsidRoot w:val="00735079"/>
    <w:rsid w:val="00735079"/>
    <w:rsid w:val="00923DEB"/>
    <w:rsid w:val="00AA2C3C"/>
    <w:rsid w:val="03161C5C"/>
    <w:rsid w:val="05EF6F7C"/>
    <w:rsid w:val="1E0D44E7"/>
    <w:rsid w:val="235143CE"/>
    <w:rsid w:val="530D6275"/>
    <w:rsid w:val="56306B03"/>
    <w:rsid w:val="69056147"/>
    <w:rsid w:val="6D864652"/>
    <w:rsid w:val="6F86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semiHidden/>
    <w:unhideWhenUsed/>
    <w:qFormat/>
    <w:uiPriority w:val="99"/>
    <w:pPr>
      <w:spacing w:before="120"/>
    </w:pPr>
    <w:rPr>
      <w:rFonts w:asciiTheme="majorHAnsi" w:hAnsiTheme="majorHAnsi" w:cstheme="majorBidi"/>
      <w:sz w:val="24"/>
      <w:szCs w:val="24"/>
    </w:rPr>
  </w:style>
  <w:style w:type="paragraph" w:styleId="3">
    <w:name w:val="footer"/>
    <w:basedOn w:val="1"/>
    <w:link w:val="7"/>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autoRedefine/>
    <w:qFormat/>
    <w:uiPriority w:val="0"/>
    <w:rPr>
      <w:rFonts w:ascii="Times New Roman" w:hAnsi="Times New Roman" w:eastAsia="宋体" w:cs="Times New Roman"/>
      <w:sz w:val="18"/>
      <w:szCs w:val="18"/>
    </w:rPr>
  </w:style>
  <w:style w:type="character" w:customStyle="1" w:styleId="8">
    <w:name w:val="页眉 Char"/>
    <w:basedOn w:val="6"/>
    <w:link w:val="4"/>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447</Words>
  <Characters>2553</Characters>
  <Lines>21</Lines>
  <Paragraphs>5</Paragraphs>
  <TotalTime>47</TotalTime>
  <ScaleCrop>false</ScaleCrop>
  <LinksUpToDate>false</LinksUpToDate>
  <CharactersWithSpaces>2995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2024-05-21T00:27:00Z</dcterms:created>
  <dc:creator>Administrator</dc:creator>
  <cp:lastModifiedBy>汪荣</cp:lastModifiedBy>
  <dcterms:modified xsi:type="dcterms:W3CDTF">2024-05-24T08:36:33Z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79FF06D48F1D428EB0CD72A53824BC93_12</vt:lpwstr>
  </property>
</Properties>
</file>