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微软雅黑" w:hAnsi="微软雅黑" w:eastAsia="微软雅黑" w:cs="微软雅黑"/>
          <w:kern w:val="0"/>
          <w:sz w:val="52"/>
          <w:szCs w:val="52"/>
        </w:rPr>
      </w:pPr>
      <w:r>
        <w:rPr>
          <w:rFonts w:hint="eastAsia" w:ascii="微软雅黑" w:hAnsi="微软雅黑" w:eastAsia="微软雅黑" w:cs="微软雅黑"/>
          <w:kern w:val="0"/>
          <w:sz w:val="52"/>
          <w:szCs w:val="52"/>
          <w:lang w:val="en-US" w:eastAsia="zh-CN"/>
        </w:rPr>
        <w:t>步仙镇中心学校</w:t>
      </w:r>
      <w:r>
        <w:rPr>
          <w:rFonts w:hint="eastAsia" w:ascii="微软雅黑" w:hAnsi="微软雅黑" w:eastAsia="微软雅黑" w:cs="微软雅黑"/>
          <w:kern w:val="0"/>
          <w:sz w:val="52"/>
          <w:szCs w:val="52"/>
        </w:rPr>
        <w:t>2024年度</w:t>
      </w:r>
    </w:p>
    <w:p>
      <w:pPr>
        <w:widowControl/>
        <w:jc w:val="center"/>
        <w:rPr>
          <w:rFonts w:hint="eastAsia" w:ascii="微软雅黑" w:hAnsi="微软雅黑" w:eastAsia="微软雅黑" w:cs="微软雅黑"/>
          <w:kern w:val="0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52"/>
          <w:szCs w:val="52"/>
        </w:rPr>
        <w:t>单位预算</w:t>
      </w:r>
      <w:r>
        <w:rPr>
          <w:rFonts w:hint="eastAsia" w:ascii="微软雅黑" w:hAnsi="微软雅黑" w:eastAsia="微软雅黑" w:cs="微软雅黑"/>
          <w:kern w:val="0"/>
          <w:sz w:val="52"/>
          <w:szCs w:val="52"/>
          <w:lang w:val="en-US" w:eastAsia="zh-CN"/>
        </w:rPr>
        <w:t>公开</w:t>
      </w:r>
    </w:p>
    <w:p>
      <w:pPr>
        <w:widowControl/>
        <w:ind w:firstLine="880" w:firstLineChars="200"/>
        <w:jc w:val="center"/>
        <w:rPr>
          <w:rFonts w:ascii="黑体" w:hAnsi="黑体" w:eastAsia="黑体" w:cs="黑体"/>
          <w:kern w:val="0"/>
          <w:sz w:val="44"/>
          <w:szCs w:val="44"/>
        </w:rPr>
      </w:pPr>
    </w:p>
    <w:p>
      <w:pPr>
        <w:widowControl/>
        <w:jc w:val="center"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>
      <w:pPr>
        <w:widowControl/>
        <w:ind w:firstLine="643" w:firstLineChars="200"/>
        <w:rPr>
          <w:rFonts w:ascii="仿宋_GB2312" w:eastAsia="仿宋_GB2312"/>
          <w:b/>
          <w:bCs/>
          <w:kern w:val="0"/>
          <w:sz w:val="32"/>
          <w:szCs w:val="32"/>
        </w:rPr>
      </w:pPr>
    </w:p>
    <w:p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 xml:space="preserve"> 2024年单位预算说明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一、部门基本概况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　（一）职能职责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　（二）机构设置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　二、部门预算单位构成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　三、部门收支总体情况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　（一）收入预算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　（二）支出预算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　四、一般公共预算拨款支出预算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　（一）基本支出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　（二）项目支出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　五、政府性基金预算支出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　六、其他重要事项的情况说明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　（一）机关运行经费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　（二）“三公”经费预算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　（三）一般性支出情况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　（四）政府采购情况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　（五）国有资产占有使用情况及新增资产配置情况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　（五）重点项目预算的绩效目标等预算绩效情况说明</w:t>
      </w:r>
    </w:p>
    <w:p>
      <w:pPr>
        <w:widowControl/>
        <w:spacing w:line="480" w:lineRule="auto"/>
        <w:textAlignment w:val="center"/>
        <w:rPr>
          <w:rFonts w:ascii="Segoe UI" w:hAnsi="Segoe UI" w:cs="Segoe UI"/>
          <w:color w:val="333333"/>
          <w:kern w:val="0"/>
          <w:sz w:val="24"/>
          <w:szCs w:val="24"/>
        </w:rPr>
      </w:pPr>
      <w:r>
        <w:rPr>
          <w:rFonts w:ascii="Segoe UI" w:hAnsi="Segoe UI" w:cs="Segoe UI"/>
          <w:color w:val="333333"/>
          <w:kern w:val="0"/>
          <w:sz w:val="24"/>
          <w:szCs w:val="24"/>
        </w:rPr>
        <w:t>　　七、名词解释</w:t>
      </w:r>
    </w:p>
    <w:p>
      <w:pPr>
        <w:pStyle w:val="2"/>
        <w:widowControl w:val="0"/>
        <w:numPr>
          <w:numId w:val="0"/>
        </w:numPr>
        <w:spacing w:before="120"/>
        <w:jc w:val="both"/>
      </w:pPr>
    </w:p>
    <w:p>
      <w:pPr>
        <w:widowControl/>
        <w:spacing w:line="600" w:lineRule="exact"/>
        <w:ind w:firstLine="640" w:firstLineChars="2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2、项目支出</w:t>
      </w:r>
      <w:r>
        <w:rPr>
          <w:rFonts w:eastAsia="仿宋_GB2312"/>
          <w:sz w:val="32"/>
          <w:szCs w:val="32"/>
        </w:rPr>
        <w:t>绩效目标表</w:t>
      </w:r>
    </w:p>
    <w:p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>
      <w:pPr>
        <w:widowControl/>
        <w:spacing w:line="600" w:lineRule="exact"/>
        <w:ind w:firstLine="643" w:firstLineChars="20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color w:val="FF0000"/>
          <w:kern w:val="0"/>
          <w:sz w:val="32"/>
          <w:szCs w:val="32"/>
        </w:rPr>
        <w:t>单位预算公开</w:t>
      </w:r>
      <w:r>
        <w:rPr>
          <w:rFonts w:eastAsia="仿宋_GB2312"/>
          <w:b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color w:val="FF0000"/>
          <w:kern w:val="0"/>
          <w:sz w:val="32"/>
          <w:szCs w:val="32"/>
        </w:rPr>
        <w:t>单位</w:t>
      </w:r>
      <w:r>
        <w:rPr>
          <w:rFonts w:eastAsia="仿宋_GB2312"/>
          <w:b/>
          <w:color w:val="FF0000"/>
          <w:kern w:val="0"/>
          <w:sz w:val="32"/>
          <w:szCs w:val="32"/>
        </w:rPr>
        <w:t>无相关收支情况。</w:t>
      </w:r>
    </w:p>
    <w:p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  2024年单位预算说明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一、单位基本概况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>
      <w:pPr>
        <w:widowControl/>
        <w:spacing w:line="480" w:lineRule="auto"/>
        <w:ind w:firstLine="640" w:firstLineChars="200"/>
        <w:textAlignment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1、贯彻落实党和国家的教育方针、政策、法律、法规、规章，研究制定地方性的教育政策并监督执行;研究制订全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教育事业发展规划和年度计划，科学合理确定教育发展重点、规模、速度和步骤，指导和协调教育规划、计划的实施;统筹管理全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初等、中等学历教育;主管全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学校招生考试;综合管理和指导各层次的非学历培训、学前教育、继续教育等工作;组织指导教育理论、教材教法和教学手段方法等方面的研究。</w:t>
      </w:r>
    </w:p>
    <w:p>
      <w:pPr>
        <w:widowControl/>
        <w:spacing w:line="480" w:lineRule="auto"/>
        <w:textAlignment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2、领导全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教育系统的纪检、监察工作;指导学校思想政治工作、德育工作、体育、卫生、艺术教育和国防教育工作。</w:t>
      </w:r>
    </w:p>
    <w:p>
      <w:pPr>
        <w:widowControl/>
        <w:spacing w:line="480" w:lineRule="auto"/>
        <w:textAlignment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3、指导编制并负责汇总全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学校发展情况和教育经费年度预、决算，归口管理本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教育事业经费;组织、指导全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教育系统的内部审计工作。</w:t>
      </w:r>
    </w:p>
    <w:p>
      <w:pPr>
        <w:widowControl/>
        <w:spacing w:line="480" w:lineRule="auto"/>
        <w:textAlignment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4、会同有关部门制订全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教育系统有关机构编制、劳动工资、工作绩效奖惩、人事管理等方面的规章制度并组织实施;负责全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教育系统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招聘录用、人员调配等工作;负责全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教师系列专业技术职务的评聘。</w:t>
      </w:r>
    </w:p>
    <w:p>
      <w:pPr>
        <w:widowControl/>
        <w:spacing w:line="480" w:lineRule="auto"/>
        <w:textAlignment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5、负责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全镇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教师和教育行政干部队伍的建设工作;统筹管理全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社会力量办学;指导、管理全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学校勤工俭学工作。</w:t>
      </w:r>
    </w:p>
    <w:p>
      <w:pPr>
        <w:widowControl/>
        <w:spacing w:line="480" w:lineRule="auto"/>
        <w:ind w:firstLine="480"/>
        <w:textAlignment w:val="center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6、拟订全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群众体育工作的发展规划;推行全民健身计划，建立和完善全民健身体系，负责全民健身工程的实施和监督管理;指导开展群众性体育活动;组织协调参加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级以上群众性体育赛事及活动;指导开展国民体质监测活动和体育场地普查工作;指导《国家体育锻炼标准》实施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。</w:t>
      </w:r>
    </w:p>
    <w:p>
      <w:pPr>
        <w:widowControl/>
        <w:spacing w:line="480" w:lineRule="auto"/>
        <w:ind w:firstLine="480"/>
        <w:textAlignment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7、负责全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体育产业的开发和管理;指导公共体育设施的建设，推动体育标准化建设具体工作;承担规范体育服务管理、公共体育设施监督管理、体育统计、体育彩票发行管理工作。</w:t>
      </w:r>
    </w:p>
    <w:p>
      <w:pPr>
        <w:widowControl/>
        <w:spacing w:line="480" w:lineRule="auto"/>
        <w:textAlignment w:val="center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　　8、负责全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中小学体育和国防教育工作的管理、指导和评价;负责组织开展本级、指导协调参加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级以上体育竞赛等交流活动;指导并监督全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学生体质状况监测，指导协调学校阳光体育、校园足球工作的实施。负责全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学生健康教育、环境卫生、教学卫生工作。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本预算是全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镇</w:t>
      </w:r>
      <w:r>
        <w:rPr>
          <w:rFonts w:hint="eastAsia" w:eastAsia="仿宋_GB2312" w:cs="仿宋_GB2312"/>
          <w:kern w:val="0"/>
          <w:sz w:val="32"/>
          <w:szCs w:val="32"/>
        </w:rPr>
        <w:t>教育系统的汇总预算，包括全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镇</w:t>
      </w:r>
      <w:r>
        <w:rPr>
          <w:rFonts w:hint="eastAsia" w:eastAsia="仿宋_GB2312" w:cs="仿宋_GB2312"/>
          <w:kern w:val="0"/>
          <w:sz w:val="32"/>
          <w:szCs w:val="32"/>
        </w:rPr>
        <w:t>各中小学校。全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镇</w:t>
      </w:r>
      <w:r>
        <w:rPr>
          <w:rFonts w:hint="eastAsia" w:eastAsia="仿宋_GB2312" w:cs="仿宋_GB2312"/>
          <w:kern w:val="0"/>
          <w:sz w:val="32"/>
          <w:szCs w:val="32"/>
        </w:rPr>
        <w:t>教育系统共有中小学生</w:t>
      </w:r>
      <w:r>
        <w:rPr>
          <w:rFonts w:hint="eastAsia" w:eastAsia="仿宋_GB2312" w:cs="仿宋_GB2312"/>
          <w:color w:val="FF0000"/>
          <w:kern w:val="0"/>
          <w:sz w:val="32"/>
          <w:szCs w:val="32"/>
          <w:highlight w:val="none"/>
          <w:lang w:val="en-US" w:eastAsia="zh-CN"/>
        </w:rPr>
        <w:t>2885</w:t>
      </w:r>
      <w:r>
        <w:rPr>
          <w:rFonts w:hint="eastAsia" w:eastAsia="仿宋_GB2312" w:cs="仿宋_GB2312"/>
          <w:kern w:val="0"/>
          <w:sz w:val="32"/>
          <w:szCs w:val="32"/>
        </w:rPr>
        <w:t>人(含幼儿)，其中普通初中（九年一贯制）</w:t>
      </w:r>
      <w:r>
        <w:rPr>
          <w:rFonts w:hint="eastAsia" w:eastAsia="仿宋_GB2312" w:cs="仿宋_GB2312"/>
          <w:color w:val="FF0000"/>
          <w:kern w:val="0"/>
          <w:sz w:val="32"/>
          <w:szCs w:val="32"/>
          <w:lang w:val="en-US" w:eastAsia="zh-CN"/>
        </w:rPr>
        <w:t>845</w:t>
      </w:r>
      <w:r>
        <w:rPr>
          <w:rFonts w:hint="eastAsia" w:eastAsia="仿宋_GB2312" w:cs="仿宋_GB2312"/>
          <w:kern w:val="0"/>
          <w:sz w:val="32"/>
          <w:szCs w:val="32"/>
        </w:rPr>
        <w:t>人、小学及教学点</w:t>
      </w:r>
      <w:r>
        <w:rPr>
          <w:rFonts w:hint="eastAsia" w:eastAsia="仿宋_GB2312" w:cs="仿宋_GB2312"/>
          <w:color w:val="FF0000"/>
          <w:kern w:val="0"/>
          <w:sz w:val="32"/>
          <w:szCs w:val="32"/>
          <w:lang w:val="en-US" w:eastAsia="zh-CN"/>
        </w:rPr>
        <w:t>1415</w:t>
      </w:r>
      <w:r>
        <w:rPr>
          <w:rFonts w:hint="eastAsia" w:eastAsia="仿宋_GB2312" w:cs="仿宋_GB2312"/>
          <w:kern w:val="0"/>
          <w:sz w:val="32"/>
          <w:szCs w:val="32"/>
        </w:rPr>
        <w:t>人，在园幼儿</w:t>
      </w:r>
      <w:r>
        <w:rPr>
          <w:rFonts w:hint="eastAsia" w:eastAsia="仿宋_GB2312" w:cs="仿宋_GB2312"/>
          <w:color w:val="FF0000"/>
          <w:kern w:val="0"/>
          <w:sz w:val="32"/>
          <w:szCs w:val="32"/>
          <w:lang w:val="en-US" w:eastAsia="zh-CN"/>
        </w:rPr>
        <w:t>625</w:t>
      </w:r>
      <w:r>
        <w:rPr>
          <w:rFonts w:hint="eastAsia" w:eastAsia="仿宋_GB2312" w:cs="仿宋_GB2312"/>
          <w:kern w:val="0"/>
          <w:sz w:val="32"/>
          <w:szCs w:val="32"/>
        </w:rPr>
        <w:t>人。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二、单位收支总体情况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>
      <w:pPr>
        <w:widowControl/>
        <w:spacing w:line="600" w:lineRule="exact"/>
        <w:ind w:firstLine="640" w:firstLineChars="200"/>
        <w:rPr>
          <w:rFonts w:hint="default" w:eastAsia="仿宋_GB2312" w:cs="仿宋_GB2312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包括一般公共预算、政府性基金、国有资本经营预算等财政拨款收入，以及经营收入、事业收入等单位资金。2024年本单位收入预算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1657.87</w:t>
      </w:r>
      <w:r>
        <w:rPr>
          <w:rFonts w:hint="eastAsia" w:eastAsia="仿宋_GB2312" w:cs="仿宋_GB2312"/>
          <w:kern w:val="0"/>
          <w:sz w:val="32"/>
          <w:szCs w:val="32"/>
        </w:rPr>
        <w:t>万元，其中，一般公共预算拨款</w:t>
      </w:r>
      <w:r>
        <w:rPr>
          <w:rFonts w:hint="default" w:eastAsia="仿宋_GB2312" w:cs="仿宋_GB2312"/>
          <w:kern w:val="0"/>
          <w:sz w:val="32"/>
          <w:szCs w:val="32"/>
        </w:rPr>
        <w:t>1437.37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其他收入220.5万元</w:t>
      </w:r>
      <w:r>
        <w:rPr>
          <w:rFonts w:hint="eastAsia" w:eastAsia="仿宋_GB2312" w:cs="仿宋_GB2312"/>
          <w:kern w:val="0"/>
          <w:sz w:val="32"/>
          <w:szCs w:val="32"/>
        </w:rPr>
        <w:t>。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本单位2024年以前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没有预算到校，不是一级预算单位，因此相关数据无法与上年对比。</w:t>
      </w:r>
    </w:p>
    <w:p>
      <w:pPr>
        <w:widowControl/>
        <w:spacing w:line="600" w:lineRule="exact"/>
        <w:ind w:firstLine="630" w:firstLineChars="196"/>
        <w:jc w:val="left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2024年本单位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1657.87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lang w:val="en-US" w:eastAsia="zh-CN"/>
        </w:rPr>
        <w:t>教育支出1201.89万元，社会保障和就业支出151.06万元，卫生健康支出84.42万元。其他支出220.5万元。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本单位2024年以前</w:t>
      </w:r>
      <w:r>
        <w:rPr>
          <w:rFonts w:hint="eastAsia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没有预算到校，不是一级预算单位，因此相关数据无法与上年对比。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三、一般公共预算拨款支出预算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2024年一般公共预算拨款支出预算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1437.37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教育支出1201.89万元</w:t>
      </w:r>
      <w:r>
        <w:rPr>
          <w:rFonts w:eastAsia="仿宋_GB2312"/>
          <w:sz w:val="32"/>
          <w:szCs w:val="32"/>
        </w:rPr>
        <w:t>，占</w:t>
      </w:r>
      <w:r>
        <w:rPr>
          <w:rFonts w:hint="eastAsia" w:eastAsia="仿宋_GB2312"/>
          <w:sz w:val="32"/>
          <w:szCs w:val="32"/>
          <w:lang w:val="en-US" w:eastAsia="zh-CN"/>
        </w:rPr>
        <w:t>83.6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社会保障和就业支出151.06万元</w:t>
      </w:r>
      <w:r>
        <w:rPr>
          <w:rFonts w:hint="eastAsia" w:eastAsia="仿宋_GB2312"/>
          <w:sz w:val="32"/>
          <w:szCs w:val="32"/>
        </w:rPr>
        <w:t>，占</w:t>
      </w:r>
      <w:r>
        <w:rPr>
          <w:rFonts w:hint="eastAsia" w:eastAsia="仿宋_GB2312"/>
          <w:sz w:val="32"/>
          <w:szCs w:val="32"/>
          <w:lang w:val="en-US" w:eastAsia="zh-CN"/>
        </w:rPr>
        <w:t>10.5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卫生健康支出84.42万元</w:t>
      </w:r>
      <w:r>
        <w:rPr>
          <w:rFonts w:eastAsia="仿宋_GB2312"/>
          <w:sz w:val="32"/>
          <w:szCs w:val="32"/>
        </w:rPr>
        <w:t>，占</w:t>
      </w:r>
      <w:r>
        <w:rPr>
          <w:rFonts w:hint="eastAsia" w:eastAsia="仿宋_GB2312"/>
          <w:sz w:val="32"/>
          <w:szCs w:val="32"/>
          <w:lang w:val="en-US" w:eastAsia="zh-CN"/>
        </w:rPr>
        <w:t>5.9</w:t>
      </w:r>
      <w:r>
        <w:rPr>
          <w:rFonts w:hint="eastAsia" w:eastAsia="仿宋_GB2312"/>
          <w:sz w:val="32"/>
          <w:szCs w:val="32"/>
        </w:rPr>
        <w:t>%</w:t>
      </w:r>
      <w:r>
        <w:rPr>
          <w:rFonts w:hint="eastAsia" w:eastAsia="仿宋_GB2312"/>
          <w:sz w:val="32"/>
          <w:szCs w:val="32"/>
          <w:lang w:eastAsia="zh-CN"/>
        </w:rPr>
        <w:t>。</w:t>
      </w:r>
      <w:r>
        <w:rPr>
          <w:rFonts w:hint="eastAsia" w:eastAsia="仿宋_GB2312" w:cs="仿宋_GB2312"/>
          <w:kern w:val="0"/>
          <w:sz w:val="32"/>
          <w:szCs w:val="32"/>
        </w:rPr>
        <w:t>具体安排情况如下：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（一）基本支出：2024年基本支出年初预算数为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1430.17</w:t>
      </w:r>
      <w:r>
        <w:rPr>
          <w:rFonts w:hint="eastAsia" w:eastAsia="仿宋_GB2312" w:cs="仿宋_GB2312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（二）项目支出：2024年项目支出年初预算数为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7.2</w:t>
      </w:r>
      <w:r>
        <w:rPr>
          <w:rFonts w:hint="eastAsia" w:eastAsia="仿宋_GB2312" w:cs="仿宋_GB2312"/>
          <w:kern w:val="0"/>
          <w:sz w:val="32"/>
          <w:szCs w:val="32"/>
        </w:rPr>
        <w:t>万元，是指单位为完成特定行政工作任务或事业发展目标而发生的支出，包括有关业务工作经费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</w:rPr>
        <w:t>、运行维护经费等。其中：业务工作经费支出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5.3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val="en-US" w:eastAsia="zh-CN"/>
        </w:rPr>
        <w:t>培训、办公</w:t>
      </w:r>
      <w:r>
        <w:rPr>
          <w:rFonts w:hint="eastAsia" w:eastAsia="仿宋_GB2312"/>
          <w:sz w:val="32"/>
          <w:szCs w:val="32"/>
        </w:rPr>
        <w:t>等方面；运行维护经费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1.9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val="en-US" w:eastAsia="zh-CN"/>
        </w:rPr>
        <w:t>水电，印刷</w:t>
      </w:r>
      <w:r>
        <w:rPr>
          <w:rFonts w:hint="eastAsia" w:eastAsia="仿宋_GB2312"/>
          <w:sz w:val="32"/>
          <w:szCs w:val="32"/>
        </w:rPr>
        <w:t>等方面。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2024年度本单位无政府性基金安排的支出，所以公开的附件16-18（政府性基金预算）为空。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五、其他重要事项的情况说明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本单位2024年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未安排</w:t>
      </w:r>
      <w:r>
        <w:rPr>
          <w:rFonts w:hint="eastAsia" w:eastAsia="仿宋_GB2312" w:cs="仿宋_GB2312"/>
          <w:kern w:val="0"/>
          <w:sz w:val="32"/>
          <w:szCs w:val="32"/>
        </w:rPr>
        <w:t>机关运行经费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本单位2024年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未安排</w:t>
      </w:r>
      <w:r>
        <w:rPr>
          <w:rFonts w:hint="eastAsia" w:eastAsia="仿宋_GB2312" w:cs="仿宋_GB2312"/>
          <w:kern w:val="0"/>
          <w:sz w:val="32"/>
          <w:szCs w:val="32"/>
        </w:rPr>
        <w:t>“三公”经费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（三）一般性支出情况</w:t>
      </w:r>
    </w:p>
    <w:p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color w:val="FF0000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本单位2024年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未安排</w:t>
      </w:r>
      <w:r>
        <w:rPr>
          <w:rFonts w:hint="eastAsia" w:eastAsia="仿宋_GB2312" w:cs="仿宋_GB2312"/>
          <w:kern w:val="0"/>
          <w:sz w:val="32"/>
          <w:szCs w:val="32"/>
        </w:rPr>
        <w:t>会议费</w:t>
      </w:r>
      <w:r>
        <w:rPr>
          <w:rFonts w:hint="eastAsia" w:eastAsia="仿宋_GB2312" w:cs="仿宋_GB2312"/>
          <w:color w:val="3216DC"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（四）政府采购情况</w:t>
      </w:r>
    </w:p>
    <w:p>
      <w:pPr>
        <w:widowControl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2024年度本单位未安排政府采购预算。</w:t>
      </w:r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（五）国有资产占有使用及新增资产配置情况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6"/>
          <w:szCs w:val="36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2024年度本单位未计划处置或新增车辆、设备等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。</w:t>
      </w:r>
      <w:bookmarkStart w:id="0" w:name="_GoBack"/>
      <w:bookmarkEnd w:id="0"/>
    </w:p>
    <w:p>
      <w:pPr>
        <w:widowControl/>
        <w:spacing w:line="600" w:lineRule="exact"/>
        <w:ind w:firstLine="643" w:firstLineChars="200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（六）预算绩效目标说明</w:t>
      </w:r>
    </w:p>
    <w:p>
      <w:pPr>
        <w:widowControl/>
        <w:spacing w:line="600" w:lineRule="exact"/>
        <w:ind w:firstLine="640" w:firstLineChars="200"/>
        <w:rPr>
          <w:rFonts w:eastAsia="仿宋_GB2312" w:cs="仿宋_GB2312"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</w:rPr>
        <w:t>2024年单位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1437.37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1430.17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7.2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</w:rPr>
        <w:t>详见文尾附表中单位预算公开表格的表22-23。</w:t>
      </w:r>
    </w:p>
    <w:p>
      <w:pPr>
        <w:widowControl/>
        <w:spacing w:line="60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五、名词解释</w:t>
      </w:r>
    </w:p>
    <w:p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>
      <w:pPr>
        <w:widowControl/>
        <w:spacing w:line="600" w:lineRule="exact"/>
        <w:ind w:firstLine="640" w:firstLineChars="20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  单位预算公开表格</w:t>
      </w:r>
    </w:p>
    <w:p>
      <w:pPr>
        <w:widowControl/>
        <w:spacing w:line="600" w:lineRule="exact"/>
        <w:ind w:firstLine="11520" w:firstLineChars="3600"/>
        <w:rPr>
          <w:rFonts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附件：XX单位预算公开表格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C99574"/>
    <w:multiLevelType w:val="singleLevel"/>
    <w:tmpl w:val="CAC99574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NkMzE0MWY1NGMxOGY4N2M0YjM3YTBlYWQ3MDdjMDYifQ=="/>
    <w:docVar w:name="KSO_WPS_MARK_KEY" w:val="e526a837-c43a-4fa3-8c76-a680e9bb6e14"/>
  </w:docVars>
  <w:rsids>
    <w:rsidRoot w:val="00735079"/>
    <w:rsid w:val="00735079"/>
    <w:rsid w:val="00AA2C3C"/>
    <w:rsid w:val="130F4495"/>
    <w:rsid w:val="165356FD"/>
    <w:rsid w:val="18211D37"/>
    <w:rsid w:val="19C12C02"/>
    <w:rsid w:val="1EE436A8"/>
    <w:rsid w:val="31C709F8"/>
    <w:rsid w:val="34E91611"/>
    <w:rsid w:val="5FEE6292"/>
    <w:rsid w:val="691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2770</Words>
  <Characters>3014</Characters>
  <Lines>21</Lines>
  <Paragraphs>5</Paragraphs>
  <TotalTime>0</TotalTime>
  <ScaleCrop>false</ScaleCrop>
  <LinksUpToDate>false</LinksUpToDate>
  <CharactersWithSpaces>3040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2024-05-21T00:27:00Z</dcterms:created>
  <dc:creator>Administrator</dc:creator>
  <cp:lastModifiedBy>罗水之源</cp:lastModifiedBy>
  <dcterms:modified xsi:type="dcterms:W3CDTF">2024-05-23T01:00:22Z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C2915CF55B7B4347898D3EDAD5B9D4C8</vt:lpwstr>
  </property>
</Properties>
</file>