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E3CC">
      <w:pPr>
        <w:pStyle w:val="10"/>
        <w:jc w:val="center"/>
        <w:rPr>
          <w:sz w:val="56"/>
          <w:szCs w:val="56"/>
        </w:rPr>
      </w:pPr>
    </w:p>
    <w:p w14:paraId="6C99E392">
      <w:pPr>
        <w:pStyle w:val="10"/>
        <w:jc w:val="center"/>
        <w:rPr>
          <w:sz w:val="56"/>
          <w:szCs w:val="56"/>
        </w:rPr>
      </w:pPr>
    </w:p>
    <w:p w14:paraId="421646A4">
      <w:pPr>
        <w:pStyle w:val="10"/>
        <w:jc w:val="center"/>
        <w:rPr>
          <w:sz w:val="84"/>
          <w:szCs w:val="84"/>
        </w:rPr>
      </w:pPr>
    </w:p>
    <w:p w14:paraId="1839FD0E">
      <w:pPr>
        <w:pStyle w:val="10"/>
        <w:jc w:val="center"/>
        <w:rPr>
          <w:sz w:val="84"/>
          <w:szCs w:val="84"/>
        </w:rPr>
      </w:pPr>
    </w:p>
    <w:p w14:paraId="6AB60A36">
      <w:pPr>
        <w:pStyle w:val="10"/>
        <w:jc w:val="center"/>
        <w:rPr>
          <w:sz w:val="84"/>
          <w:szCs w:val="84"/>
        </w:rPr>
      </w:pPr>
      <w:r>
        <w:rPr>
          <w:rFonts w:hint="eastAsia"/>
          <w:sz w:val="84"/>
          <w:szCs w:val="84"/>
        </w:rPr>
        <w:t>2020年度</w:t>
      </w:r>
    </w:p>
    <w:p w14:paraId="7CB203B6">
      <w:pPr>
        <w:pStyle w:val="10"/>
        <w:jc w:val="center"/>
        <w:rPr>
          <w:sz w:val="84"/>
          <w:szCs w:val="84"/>
        </w:rPr>
      </w:pPr>
      <w:r>
        <w:rPr>
          <w:rFonts w:hint="eastAsia"/>
          <w:sz w:val="84"/>
          <w:szCs w:val="84"/>
          <w:lang w:eastAsia="zh-CN"/>
        </w:rPr>
        <w:t>岳阳县风景园林绿化建设养护中心本级</w:t>
      </w:r>
      <w:r>
        <w:rPr>
          <w:rFonts w:hint="eastAsia"/>
          <w:sz w:val="84"/>
          <w:szCs w:val="84"/>
        </w:rPr>
        <w:t>（单位）部门决算</w:t>
      </w:r>
    </w:p>
    <w:p w14:paraId="19D5F17C">
      <w:pPr>
        <w:pStyle w:val="10"/>
        <w:jc w:val="center"/>
        <w:rPr>
          <w:sz w:val="56"/>
          <w:szCs w:val="56"/>
        </w:rPr>
      </w:pPr>
    </w:p>
    <w:p w14:paraId="485B4164">
      <w:pPr>
        <w:pStyle w:val="10"/>
        <w:jc w:val="center"/>
        <w:rPr>
          <w:sz w:val="56"/>
          <w:szCs w:val="56"/>
        </w:rPr>
      </w:pPr>
    </w:p>
    <w:p w14:paraId="2D2FFE41">
      <w:pPr>
        <w:pStyle w:val="10"/>
        <w:jc w:val="center"/>
        <w:rPr>
          <w:sz w:val="56"/>
          <w:szCs w:val="56"/>
        </w:rPr>
      </w:pPr>
    </w:p>
    <w:p w14:paraId="20478CC7">
      <w:pPr>
        <w:pStyle w:val="10"/>
        <w:jc w:val="center"/>
        <w:rPr>
          <w:sz w:val="56"/>
          <w:szCs w:val="56"/>
        </w:rPr>
      </w:pPr>
    </w:p>
    <w:p w14:paraId="543AC900">
      <w:pPr>
        <w:pStyle w:val="10"/>
        <w:jc w:val="center"/>
        <w:rPr>
          <w:sz w:val="32"/>
          <w:szCs w:val="32"/>
        </w:rPr>
      </w:pPr>
    </w:p>
    <w:p w14:paraId="72FB23D5">
      <w:pPr>
        <w:pStyle w:val="10"/>
        <w:jc w:val="center"/>
        <w:rPr>
          <w:sz w:val="32"/>
          <w:szCs w:val="32"/>
        </w:rPr>
      </w:pPr>
    </w:p>
    <w:p w14:paraId="6C4A8CE4">
      <w:pPr>
        <w:pStyle w:val="10"/>
        <w:jc w:val="center"/>
        <w:rPr>
          <w:sz w:val="32"/>
          <w:szCs w:val="32"/>
        </w:rPr>
      </w:pPr>
    </w:p>
    <w:p w14:paraId="2D98C09A">
      <w:pPr>
        <w:pStyle w:val="10"/>
        <w:spacing w:line="540" w:lineRule="exact"/>
        <w:jc w:val="center"/>
        <w:rPr>
          <w:sz w:val="56"/>
          <w:szCs w:val="56"/>
        </w:rPr>
      </w:pPr>
    </w:p>
    <w:p w14:paraId="2120BC1A">
      <w:pPr>
        <w:pStyle w:val="10"/>
        <w:spacing w:line="500" w:lineRule="exact"/>
        <w:jc w:val="center"/>
        <w:rPr>
          <w:b/>
          <w:sz w:val="36"/>
          <w:szCs w:val="28"/>
        </w:rPr>
      </w:pPr>
    </w:p>
    <w:p w14:paraId="77713C01">
      <w:pPr>
        <w:pStyle w:val="10"/>
        <w:spacing w:line="500" w:lineRule="exact"/>
        <w:jc w:val="center"/>
        <w:rPr>
          <w:b/>
          <w:sz w:val="36"/>
          <w:szCs w:val="28"/>
        </w:rPr>
      </w:pPr>
    </w:p>
    <w:p w14:paraId="398344DA">
      <w:pPr>
        <w:pStyle w:val="10"/>
        <w:spacing w:line="500" w:lineRule="exact"/>
        <w:jc w:val="center"/>
        <w:rPr>
          <w:b/>
          <w:sz w:val="36"/>
          <w:szCs w:val="28"/>
        </w:rPr>
      </w:pPr>
      <w:r>
        <w:rPr>
          <w:rFonts w:hint="eastAsia"/>
          <w:b/>
          <w:sz w:val="36"/>
          <w:szCs w:val="28"/>
        </w:rPr>
        <w:t>目录</w:t>
      </w:r>
    </w:p>
    <w:p w14:paraId="0B4D4BD6">
      <w:pPr>
        <w:pStyle w:val="10"/>
        <w:spacing w:line="500" w:lineRule="exact"/>
        <w:rPr>
          <w:rFonts w:ascii="仿宋_GB2312" w:hAnsi="仿宋_GB2312" w:cs="仿宋_GB2312"/>
          <w:b/>
          <w:sz w:val="28"/>
          <w:szCs w:val="28"/>
        </w:rPr>
      </w:pPr>
      <w:r>
        <w:rPr>
          <w:rFonts w:hint="eastAsia"/>
          <w:b/>
          <w:sz w:val="28"/>
          <w:szCs w:val="28"/>
        </w:rPr>
        <w:t>第一部分XX单位概况</w:t>
      </w:r>
    </w:p>
    <w:p w14:paraId="6811BAAA">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1E9CD64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5323B5EC">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14:paraId="19BE8C8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2C2A412">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0725937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55EB2F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609AB792">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7939746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35C89F8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2A385641">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51542F97">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51FCCEC8">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14:paraId="7EE7F27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71616439">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112A22D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5B996E2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0D31B84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47AF8D9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3BF8FA2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6403EB3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5BAC591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3F33585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7CD538F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56C9C611">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33F6BF9F">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005F6E03">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578D7D11">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5788E4A9">
      <w:pPr>
        <w:jc w:val="center"/>
        <w:rPr>
          <w:sz w:val="72"/>
          <w:szCs w:val="72"/>
        </w:rPr>
      </w:pPr>
    </w:p>
    <w:p w14:paraId="5B28C74A">
      <w:pPr>
        <w:jc w:val="center"/>
        <w:rPr>
          <w:sz w:val="72"/>
          <w:szCs w:val="72"/>
        </w:rPr>
      </w:pPr>
    </w:p>
    <w:p w14:paraId="44094F00">
      <w:pPr>
        <w:jc w:val="center"/>
        <w:rPr>
          <w:sz w:val="72"/>
          <w:szCs w:val="72"/>
        </w:rPr>
      </w:pPr>
    </w:p>
    <w:p w14:paraId="01E7BAF8">
      <w:pPr>
        <w:jc w:val="center"/>
        <w:rPr>
          <w:sz w:val="72"/>
          <w:szCs w:val="72"/>
        </w:rPr>
      </w:pPr>
    </w:p>
    <w:p w14:paraId="7611647A">
      <w:pPr>
        <w:jc w:val="center"/>
        <w:rPr>
          <w:sz w:val="72"/>
          <w:szCs w:val="72"/>
        </w:rPr>
      </w:pPr>
    </w:p>
    <w:p w14:paraId="7FFA2CF2">
      <w:pPr>
        <w:jc w:val="center"/>
        <w:rPr>
          <w:sz w:val="72"/>
          <w:szCs w:val="72"/>
        </w:rPr>
      </w:pPr>
    </w:p>
    <w:p w14:paraId="2AF669DF">
      <w:pPr>
        <w:jc w:val="center"/>
        <w:rPr>
          <w:sz w:val="72"/>
          <w:szCs w:val="72"/>
        </w:rPr>
      </w:pPr>
    </w:p>
    <w:p w14:paraId="3CF45481">
      <w:pPr>
        <w:jc w:val="center"/>
        <w:rPr>
          <w:sz w:val="72"/>
          <w:szCs w:val="72"/>
        </w:rPr>
      </w:pPr>
    </w:p>
    <w:p w14:paraId="26305983">
      <w:pPr>
        <w:jc w:val="center"/>
        <w:rPr>
          <w:sz w:val="72"/>
          <w:szCs w:val="72"/>
        </w:rPr>
      </w:pPr>
    </w:p>
    <w:p w14:paraId="1CD35B91">
      <w:pPr>
        <w:jc w:val="center"/>
        <w:rPr>
          <w:sz w:val="72"/>
          <w:szCs w:val="72"/>
        </w:rPr>
      </w:pPr>
    </w:p>
    <w:p w14:paraId="7354DE96">
      <w:pPr>
        <w:jc w:val="center"/>
        <w:rPr>
          <w:sz w:val="72"/>
          <w:szCs w:val="72"/>
        </w:rPr>
      </w:pPr>
    </w:p>
    <w:p w14:paraId="3C204D0D">
      <w:pPr>
        <w:jc w:val="center"/>
        <w:rPr>
          <w:sz w:val="72"/>
          <w:szCs w:val="72"/>
        </w:rPr>
      </w:pPr>
    </w:p>
    <w:p w14:paraId="24D0F983">
      <w:pPr>
        <w:jc w:val="center"/>
        <w:rPr>
          <w:sz w:val="72"/>
          <w:szCs w:val="72"/>
        </w:rPr>
      </w:pPr>
    </w:p>
    <w:p w14:paraId="3F8BC699">
      <w:pPr>
        <w:jc w:val="center"/>
        <w:rPr>
          <w:sz w:val="72"/>
          <w:szCs w:val="72"/>
        </w:rPr>
      </w:pPr>
    </w:p>
    <w:p w14:paraId="49525493">
      <w:pPr>
        <w:jc w:val="center"/>
        <w:rPr>
          <w:sz w:val="72"/>
          <w:szCs w:val="72"/>
        </w:rPr>
      </w:pPr>
    </w:p>
    <w:p w14:paraId="78852B20">
      <w:pPr>
        <w:jc w:val="center"/>
        <w:rPr>
          <w:sz w:val="72"/>
          <w:szCs w:val="72"/>
        </w:rPr>
      </w:pPr>
    </w:p>
    <w:p w14:paraId="4DFD33E9">
      <w:pPr>
        <w:jc w:val="center"/>
        <w:rPr>
          <w:sz w:val="72"/>
          <w:szCs w:val="72"/>
        </w:rPr>
      </w:pPr>
    </w:p>
    <w:p w14:paraId="5E95079A">
      <w:pPr>
        <w:jc w:val="center"/>
        <w:rPr>
          <w:sz w:val="72"/>
          <w:szCs w:val="72"/>
        </w:rPr>
      </w:pPr>
    </w:p>
    <w:p w14:paraId="08A7BE64">
      <w:pPr>
        <w:jc w:val="center"/>
        <w:rPr>
          <w:sz w:val="72"/>
          <w:szCs w:val="72"/>
        </w:rPr>
      </w:pPr>
    </w:p>
    <w:p w14:paraId="0E49E116">
      <w:pPr>
        <w:jc w:val="center"/>
        <w:rPr>
          <w:sz w:val="72"/>
          <w:szCs w:val="72"/>
        </w:rPr>
      </w:pPr>
    </w:p>
    <w:p w14:paraId="24481196">
      <w:pPr>
        <w:rPr>
          <w:sz w:val="72"/>
          <w:szCs w:val="72"/>
        </w:rPr>
      </w:pPr>
    </w:p>
    <w:p w14:paraId="2A509664">
      <w:pPr>
        <w:pStyle w:val="10"/>
        <w:jc w:val="center"/>
        <w:rPr>
          <w:sz w:val="84"/>
          <w:szCs w:val="84"/>
        </w:rPr>
      </w:pPr>
      <w:r>
        <w:rPr>
          <w:rFonts w:hint="eastAsia"/>
          <w:sz w:val="84"/>
          <w:szCs w:val="84"/>
        </w:rPr>
        <w:t>第一部分</w:t>
      </w:r>
      <w:r>
        <w:rPr>
          <w:sz w:val="84"/>
          <w:szCs w:val="84"/>
        </w:rPr>
        <w:t xml:space="preserve"> </w:t>
      </w:r>
    </w:p>
    <w:p w14:paraId="0FE10749">
      <w:pPr>
        <w:pStyle w:val="10"/>
        <w:jc w:val="center"/>
        <w:rPr>
          <w:rFonts w:hint="eastAsia" w:eastAsia="黑体"/>
          <w:sz w:val="84"/>
          <w:szCs w:val="84"/>
          <w:lang w:eastAsia="zh-CN"/>
        </w:rPr>
      </w:pPr>
      <w:r>
        <w:rPr>
          <w:rFonts w:hint="eastAsia"/>
          <w:sz w:val="84"/>
          <w:szCs w:val="84"/>
          <w:lang w:eastAsia="zh-CN"/>
        </w:rPr>
        <w:t>单位概况</w:t>
      </w:r>
    </w:p>
    <w:p w14:paraId="5CAC5F41">
      <w:pPr>
        <w:pStyle w:val="10"/>
        <w:jc w:val="center"/>
        <w:rPr>
          <w:sz w:val="84"/>
          <w:szCs w:val="84"/>
        </w:rPr>
      </w:pPr>
    </w:p>
    <w:p w14:paraId="6F02C079">
      <w:pPr>
        <w:jc w:val="center"/>
        <w:rPr>
          <w:sz w:val="72"/>
          <w:szCs w:val="72"/>
        </w:rPr>
      </w:pPr>
    </w:p>
    <w:p w14:paraId="3E1B1ED2">
      <w:pPr>
        <w:jc w:val="center"/>
        <w:rPr>
          <w:sz w:val="72"/>
          <w:szCs w:val="72"/>
        </w:rPr>
      </w:pPr>
    </w:p>
    <w:p w14:paraId="36FE43C3">
      <w:pPr>
        <w:jc w:val="center"/>
        <w:rPr>
          <w:sz w:val="72"/>
          <w:szCs w:val="72"/>
        </w:rPr>
      </w:pPr>
    </w:p>
    <w:p w14:paraId="557D4AE4">
      <w:pPr>
        <w:jc w:val="center"/>
        <w:rPr>
          <w:sz w:val="72"/>
          <w:szCs w:val="72"/>
        </w:rPr>
      </w:pPr>
    </w:p>
    <w:p w14:paraId="7E5B699C">
      <w:pPr>
        <w:jc w:val="center"/>
        <w:rPr>
          <w:sz w:val="72"/>
          <w:szCs w:val="72"/>
        </w:rPr>
      </w:pPr>
    </w:p>
    <w:p w14:paraId="73873A8C">
      <w:pPr>
        <w:pStyle w:val="11"/>
        <w:ind w:left="720" w:firstLine="0" w:firstLineChars="0"/>
        <w:jc w:val="left"/>
        <w:rPr>
          <w:rFonts w:ascii="黑体" w:hAnsi="黑体" w:eastAsia="黑体"/>
          <w:sz w:val="32"/>
          <w:szCs w:val="32"/>
        </w:rPr>
      </w:pPr>
    </w:p>
    <w:p w14:paraId="3BBD9E0D">
      <w:pPr>
        <w:pStyle w:val="11"/>
        <w:ind w:left="720" w:firstLine="0" w:firstLineChars="0"/>
        <w:jc w:val="left"/>
        <w:rPr>
          <w:rFonts w:ascii="黑体" w:hAnsi="黑体" w:eastAsia="黑体"/>
          <w:sz w:val="32"/>
          <w:szCs w:val="32"/>
        </w:rPr>
      </w:pPr>
    </w:p>
    <w:p w14:paraId="1FBCB298">
      <w:pPr>
        <w:pStyle w:val="11"/>
        <w:ind w:left="720" w:firstLine="0" w:firstLineChars="0"/>
        <w:jc w:val="left"/>
        <w:rPr>
          <w:rFonts w:ascii="黑体" w:hAnsi="黑体" w:eastAsia="黑体"/>
          <w:sz w:val="32"/>
          <w:szCs w:val="32"/>
        </w:rPr>
      </w:pPr>
    </w:p>
    <w:p w14:paraId="2BD27794">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180B5DB8">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（一）</w:t>
      </w:r>
    </w:p>
    <w:p w14:paraId="7799F82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岳阳县风景园林绿化建设养护中心</w:t>
      </w:r>
      <w:r>
        <w:rPr>
          <w:rFonts w:hint="eastAsia" w:ascii="仿宋" w:hAnsi="仿宋" w:eastAsia="仿宋" w:cs="仿宋"/>
          <w:sz w:val="32"/>
          <w:szCs w:val="32"/>
        </w:rPr>
        <w:t>概况</w:t>
      </w:r>
    </w:p>
    <w:p w14:paraId="4989163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部门职责</w:t>
      </w:r>
    </w:p>
    <w:p w14:paraId="196E889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一、部门基本概况</w:t>
      </w:r>
    </w:p>
    <w:p w14:paraId="7123B94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（一）职能职责</w:t>
      </w:r>
    </w:p>
    <w:p w14:paraId="3D91DF3D">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1.</w:t>
      </w:r>
      <w:r>
        <w:rPr>
          <w:rFonts w:hint="eastAsia" w:ascii="仿宋" w:hAnsi="仿宋" w:eastAsia="仿宋" w:cs="仿宋"/>
          <w:color w:val="555555"/>
          <w:sz w:val="32"/>
          <w:szCs w:val="32"/>
        </w:rPr>
        <w:t>承担县城园林绿化建设养护管理方面的事务性工作</w:t>
      </w:r>
      <w:r>
        <w:rPr>
          <w:rFonts w:hint="eastAsia" w:ascii="仿宋" w:hAnsi="仿宋" w:eastAsia="仿宋" w:cs="仿宋"/>
          <w:color w:val="555555"/>
          <w:sz w:val="32"/>
          <w:szCs w:val="32"/>
          <w:lang w:eastAsia="zh-CN"/>
        </w:rPr>
        <w:t>。</w:t>
      </w:r>
    </w:p>
    <w:p w14:paraId="51D76003">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2.</w:t>
      </w:r>
      <w:r>
        <w:rPr>
          <w:rFonts w:hint="eastAsia" w:ascii="仿宋" w:hAnsi="仿宋" w:eastAsia="仿宋" w:cs="仿宋"/>
          <w:color w:val="555555"/>
          <w:sz w:val="32"/>
          <w:szCs w:val="32"/>
        </w:rPr>
        <w:t>负责起草县城市园林绿化规划、县城市绿线管理方案</w:t>
      </w:r>
      <w:r>
        <w:rPr>
          <w:rFonts w:hint="eastAsia" w:ascii="仿宋" w:hAnsi="仿宋" w:eastAsia="仿宋" w:cs="仿宋"/>
          <w:color w:val="555555"/>
          <w:sz w:val="32"/>
          <w:szCs w:val="32"/>
          <w:lang w:eastAsia="zh-CN"/>
        </w:rPr>
        <w:t>、</w:t>
      </w:r>
    </w:p>
    <w:p w14:paraId="5DD00B90">
      <w:pPr>
        <w:pStyle w:val="5"/>
        <w:widowControl/>
        <w:spacing w:before="0" w:beforeAutospacing="0" w:after="0" w:afterAutospacing="0" w:line="33" w:lineRule="atLeast"/>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县城市绿化种植方案等方案草案；负责县城附属绿化工程设计方案技术审查；负责县城绿化设施改动、树木移植、砍伐等技术审</w:t>
      </w:r>
      <w:r>
        <w:rPr>
          <w:rFonts w:hint="eastAsia" w:ascii="仿宋" w:hAnsi="仿宋" w:eastAsia="仿宋" w:cs="仿宋"/>
          <w:color w:val="555555"/>
          <w:sz w:val="32"/>
          <w:szCs w:val="32"/>
          <w:lang w:eastAsia="zh-CN"/>
        </w:rPr>
        <w:t>查。</w:t>
      </w:r>
    </w:p>
    <w:p w14:paraId="06B343D7">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3.</w:t>
      </w:r>
      <w:r>
        <w:rPr>
          <w:rFonts w:hint="eastAsia" w:ascii="仿宋" w:hAnsi="仿宋" w:eastAsia="仿宋" w:cs="仿宋"/>
          <w:color w:val="555555"/>
          <w:sz w:val="32"/>
          <w:szCs w:val="32"/>
        </w:rPr>
        <w:t>指导、协调市政绿化工程建设养护项目的实施，协调施工建设，督促施工进度，监测施工质量，参与</w:t>
      </w:r>
      <w:r>
        <w:rPr>
          <w:rFonts w:hint="eastAsia" w:ascii="仿宋" w:hAnsi="仿宋" w:eastAsia="仿宋" w:cs="仿宋"/>
          <w:color w:val="555555"/>
          <w:sz w:val="32"/>
          <w:szCs w:val="32"/>
          <w:lang w:eastAsia="zh-CN"/>
        </w:rPr>
        <w:t>竣工</w:t>
      </w:r>
      <w:r>
        <w:rPr>
          <w:rFonts w:hint="eastAsia" w:ascii="仿宋" w:hAnsi="仿宋" w:eastAsia="仿宋" w:cs="仿宋"/>
          <w:color w:val="555555"/>
          <w:sz w:val="32"/>
          <w:szCs w:val="32"/>
        </w:rPr>
        <w:t>验收</w:t>
      </w:r>
      <w:r>
        <w:rPr>
          <w:rFonts w:hint="eastAsia" w:ascii="仿宋" w:hAnsi="仿宋" w:eastAsia="仿宋" w:cs="仿宋"/>
          <w:color w:val="555555"/>
          <w:sz w:val="32"/>
          <w:szCs w:val="32"/>
          <w:lang w:eastAsia="zh-CN"/>
        </w:rPr>
        <w:t>。</w:t>
      </w:r>
    </w:p>
    <w:p w14:paraId="31BA8ED5">
      <w:pPr>
        <w:pStyle w:val="5"/>
        <w:widowControl/>
        <w:spacing w:before="0" w:beforeAutospacing="0" w:after="0" w:afterAutospacing="0" w:line="33" w:lineRule="atLeast"/>
        <w:ind w:firstLine="640" w:firstLineChars="20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4.</w:t>
      </w:r>
      <w:r>
        <w:rPr>
          <w:rFonts w:hint="eastAsia" w:ascii="仿宋" w:hAnsi="仿宋" w:eastAsia="仿宋" w:cs="仿宋"/>
          <w:color w:val="555555"/>
          <w:sz w:val="32"/>
          <w:szCs w:val="32"/>
        </w:rPr>
        <w:t>承担县城园林绿化建设养护等技术指导工作；指导县城义务植树、县城机关单位庭院园林绿化、县城绿化、附属绿化</w:t>
      </w:r>
      <w:r>
        <w:rPr>
          <w:rFonts w:hint="eastAsia" w:ascii="仿宋" w:hAnsi="仿宋" w:eastAsia="仿宋" w:cs="仿宋"/>
          <w:color w:val="555555"/>
          <w:sz w:val="32"/>
          <w:szCs w:val="32"/>
          <w:lang w:eastAsia="zh-CN"/>
        </w:rPr>
        <w:t>、</w:t>
      </w:r>
      <w:r>
        <w:rPr>
          <w:rFonts w:hint="eastAsia" w:ascii="仿宋" w:hAnsi="仿宋" w:eastAsia="仿宋" w:cs="仿宋"/>
          <w:color w:val="555555"/>
          <w:sz w:val="32"/>
          <w:szCs w:val="32"/>
        </w:rPr>
        <w:t>“创建园林县城”和“创建园林式单位”等绿化建设工作；参与县城创建等中心工作</w:t>
      </w:r>
      <w:r>
        <w:rPr>
          <w:rFonts w:hint="eastAsia" w:ascii="仿宋" w:hAnsi="仿宋" w:eastAsia="仿宋" w:cs="仿宋"/>
          <w:color w:val="555555"/>
          <w:sz w:val="32"/>
          <w:szCs w:val="32"/>
          <w:lang w:eastAsia="zh-CN"/>
        </w:rPr>
        <w:t>。</w:t>
      </w:r>
    </w:p>
    <w:p w14:paraId="051BE15E">
      <w:pPr>
        <w:pStyle w:val="5"/>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(五)完成上级主管部门交办的其他工作任务</w:t>
      </w:r>
      <w:r>
        <w:rPr>
          <w:rFonts w:hint="eastAsia" w:ascii="仿宋" w:hAnsi="仿宋" w:eastAsia="仿宋" w:cs="仿宋"/>
          <w:color w:val="555555"/>
          <w:sz w:val="32"/>
          <w:szCs w:val="32"/>
          <w:lang w:eastAsia="zh-CN"/>
        </w:rPr>
        <w:t>。</w:t>
      </w:r>
    </w:p>
    <w:p w14:paraId="3E8E1573">
      <w:pPr>
        <w:widowControl/>
        <w:spacing w:line="600" w:lineRule="exact"/>
        <w:rPr>
          <w:rFonts w:hint="eastAsia" w:asciiTheme="minorEastAsia" w:hAnsiTheme="minorEastAsia"/>
          <w:bCs/>
          <w:kern w:val="0"/>
          <w:sz w:val="32"/>
          <w:szCs w:val="32"/>
        </w:rPr>
      </w:pPr>
      <w:r>
        <w:rPr>
          <w:rFonts w:hint="eastAsia" w:ascii="黑体" w:hAnsi="黑体" w:eastAsia="黑体"/>
          <w:bCs/>
          <w:kern w:val="0"/>
          <w:sz w:val="32"/>
          <w:szCs w:val="32"/>
        </w:rPr>
        <w:t>二、机构设置及决算单位构</w:t>
      </w:r>
      <w:r>
        <w:rPr>
          <w:rFonts w:hint="eastAsia" w:asciiTheme="minorEastAsia" w:hAnsiTheme="minorEastAsia"/>
          <w:bCs/>
          <w:kern w:val="0"/>
          <w:sz w:val="32"/>
          <w:szCs w:val="32"/>
        </w:rPr>
        <w:t>成</w:t>
      </w:r>
    </w:p>
    <w:p w14:paraId="75AEC225">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岳阳县风景园林绿化建设养护中心属岳阳县风景园林绿化建设养护中心下设二级机构</w:t>
      </w:r>
      <w:r>
        <w:rPr>
          <w:rFonts w:hint="eastAsia" w:asciiTheme="minorEastAsia" w:hAnsiTheme="minorEastAsia"/>
          <w:bCs/>
          <w:kern w:val="0"/>
          <w:sz w:val="32"/>
          <w:szCs w:val="32"/>
        </w:rPr>
        <w:t>，为</w:t>
      </w:r>
      <w:r>
        <w:rPr>
          <w:rFonts w:hint="eastAsia" w:asciiTheme="minorEastAsia" w:hAnsiTheme="minorEastAsia"/>
          <w:bCs/>
          <w:kern w:val="0"/>
          <w:sz w:val="32"/>
          <w:szCs w:val="32"/>
          <w:lang w:eastAsia="zh-CN"/>
        </w:rPr>
        <w:t>副</w:t>
      </w:r>
      <w:r>
        <w:rPr>
          <w:rFonts w:hint="eastAsia" w:asciiTheme="minorEastAsia" w:hAnsiTheme="minorEastAsia"/>
          <w:bCs/>
          <w:kern w:val="0"/>
          <w:sz w:val="32"/>
          <w:szCs w:val="32"/>
        </w:rPr>
        <w:t>科级</w:t>
      </w:r>
      <w:r>
        <w:rPr>
          <w:rFonts w:hint="eastAsia" w:asciiTheme="minorEastAsia" w:hAnsiTheme="minorEastAsia"/>
          <w:bCs/>
          <w:kern w:val="0"/>
          <w:sz w:val="32"/>
          <w:szCs w:val="32"/>
          <w:lang w:eastAsia="zh-CN"/>
        </w:rPr>
        <w:t>事业单位</w:t>
      </w:r>
      <w:r>
        <w:rPr>
          <w:rFonts w:hint="eastAsia" w:asciiTheme="minorEastAsia" w:hAnsiTheme="minorEastAsia"/>
          <w:bCs/>
          <w:kern w:val="0"/>
          <w:sz w:val="32"/>
          <w:szCs w:val="32"/>
        </w:rPr>
        <w:t>。</w:t>
      </w:r>
    </w:p>
    <w:p w14:paraId="36D322B6">
      <w:pPr>
        <w:widowControl/>
        <w:spacing w:line="600" w:lineRule="exact"/>
        <w:rPr>
          <w:rFonts w:hint="eastAsia" w:asciiTheme="minorEastAsia" w:hAnsiTheme="minorEastAsia"/>
          <w:bCs/>
          <w:kern w:val="0"/>
          <w:sz w:val="32"/>
          <w:szCs w:val="32"/>
          <w:lang w:eastAsia="zh-CN"/>
        </w:rPr>
      </w:pPr>
      <w:r>
        <w:rPr>
          <w:rFonts w:hint="eastAsia" w:asciiTheme="minorEastAsia" w:hAnsiTheme="minorEastAsia"/>
          <w:bCs/>
          <w:kern w:val="0"/>
          <w:sz w:val="32"/>
          <w:szCs w:val="32"/>
          <w:lang w:eastAsia="zh-CN"/>
        </w:rPr>
        <w:t>岳阳县风景园林绿化建设养护中心</w:t>
      </w:r>
      <w:r>
        <w:rPr>
          <w:rFonts w:hint="eastAsia" w:asciiTheme="minorEastAsia" w:hAnsiTheme="minorEastAsia"/>
          <w:bCs/>
          <w:kern w:val="0"/>
          <w:sz w:val="32"/>
          <w:szCs w:val="32"/>
        </w:rPr>
        <w:t>现有干部职工</w:t>
      </w:r>
      <w:r>
        <w:rPr>
          <w:rFonts w:hint="eastAsia" w:asciiTheme="minorEastAsia" w:hAnsiTheme="minorEastAsia"/>
          <w:bCs/>
          <w:kern w:val="0"/>
          <w:sz w:val="32"/>
          <w:szCs w:val="32"/>
          <w:lang w:val="en-US" w:eastAsia="zh-CN"/>
        </w:rPr>
        <w:t>28</w:t>
      </w:r>
      <w:r>
        <w:rPr>
          <w:rFonts w:hint="eastAsia" w:asciiTheme="minorEastAsia" w:hAnsiTheme="minorEastAsia"/>
          <w:bCs/>
          <w:kern w:val="0"/>
          <w:sz w:val="32"/>
          <w:szCs w:val="32"/>
        </w:rPr>
        <w:t>人，其中在职人员</w:t>
      </w:r>
      <w:r>
        <w:rPr>
          <w:rFonts w:hint="eastAsia" w:asciiTheme="minorEastAsia" w:hAnsiTheme="minorEastAsia"/>
          <w:bCs/>
          <w:kern w:val="0"/>
          <w:sz w:val="32"/>
          <w:szCs w:val="32"/>
          <w:lang w:val="en-US" w:eastAsia="zh-CN"/>
        </w:rPr>
        <w:t>28</w:t>
      </w:r>
      <w:r>
        <w:rPr>
          <w:rFonts w:hint="eastAsia" w:asciiTheme="minorEastAsia" w:hAnsiTheme="minorEastAsia"/>
          <w:bCs/>
          <w:kern w:val="0"/>
          <w:sz w:val="32"/>
          <w:szCs w:val="32"/>
        </w:rPr>
        <w:t>人，退休</w:t>
      </w:r>
      <w:r>
        <w:rPr>
          <w:rFonts w:hint="eastAsia" w:asciiTheme="minorEastAsia" w:hAnsiTheme="minorEastAsia"/>
          <w:bCs/>
          <w:kern w:val="0"/>
          <w:sz w:val="32"/>
          <w:szCs w:val="32"/>
          <w:lang w:val="en-US" w:eastAsia="zh-CN"/>
        </w:rPr>
        <w:t>0</w:t>
      </w:r>
      <w:r>
        <w:rPr>
          <w:rFonts w:hint="eastAsia" w:asciiTheme="minorEastAsia" w:hAnsiTheme="minorEastAsia"/>
          <w:bCs/>
          <w:kern w:val="0"/>
          <w:sz w:val="32"/>
          <w:szCs w:val="32"/>
        </w:rPr>
        <w:t>人。</w:t>
      </w:r>
      <w:r>
        <w:rPr>
          <w:rFonts w:hint="eastAsia" w:asciiTheme="minorEastAsia" w:hAnsiTheme="minorEastAsia"/>
          <w:bCs/>
          <w:kern w:val="0"/>
          <w:sz w:val="32"/>
          <w:szCs w:val="32"/>
          <w:lang w:eastAsia="zh-CN"/>
        </w:rPr>
        <w:t>养护中心</w:t>
      </w:r>
      <w:r>
        <w:rPr>
          <w:rFonts w:hint="eastAsia" w:asciiTheme="minorEastAsia" w:hAnsiTheme="minorEastAsia"/>
          <w:bCs/>
          <w:kern w:val="0"/>
          <w:sz w:val="32"/>
          <w:szCs w:val="32"/>
        </w:rPr>
        <w:t>内设</w:t>
      </w:r>
      <w:r>
        <w:rPr>
          <w:rFonts w:hint="eastAsia" w:asciiTheme="minorEastAsia" w:hAnsiTheme="minorEastAsia"/>
          <w:bCs/>
          <w:kern w:val="0"/>
          <w:sz w:val="32"/>
          <w:szCs w:val="32"/>
          <w:lang w:val="en-US" w:eastAsia="zh-CN"/>
        </w:rPr>
        <w:t>4个内设机构</w:t>
      </w:r>
      <w:r>
        <w:rPr>
          <w:rFonts w:hint="eastAsia" w:asciiTheme="minorEastAsia" w:hAnsiTheme="minorEastAsia"/>
          <w:bCs/>
          <w:kern w:val="0"/>
          <w:sz w:val="32"/>
          <w:szCs w:val="32"/>
        </w:rPr>
        <w:t>：办公室、财务</w:t>
      </w:r>
      <w:r>
        <w:rPr>
          <w:rFonts w:hint="eastAsia" w:asciiTheme="minorEastAsia" w:hAnsiTheme="minorEastAsia"/>
          <w:bCs/>
          <w:kern w:val="0"/>
          <w:sz w:val="32"/>
          <w:szCs w:val="32"/>
          <w:lang w:eastAsia="zh-CN"/>
        </w:rPr>
        <w:t>室</w:t>
      </w:r>
      <w:r>
        <w:rPr>
          <w:rFonts w:hint="eastAsia" w:asciiTheme="minorEastAsia" w:hAnsiTheme="minorEastAsia"/>
          <w:bCs/>
          <w:kern w:val="0"/>
          <w:sz w:val="32"/>
          <w:szCs w:val="32"/>
        </w:rPr>
        <w:t>、</w:t>
      </w:r>
      <w:r>
        <w:rPr>
          <w:rFonts w:hint="eastAsia" w:asciiTheme="minorEastAsia" w:hAnsiTheme="minorEastAsia"/>
          <w:bCs/>
          <w:kern w:val="0"/>
          <w:sz w:val="32"/>
          <w:szCs w:val="32"/>
          <w:lang w:eastAsia="zh-CN"/>
        </w:rPr>
        <w:t>绿化建设养护股</w:t>
      </w:r>
      <w:r>
        <w:rPr>
          <w:rFonts w:hint="eastAsia" w:asciiTheme="minorEastAsia" w:hAnsiTheme="minorEastAsia"/>
          <w:bCs/>
          <w:kern w:val="0"/>
          <w:sz w:val="32"/>
          <w:szCs w:val="32"/>
        </w:rPr>
        <w:t>、</w:t>
      </w:r>
      <w:r>
        <w:rPr>
          <w:rFonts w:hint="eastAsia" w:asciiTheme="minorEastAsia" w:hAnsiTheme="minorEastAsia"/>
          <w:bCs/>
          <w:kern w:val="0"/>
          <w:sz w:val="32"/>
          <w:szCs w:val="32"/>
          <w:lang w:eastAsia="zh-CN"/>
        </w:rPr>
        <w:t>工程技术室。</w:t>
      </w:r>
    </w:p>
    <w:p w14:paraId="4AB33EAE">
      <w:pPr>
        <w:widowControl/>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岳阳县风景园林绿化建设养护中心</w:t>
      </w:r>
      <w:r>
        <w:rPr>
          <w:rFonts w:hint="eastAsia" w:asciiTheme="minorEastAsia" w:hAnsiTheme="minorEastAsia"/>
          <w:bCs/>
          <w:kern w:val="0"/>
          <w:sz w:val="32"/>
          <w:szCs w:val="32"/>
        </w:rPr>
        <w:t>单位2020年部门决算汇总公开单位构成包括</w:t>
      </w:r>
      <w:r>
        <w:rPr>
          <w:rFonts w:hint="eastAsia" w:asciiTheme="minorEastAsia" w:hAnsiTheme="minorEastAsia"/>
          <w:bCs/>
          <w:kern w:val="0"/>
          <w:sz w:val="32"/>
          <w:szCs w:val="32"/>
          <w:lang w:eastAsia="zh-CN"/>
        </w:rPr>
        <w:t>：岳阳县风景园林绿化建设养护中心单位</w:t>
      </w:r>
      <w:r>
        <w:rPr>
          <w:rFonts w:hint="eastAsia" w:asciiTheme="minorEastAsia" w:hAnsiTheme="minorEastAsia"/>
          <w:bCs/>
          <w:kern w:val="0"/>
          <w:sz w:val="32"/>
          <w:szCs w:val="32"/>
        </w:rPr>
        <w:t>决算</w:t>
      </w:r>
    </w:p>
    <w:p w14:paraId="280ECDF5">
      <w:pPr>
        <w:widowControl/>
        <w:spacing w:line="600" w:lineRule="exact"/>
        <w:rPr>
          <w:rFonts w:hint="eastAsia" w:asciiTheme="minorEastAsia" w:hAnsiTheme="minorEastAsia"/>
          <w:bCs/>
          <w:kern w:val="0"/>
          <w:sz w:val="32"/>
          <w:szCs w:val="32"/>
        </w:rPr>
      </w:pPr>
    </w:p>
    <w:p w14:paraId="1BD1C9B9">
      <w:pPr>
        <w:jc w:val="center"/>
        <w:rPr>
          <w:rFonts w:ascii="黑体" w:hAnsi="黑体" w:eastAsia="黑体"/>
          <w:sz w:val="28"/>
          <w:szCs w:val="28"/>
        </w:rPr>
      </w:pPr>
    </w:p>
    <w:p w14:paraId="6E113A53">
      <w:pPr>
        <w:jc w:val="center"/>
        <w:rPr>
          <w:rFonts w:ascii="黑体" w:hAnsi="黑体" w:eastAsia="黑体"/>
          <w:sz w:val="28"/>
          <w:szCs w:val="28"/>
        </w:rPr>
      </w:pPr>
    </w:p>
    <w:p w14:paraId="63423F9C">
      <w:pPr>
        <w:jc w:val="center"/>
        <w:rPr>
          <w:rFonts w:ascii="黑体" w:hAnsi="黑体" w:eastAsia="黑体"/>
          <w:sz w:val="28"/>
          <w:szCs w:val="28"/>
        </w:rPr>
      </w:pPr>
    </w:p>
    <w:p w14:paraId="599F4732">
      <w:pPr>
        <w:jc w:val="center"/>
        <w:rPr>
          <w:rFonts w:ascii="黑体" w:hAnsi="黑体" w:eastAsia="黑体"/>
          <w:sz w:val="28"/>
          <w:szCs w:val="28"/>
        </w:rPr>
      </w:pPr>
    </w:p>
    <w:p w14:paraId="7E8B9454">
      <w:pPr>
        <w:jc w:val="center"/>
        <w:rPr>
          <w:rFonts w:ascii="黑体" w:hAnsi="黑体" w:eastAsia="黑体"/>
          <w:sz w:val="28"/>
          <w:szCs w:val="28"/>
        </w:rPr>
      </w:pPr>
    </w:p>
    <w:p w14:paraId="57462CB0">
      <w:pPr>
        <w:jc w:val="center"/>
        <w:rPr>
          <w:rFonts w:ascii="黑体" w:hAnsi="黑体" w:eastAsia="黑体"/>
          <w:sz w:val="28"/>
          <w:szCs w:val="28"/>
        </w:rPr>
      </w:pPr>
    </w:p>
    <w:p w14:paraId="1C27E21A">
      <w:pPr>
        <w:jc w:val="both"/>
        <w:rPr>
          <w:sz w:val="72"/>
          <w:szCs w:val="72"/>
        </w:rPr>
      </w:pPr>
    </w:p>
    <w:p w14:paraId="18A7A57A">
      <w:pPr>
        <w:jc w:val="center"/>
        <w:rPr>
          <w:sz w:val="72"/>
          <w:szCs w:val="72"/>
        </w:rPr>
      </w:pPr>
    </w:p>
    <w:p w14:paraId="79B51990">
      <w:pPr>
        <w:jc w:val="center"/>
        <w:rPr>
          <w:rFonts w:hint="eastAsia"/>
          <w:sz w:val="72"/>
          <w:szCs w:val="72"/>
        </w:rPr>
      </w:pPr>
    </w:p>
    <w:p w14:paraId="4DEA5D03">
      <w:pPr>
        <w:jc w:val="center"/>
        <w:rPr>
          <w:rFonts w:hint="eastAsia"/>
          <w:sz w:val="72"/>
          <w:szCs w:val="72"/>
        </w:rPr>
      </w:pPr>
    </w:p>
    <w:p w14:paraId="3BB96990">
      <w:pPr>
        <w:jc w:val="center"/>
        <w:rPr>
          <w:rFonts w:hint="eastAsia"/>
          <w:sz w:val="72"/>
          <w:szCs w:val="72"/>
        </w:rPr>
      </w:pPr>
    </w:p>
    <w:p w14:paraId="2EC2038B">
      <w:pPr>
        <w:jc w:val="center"/>
        <w:rPr>
          <w:rFonts w:hint="eastAsia"/>
          <w:sz w:val="72"/>
          <w:szCs w:val="72"/>
        </w:rPr>
      </w:pPr>
    </w:p>
    <w:p w14:paraId="1D561CB4">
      <w:pPr>
        <w:jc w:val="center"/>
        <w:rPr>
          <w:rFonts w:hint="eastAsia"/>
          <w:sz w:val="72"/>
          <w:szCs w:val="72"/>
        </w:rPr>
      </w:pPr>
    </w:p>
    <w:p w14:paraId="319E76E3">
      <w:pPr>
        <w:jc w:val="center"/>
        <w:rPr>
          <w:rFonts w:hint="eastAsia"/>
          <w:sz w:val="72"/>
          <w:szCs w:val="72"/>
        </w:rPr>
      </w:pPr>
    </w:p>
    <w:p w14:paraId="6D08EC8A">
      <w:pPr>
        <w:jc w:val="center"/>
        <w:rPr>
          <w:rFonts w:hint="eastAsia"/>
          <w:sz w:val="72"/>
          <w:szCs w:val="72"/>
        </w:rPr>
      </w:pPr>
    </w:p>
    <w:p w14:paraId="5FAFE1D2">
      <w:pPr>
        <w:jc w:val="center"/>
        <w:rPr>
          <w:rFonts w:hint="eastAsia"/>
          <w:sz w:val="72"/>
          <w:szCs w:val="72"/>
        </w:rPr>
      </w:pPr>
    </w:p>
    <w:p w14:paraId="0F28FAE0">
      <w:pPr>
        <w:jc w:val="center"/>
        <w:rPr>
          <w:rFonts w:hint="eastAsia"/>
          <w:sz w:val="72"/>
          <w:szCs w:val="72"/>
        </w:rPr>
      </w:pPr>
    </w:p>
    <w:p w14:paraId="48E202F0">
      <w:pPr>
        <w:jc w:val="center"/>
        <w:rPr>
          <w:rFonts w:hint="eastAsia"/>
          <w:sz w:val="72"/>
          <w:szCs w:val="72"/>
        </w:rPr>
      </w:pPr>
    </w:p>
    <w:p w14:paraId="20CD18CD">
      <w:pPr>
        <w:jc w:val="center"/>
        <w:rPr>
          <w:rFonts w:hint="eastAsia"/>
          <w:sz w:val="72"/>
          <w:szCs w:val="72"/>
        </w:rPr>
      </w:pPr>
    </w:p>
    <w:p w14:paraId="1E98ECB5">
      <w:pPr>
        <w:jc w:val="center"/>
        <w:rPr>
          <w:sz w:val="72"/>
          <w:szCs w:val="72"/>
        </w:rPr>
      </w:pPr>
      <w:r>
        <w:rPr>
          <w:rFonts w:hint="eastAsia"/>
          <w:sz w:val="72"/>
          <w:szCs w:val="72"/>
        </w:rPr>
        <w:t>第二部分</w:t>
      </w:r>
    </w:p>
    <w:p w14:paraId="2C922B94">
      <w:pPr>
        <w:jc w:val="center"/>
        <w:rPr>
          <w:sz w:val="72"/>
          <w:szCs w:val="72"/>
        </w:rPr>
      </w:pPr>
    </w:p>
    <w:p w14:paraId="53463981">
      <w:pPr>
        <w:jc w:val="center"/>
        <w:rPr>
          <w:sz w:val="72"/>
          <w:szCs w:val="72"/>
        </w:rPr>
      </w:pPr>
      <w:r>
        <w:rPr>
          <w:rFonts w:hint="eastAsia"/>
          <w:sz w:val="72"/>
          <w:szCs w:val="72"/>
        </w:rPr>
        <w:t>部门决算表</w:t>
      </w:r>
    </w:p>
    <w:p w14:paraId="62631674">
      <w:pPr>
        <w:jc w:val="both"/>
        <w:rPr>
          <w:sz w:val="72"/>
          <w:szCs w:val="72"/>
        </w:rPr>
      </w:pPr>
    </w:p>
    <w:p w14:paraId="0A159D30">
      <w:pPr>
        <w:jc w:val="center"/>
        <w:rPr>
          <w:sz w:val="72"/>
          <w:szCs w:val="72"/>
        </w:rPr>
      </w:pPr>
    </w:p>
    <w:p w14:paraId="6E67A11A">
      <w:pPr>
        <w:jc w:val="left"/>
        <w:rPr>
          <w:sz w:val="32"/>
          <w:szCs w:val="32"/>
        </w:rPr>
      </w:pPr>
    </w:p>
    <w:p w14:paraId="5FFE811F">
      <w:pPr>
        <w:jc w:val="left"/>
        <w:rPr>
          <w:rFonts w:hint="eastAsia" w:asciiTheme="minorEastAsia" w:hAnsiTheme="minorEastAsia" w:eastAsiaTheme="minorEastAsia"/>
          <w:sz w:val="32"/>
          <w:szCs w:val="32"/>
          <w:lang w:eastAsia="zh-CN"/>
        </w:rPr>
        <w:sectPr>
          <w:pgSz w:w="11906" w:h="16838"/>
          <w:pgMar w:top="720" w:right="720" w:bottom="720" w:left="720" w:header="851" w:footer="992" w:gutter="0"/>
          <w:cols w:space="425" w:num="1"/>
          <w:docGrid w:type="lines" w:linePitch="312" w:charSpace="0"/>
        </w:sectPr>
      </w:pPr>
      <w:r>
        <w:rPr>
          <w:rFonts w:hint="eastAsia" w:asciiTheme="minorEastAsia" w:hAnsiTheme="minorEastAsia"/>
          <w:sz w:val="32"/>
          <w:szCs w:val="32"/>
          <w:lang w:eastAsia="zh-CN"/>
        </w:rPr>
        <w:t>见附件</w:t>
      </w:r>
    </w:p>
    <w:p w14:paraId="2E80E720">
      <w:pPr>
        <w:pStyle w:val="10"/>
        <w:rPr>
          <w:sz w:val="72"/>
          <w:szCs w:val="72"/>
        </w:rPr>
      </w:pPr>
    </w:p>
    <w:p w14:paraId="2C90F661">
      <w:pPr>
        <w:pStyle w:val="10"/>
        <w:rPr>
          <w:sz w:val="72"/>
          <w:szCs w:val="72"/>
        </w:rPr>
      </w:pPr>
    </w:p>
    <w:p w14:paraId="4178ACF3">
      <w:pPr>
        <w:pStyle w:val="10"/>
        <w:jc w:val="center"/>
        <w:rPr>
          <w:sz w:val="72"/>
          <w:szCs w:val="72"/>
        </w:rPr>
      </w:pPr>
    </w:p>
    <w:p w14:paraId="326B89C0">
      <w:pPr>
        <w:pStyle w:val="10"/>
        <w:jc w:val="center"/>
        <w:rPr>
          <w:sz w:val="72"/>
          <w:szCs w:val="72"/>
        </w:rPr>
      </w:pPr>
    </w:p>
    <w:p w14:paraId="355E02CF">
      <w:pPr>
        <w:pStyle w:val="10"/>
        <w:jc w:val="center"/>
        <w:rPr>
          <w:sz w:val="72"/>
          <w:szCs w:val="72"/>
        </w:rPr>
      </w:pPr>
      <w:r>
        <w:rPr>
          <w:rFonts w:hint="eastAsia"/>
          <w:sz w:val="72"/>
          <w:szCs w:val="72"/>
        </w:rPr>
        <w:t>第三部分</w:t>
      </w:r>
    </w:p>
    <w:p w14:paraId="6A902A27">
      <w:pPr>
        <w:pStyle w:val="10"/>
        <w:jc w:val="center"/>
        <w:rPr>
          <w:sz w:val="70"/>
          <w:szCs w:val="70"/>
        </w:rPr>
      </w:pPr>
    </w:p>
    <w:p w14:paraId="5D0013FB">
      <w:pPr>
        <w:pStyle w:val="10"/>
        <w:jc w:val="center"/>
        <w:rPr>
          <w:sz w:val="70"/>
          <w:szCs w:val="70"/>
        </w:rPr>
      </w:pPr>
      <w:r>
        <w:rPr>
          <w:sz w:val="70"/>
          <w:szCs w:val="70"/>
        </w:rPr>
        <w:t>20</w:t>
      </w:r>
      <w:r>
        <w:rPr>
          <w:rFonts w:hint="eastAsia"/>
          <w:sz w:val="70"/>
          <w:szCs w:val="70"/>
        </w:rPr>
        <w:t>20年度部门决算情况说明</w:t>
      </w:r>
    </w:p>
    <w:p w14:paraId="45E87ABB">
      <w:pPr>
        <w:widowControl/>
        <w:jc w:val="left"/>
        <w:rPr>
          <w:rFonts w:ascii="黑体" w:eastAsia="黑体" w:cs="黑体"/>
          <w:color w:val="000000"/>
          <w:kern w:val="0"/>
          <w:sz w:val="70"/>
          <w:szCs w:val="70"/>
        </w:rPr>
      </w:pPr>
      <w:r>
        <w:rPr>
          <w:sz w:val="70"/>
          <w:szCs w:val="70"/>
        </w:rPr>
        <w:br w:type="page"/>
      </w:r>
    </w:p>
    <w:p w14:paraId="32C8DCC7">
      <w:pPr>
        <w:pStyle w:val="10"/>
        <w:rPr>
          <w:rFonts w:hAnsi="黑体"/>
          <w:b/>
          <w:sz w:val="32"/>
          <w:szCs w:val="32"/>
        </w:rPr>
      </w:pPr>
      <w:r>
        <w:rPr>
          <w:rFonts w:hint="eastAsia" w:hAnsi="黑体"/>
          <w:b/>
          <w:sz w:val="32"/>
          <w:szCs w:val="32"/>
        </w:rPr>
        <w:t>一、收入支出决算总体情况说明</w:t>
      </w:r>
    </w:p>
    <w:p w14:paraId="6F18D7E2">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rPr>
        <w:t>2020年度收入总计</w:t>
      </w:r>
      <w:r>
        <w:rPr>
          <w:rFonts w:hint="eastAsia" w:ascii="仿宋" w:hAnsi="仿宋" w:eastAsia="仿宋" w:cs="仿宋"/>
          <w:sz w:val="32"/>
          <w:szCs w:val="32"/>
          <w:lang w:val="en-US" w:eastAsia="zh-CN"/>
        </w:rPr>
        <w:t>664.71</w:t>
      </w:r>
      <w:r>
        <w:rPr>
          <w:rFonts w:hint="eastAsia" w:ascii="仿宋" w:hAnsi="仿宋" w:eastAsia="仿宋" w:cs="仿宋"/>
          <w:sz w:val="32"/>
          <w:szCs w:val="32"/>
          <w:lang w:val="zh-CN"/>
        </w:rPr>
        <w:t>万元（含年初结转和结余资金</w:t>
      </w:r>
      <w:r>
        <w:rPr>
          <w:rFonts w:hint="eastAsia" w:ascii="仿宋" w:hAnsi="仿宋" w:eastAsia="仿宋" w:cs="仿宋"/>
          <w:sz w:val="32"/>
          <w:szCs w:val="32"/>
          <w:lang w:val="en-US" w:eastAsia="zh-CN"/>
        </w:rPr>
        <w:t>38.51</w:t>
      </w:r>
      <w:r>
        <w:rPr>
          <w:rFonts w:hint="eastAsia" w:ascii="仿宋" w:hAnsi="仿宋" w:eastAsia="仿宋" w:cs="仿宋"/>
          <w:sz w:val="32"/>
          <w:szCs w:val="32"/>
          <w:lang w:val="zh-CN"/>
        </w:rPr>
        <w:t>万元），与上年相比，增加</w:t>
      </w:r>
      <w:r>
        <w:rPr>
          <w:rFonts w:hint="eastAsia" w:ascii="仿宋" w:hAnsi="仿宋" w:eastAsia="仿宋" w:cs="仿宋"/>
          <w:sz w:val="32"/>
          <w:szCs w:val="32"/>
          <w:lang w:val="en-US" w:eastAsia="zh-CN"/>
        </w:rPr>
        <w:t>75.17</w:t>
      </w:r>
      <w:r>
        <w:rPr>
          <w:rFonts w:hint="eastAsia" w:ascii="仿宋" w:hAnsi="仿宋" w:eastAsia="仿宋" w:cs="仿宋"/>
          <w:sz w:val="32"/>
          <w:szCs w:val="32"/>
          <w:lang w:val="zh-CN"/>
        </w:rPr>
        <w:t>万元，增长</w:t>
      </w:r>
      <w:r>
        <w:rPr>
          <w:rFonts w:hint="eastAsia" w:ascii="仿宋" w:hAnsi="仿宋" w:eastAsia="仿宋" w:cs="仿宋"/>
          <w:sz w:val="32"/>
          <w:szCs w:val="32"/>
          <w:lang w:val="en-US" w:eastAsia="zh-CN"/>
        </w:rPr>
        <w:t>12.75</w:t>
      </w:r>
      <w:r>
        <w:rPr>
          <w:rFonts w:hint="eastAsia" w:ascii="仿宋" w:hAnsi="仿宋" w:eastAsia="仿宋" w:cs="仿宋"/>
          <w:sz w:val="32"/>
          <w:szCs w:val="32"/>
          <w:lang w:val="zh-CN"/>
        </w:rPr>
        <w:t>%。</w:t>
      </w:r>
      <w:bookmarkStart w:id="0" w:name="OLE_LINK10"/>
      <w:r>
        <w:rPr>
          <w:rFonts w:hint="eastAsia" w:ascii="仿宋" w:hAnsi="仿宋" w:eastAsia="仿宋" w:cs="仿宋"/>
          <w:sz w:val="32"/>
          <w:szCs w:val="32"/>
        </w:rPr>
        <w:t>主要原因是</w:t>
      </w:r>
      <w:r>
        <w:rPr>
          <w:rFonts w:hint="eastAsia" w:ascii="仿宋" w:hAnsi="仿宋" w:eastAsia="仿宋" w:cs="仿宋"/>
          <w:sz w:val="32"/>
          <w:szCs w:val="32"/>
          <w:lang w:eastAsia="zh-CN"/>
        </w:rPr>
        <w:t>城区扩大管理范围及创建省级文明城市，加大力度提</w:t>
      </w:r>
      <w:r>
        <w:rPr>
          <w:rFonts w:hint="eastAsia" w:ascii="仿宋" w:hAnsi="仿宋" w:eastAsia="仿宋" w:cs="仿宋"/>
          <w:sz w:val="32"/>
          <w:szCs w:val="32"/>
          <w:highlight w:val="none"/>
          <w:lang w:eastAsia="zh-CN"/>
        </w:rPr>
        <w:t>升规范县城管理导致增加各项费用。</w:t>
      </w:r>
      <w:r>
        <w:rPr>
          <w:rFonts w:hint="eastAsia" w:ascii="仿宋" w:hAnsi="仿宋" w:eastAsia="仿宋" w:cs="仿宋"/>
          <w:sz w:val="32"/>
          <w:szCs w:val="32"/>
          <w:highlight w:val="none"/>
          <w:lang w:val="en-US" w:eastAsia="zh-CN"/>
        </w:rPr>
        <w:t xml:space="preserve"> </w:t>
      </w:r>
      <w:bookmarkEnd w:id="0"/>
      <w:r>
        <w:rPr>
          <w:rFonts w:hint="eastAsia" w:ascii="仿宋" w:hAnsi="仿宋" w:eastAsia="仿宋" w:cs="仿宋"/>
          <w:sz w:val="32"/>
          <w:szCs w:val="32"/>
          <w:highlight w:val="none"/>
          <w:lang w:val="en-US" w:eastAsia="zh-CN"/>
        </w:rPr>
        <w:t xml:space="preserve">   </w:t>
      </w:r>
    </w:p>
    <w:p w14:paraId="1C87A71C">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 xml:space="preserve"> 2020年度</w:t>
      </w:r>
      <w:r>
        <w:rPr>
          <w:rFonts w:hint="eastAsia" w:ascii="仿宋" w:hAnsi="仿宋" w:eastAsia="仿宋" w:cs="仿宋"/>
          <w:sz w:val="32"/>
          <w:szCs w:val="32"/>
          <w:highlight w:val="none"/>
          <w:lang w:val="zh-CN"/>
        </w:rPr>
        <w:t>支出总计</w:t>
      </w:r>
      <w:r>
        <w:rPr>
          <w:rFonts w:hint="eastAsia" w:ascii="仿宋" w:hAnsi="仿宋" w:eastAsia="仿宋" w:cs="仿宋"/>
          <w:sz w:val="32"/>
          <w:szCs w:val="32"/>
          <w:highlight w:val="none"/>
          <w:lang w:val="en-US" w:eastAsia="zh-CN"/>
        </w:rPr>
        <w:t>664.71</w:t>
      </w:r>
      <w:r>
        <w:rPr>
          <w:rFonts w:hint="eastAsia" w:ascii="仿宋" w:hAnsi="仿宋" w:eastAsia="仿宋" w:cs="仿宋"/>
          <w:sz w:val="32"/>
          <w:szCs w:val="32"/>
          <w:highlight w:val="none"/>
        </w:rPr>
        <w:t>万元</w:t>
      </w:r>
      <w:r>
        <w:rPr>
          <w:rFonts w:hint="eastAsia" w:ascii="宋体" w:hAnsi="宋体" w:eastAsia="宋体"/>
          <w:sz w:val="32"/>
          <w:szCs w:val="32"/>
          <w:highlight w:val="none"/>
        </w:rPr>
        <w:t>（含年</w:t>
      </w:r>
      <w:r>
        <w:rPr>
          <w:rFonts w:hint="eastAsia" w:ascii="宋体" w:hAnsi="宋体" w:eastAsia="宋体"/>
          <w:sz w:val="32"/>
          <w:szCs w:val="32"/>
          <w:highlight w:val="none"/>
          <w:lang w:eastAsia="zh-CN"/>
        </w:rPr>
        <w:t>末</w:t>
      </w:r>
      <w:r>
        <w:rPr>
          <w:rFonts w:hint="eastAsia" w:ascii="宋体" w:hAnsi="宋体" w:eastAsia="宋体"/>
          <w:sz w:val="32"/>
          <w:szCs w:val="32"/>
          <w:highlight w:val="none"/>
        </w:rPr>
        <w:t>结转和结余资金</w:t>
      </w:r>
      <w:r>
        <w:rPr>
          <w:rFonts w:hint="eastAsia" w:ascii="宋体" w:hAnsi="宋体" w:eastAsia="宋体"/>
          <w:sz w:val="32"/>
          <w:szCs w:val="32"/>
          <w:highlight w:val="none"/>
          <w:lang w:val="en-US" w:eastAsia="zh-CN"/>
        </w:rPr>
        <w:t>2.48</w:t>
      </w:r>
      <w:r>
        <w:rPr>
          <w:rFonts w:hint="eastAsia" w:ascii="宋体" w:hAnsi="宋体" w:eastAsia="宋体"/>
          <w:sz w:val="32"/>
          <w:szCs w:val="32"/>
          <w:highlight w:val="none"/>
        </w:rPr>
        <w:t>万元）</w:t>
      </w:r>
      <w:r>
        <w:rPr>
          <w:rFonts w:hint="eastAsia" w:ascii="仿宋" w:hAnsi="仿宋" w:eastAsia="仿宋" w:cs="仿宋"/>
          <w:sz w:val="32"/>
          <w:szCs w:val="32"/>
          <w:highlight w:val="none"/>
        </w:rPr>
        <w:t>，与上年相比，增加</w:t>
      </w:r>
      <w:r>
        <w:rPr>
          <w:rFonts w:hint="eastAsia" w:ascii="仿宋" w:hAnsi="仿宋" w:eastAsia="仿宋" w:cs="仿宋"/>
          <w:sz w:val="32"/>
          <w:szCs w:val="32"/>
          <w:highlight w:val="none"/>
          <w:lang w:val="en-US" w:eastAsia="zh-CN"/>
        </w:rPr>
        <w:t>75.17</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12.75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主要原因是</w:t>
      </w:r>
      <w:bookmarkStart w:id="1" w:name="OLE_LINK9"/>
      <w:r>
        <w:rPr>
          <w:rFonts w:hint="eastAsia" w:ascii="仿宋" w:hAnsi="仿宋" w:eastAsia="仿宋" w:cs="仿宋"/>
          <w:sz w:val="32"/>
          <w:szCs w:val="32"/>
          <w:highlight w:val="none"/>
          <w:lang w:eastAsia="zh-CN"/>
        </w:rPr>
        <w:t>城区扩大管理范</w:t>
      </w:r>
      <w:r>
        <w:rPr>
          <w:rFonts w:hint="eastAsia" w:ascii="仿宋" w:hAnsi="仿宋" w:eastAsia="仿宋" w:cs="仿宋"/>
          <w:sz w:val="32"/>
          <w:szCs w:val="32"/>
          <w:lang w:eastAsia="zh-CN"/>
        </w:rPr>
        <w:t>围及创建省级文明城市，加大力度提升规范县城管理导致增加各项费用</w:t>
      </w:r>
      <w:bookmarkEnd w:id="1"/>
      <w:r>
        <w:rPr>
          <w:rFonts w:hint="eastAsia" w:ascii="仿宋" w:hAnsi="仿宋" w:eastAsia="仿宋" w:cs="仿宋"/>
          <w:sz w:val="32"/>
          <w:szCs w:val="32"/>
          <w:lang w:eastAsia="zh-CN"/>
        </w:rPr>
        <w:t>。</w:t>
      </w:r>
    </w:p>
    <w:p w14:paraId="409F6C3E">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二、收入决算情况说明</w:t>
      </w:r>
    </w:p>
    <w:p w14:paraId="003EA44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626.20</w:t>
      </w:r>
      <w:r>
        <w:rPr>
          <w:rFonts w:hint="eastAsia" w:ascii="仿宋" w:hAnsi="仿宋" w:eastAsia="仿宋" w:cs="仿宋"/>
          <w:sz w:val="32"/>
          <w:szCs w:val="32"/>
        </w:rPr>
        <w:t>万元，其中：一般公共预算财政拨款收入</w:t>
      </w:r>
      <w:r>
        <w:rPr>
          <w:rFonts w:hint="eastAsia" w:ascii="仿宋" w:hAnsi="仿宋" w:eastAsia="仿宋" w:cs="仿宋"/>
          <w:sz w:val="32"/>
          <w:szCs w:val="32"/>
          <w:lang w:val="en-US" w:eastAsia="zh-CN"/>
        </w:rPr>
        <w:t>454.80</w:t>
      </w:r>
      <w:r>
        <w:rPr>
          <w:rFonts w:hint="eastAsia" w:ascii="仿宋" w:hAnsi="仿宋" w:eastAsia="仿宋" w:cs="仿宋"/>
          <w:sz w:val="32"/>
          <w:szCs w:val="32"/>
        </w:rPr>
        <w:t>万元，占</w:t>
      </w:r>
      <w:r>
        <w:rPr>
          <w:rFonts w:hint="eastAsia" w:ascii="仿宋" w:hAnsi="仿宋" w:eastAsia="仿宋" w:cs="仿宋"/>
          <w:sz w:val="32"/>
          <w:szCs w:val="32"/>
          <w:lang w:val="en-US" w:eastAsia="zh-CN"/>
        </w:rPr>
        <w:t>72.63</w:t>
      </w:r>
      <w:r>
        <w:rPr>
          <w:rFonts w:hint="eastAsia" w:ascii="仿宋" w:hAnsi="仿宋" w:eastAsia="仿宋" w:cs="仿宋"/>
          <w:sz w:val="32"/>
          <w:szCs w:val="32"/>
        </w:rPr>
        <w:t>%；其他收入</w:t>
      </w:r>
      <w:r>
        <w:rPr>
          <w:rFonts w:hint="eastAsia" w:ascii="仿宋" w:hAnsi="仿宋" w:eastAsia="仿宋" w:cs="仿宋"/>
          <w:sz w:val="32"/>
          <w:szCs w:val="32"/>
          <w:lang w:val="en-US" w:eastAsia="zh-CN"/>
        </w:rPr>
        <w:t>171.40</w:t>
      </w:r>
      <w:r>
        <w:rPr>
          <w:rFonts w:hint="eastAsia" w:ascii="仿宋" w:hAnsi="仿宋" w:eastAsia="仿宋" w:cs="仿宋"/>
          <w:sz w:val="32"/>
          <w:szCs w:val="32"/>
        </w:rPr>
        <w:t>万元，占</w:t>
      </w:r>
      <w:r>
        <w:rPr>
          <w:rFonts w:hint="eastAsia" w:ascii="仿宋" w:hAnsi="仿宋" w:eastAsia="仿宋" w:cs="仿宋"/>
          <w:sz w:val="32"/>
          <w:szCs w:val="32"/>
          <w:lang w:val="en-US" w:eastAsia="zh-CN"/>
        </w:rPr>
        <w:t>27.37</w:t>
      </w:r>
      <w:r>
        <w:rPr>
          <w:rFonts w:hint="eastAsia" w:ascii="仿宋" w:hAnsi="仿宋" w:eastAsia="仿宋" w:cs="仿宋"/>
          <w:sz w:val="32"/>
          <w:szCs w:val="32"/>
        </w:rPr>
        <w:t>%。</w:t>
      </w:r>
    </w:p>
    <w:p w14:paraId="13793B94">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三、支出决算情况说明</w:t>
      </w:r>
    </w:p>
    <w:p w14:paraId="1DE3FF0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662.23</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416.85</w:t>
      </w:r>
      <w:r>
        <w:rPr>
          <w:rFonts w:hint="eastAsia" w:ascii="仿宋" w:hAnsi="仿宋" w:eastAsia="仿宋" w:cs="仿宋"/>
          <w:sz w:val="32"/>
          <w:szCs w:val="32"/>
          <w:lang w:val="zh-CN"/>
        </w:rPr>
        <w:t>万元，</w:t>
      </w:r>
      <w:r>
        <w:rPr>
          <w:rFonts w:hint="eastAsia" w:ascii="仿宋" w:hAnsi="仿宋" w:eastAsia="仿宋" w:cs="仿宋"/>
          <w:sz w:val="32"/>
          <w:szCs w:val="32"/>
        </w:rPr>
        <w:t>占</w:t>
      </w:r>
      <w:r>
        <w:rPr>
          <w:rFonts w:hint="eastAsia" w:ascii="仿宋" w:hAnsi="仿宋" w:eastAsia="仿宋" w:cs="仿宋"/>
          <w:sz w:val="32"/>
          <w:szCs w:val="32"/>
          <w:lang w:val="en-US" w:eastAsia="zh-CN"/>
        </w:rPr>
        <w:t>62.95</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245.38</w:t>
      </w:r>
      <w:r>
        <w:rPr>
          <w:rFonts w:hint="eastAsia" w:ascii="仿宋" w:hAnsi="仿宋" w:eastAsia="仿宋" w:cs="仿宋"/>
          <w:sz w:val="32"/>
          <w:szCs w:val="32"/>
        </w:rPr>
        <w:t>万元，占</w:t>
      </w:r>
      <w:r>
        <w:rPr>
          <w:rFonts w:hint="eastAsia" w:ascii="仿宋" w:hAnsi="仿宋" w:eastAsia="仿宋" w:cs="仿宋"/>
          <w:sz w:val="32"/>
          <w:szCs w:val="32"/>
          <w:lang w:val="en-US" w:eastAsia="zh-CN"/>
        </w:rPr>
        <w:t>37.05</w:t>
      </w:r>
      <w:r>
        <w:rPr>
          <w:rFonts w:hint="eastAsia" w:ascii="仿宋" w:hAnsi="仿宋" w:eastAsia="仿宋" w:cs="仿宋"/>
          <w:sz w:val="32"/>
          <w:szCs w:val="32"/>
        </w:rPr>
        <w:t>%；</w:t>
      </w:r>
    </w:p>
    <w:p w14:paraId="4F88735B">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14:paraId="776F13C6">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2020年度财政拨款收入总计</w:t>
      </w:r>
      <w:r>
        <w:rPr>
          <w:rFonts w:hint="eastAsia" w:ascii="仿宋" w:hAnsi="仿宋" w:eastAsia="仿宋" w:cs="仿宋"/>
          <w:sz w:val="32"/>
          <w:szCs w:val="32"/>
          <w:lang w:val="en-US" w:eastAsia="zh-CN"/>
        </w:rPr>
        <w:t>454.80</w:t>
      </w:r>
      <w:r>
        <w:rPr>
          <w:rFonts w:hint="eastAsia" w:ascii="仿宋" w:hAnsi="仿宋" w:eastAsia="仿宋" w:cs="仿宋"/>
          <w:sz w:val="32"/>
          <w:szCs w:val="32"/>
        </w:rPr>
        <w:t>万元，与</w:t>
      </w:r>
      <w:r>
        <w:rPr>
          <w:rFonts w:hint="eastAsia" w:ascii="仿宋" w:hAnsi="仿宋" w:eastAsia="仿宋" w:cs="仿宋"/>
          <w:sz w:val="32"/>
          <w:szCs w:val="32"/>
          <w:lang w:eastAsia="zh-CN"/>
        </w:rPr>
        <w:t>上</w:t>
      </w:r>
      <w:r>
        <w:rPr>
          <w:rFonts w:hint="eastAsia" w:ascii="仿宋" w:hAnsi="仿宋" w:eastAsia="仿宋" w:cs="仿宋"/>
          <w:sz w:val="32"/>
          <w:szCs w:val="32"/>
        </w:rPr>
        <w:t>年相比，增加</w:t>
      </w:r>
      <w:r>
        <w:rPr>
          <w:rFonts w:hint="eastAsia" w:ascii="仿宋" w:hAnsi="仿宋" w:eastAsia="仿宋" w:cs="仿宋"/>
          <w:sz w:val="32"/>
          <w:szCs w:val="32"/>
          <w:lang w:val="en-US" w:eastAsia="zh-CN"/>
        </w:rPr>
        <w:t>115.21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33.93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eastAsia="zh-CN"/>
        </w:rPr>
        <w:t>城区扩大管理范围及创建省级文明城市，加大力度提升规范县城管理导致增加各项费用。</w:t>
      </w:r>
    </w:p>
    <w:p w14:paraId="215D0993">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463.17</w:t>
      </w:r>
      <w:r>
        <w:rPr>
          <w:rFonts w:hint="eastAsia" w:ascii="仿宋" w:hAnsi="仿宋" w:eastAsia="仿宋" w:cs="仿宋"/>
          <w:sz w:val="32"/>
          <w:szCs w:val="32"/>
        </w:rPr>
        <w:t>万元，</w:t>
      </w:r>
      <w:bookmarkStart w:id="2" w:name="OLE_LINK8"/>
      <w:r>
        <w:rPr>
          <w:rFonts w:hint="eastAsia" w:ascii="仿宋" w:hAnsi="仿宋" w:eastAsia="仿宋" w:cs="仿宋"/>
          <w:sz w:val="32"/>
          <w:szCs w:val="32"/>
          <w:lang w:val="zh-CN"/>
        </w:rPr>
        <w:t>与上年相比，</w:t>
      </w:r>
      <w:r>
        <w:rPr>
          <w:rFonts w:hint="eastAsia" w:ascii="仿宋" w:hAnsi="仿宋" w:eastAsia="仿宋" w:cs="仿宋"/>
          <w:sz w:val="32"/>
          <w:szCs w:val="32"/>
        </w:rPr>
        <w:t>增加</w:t>
      </w:r>
      <w:r>
        <w:rPr>
          <w:rFonts w:hint="eastAsia" w:ascii="仿宋" w:hAnsi="仿宋" w:eastAsia="仿宋" w:cs="仿宋"/>
          <w:sz w:val="32"/>
          <w:szCs w:val="32"/>
          <w:lang w:val="en-US" w:eastAsia="zh-CN"/>
        </w:rPr>
        <w:t>123.58</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36.39</w:t>
      </w:r>
      <w:r>
        <w:rPr>
          <w:rFonts w:hint="eastAsia" w:ascii="仿宋" w:hAnsi="仿宋" w:eastAsia="仿宋" w:cs="仿宋"/>
          <w:sz w:val="32"/>
          <w:szCs w:val="32"/>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eastAsia="zh-CN"/>
        </w:rPr>
        <w:t>城区扩大管理范围及创建省级文明城市，加大力度提升规范县城管理导致增加各项费用。</w:t>
      </w:r>
    </w:p>
    <w:bookmarkEnd w:id="2"/>
    <w:p w14:paraId="40B59E37">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14:paraId="4E7F8BF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财政</w:t>
      </w:r>
      <w:r>
        <w:rPr>
          <w:rFonts w:hint="eastAsia" w:ascii="仿宋" w:hAnsi="仿宋" w:eastAsia="仿宋" w:cs="仿宋"/>
          <w:sz w:val="32"/>
          <w:szCs w:val="32"/>
        </w:rPr>
        <w:t>拨款支出决算总体情况</w:t>
      </w:r>
    </w:p>
    <w:p w14:paraId="3C6AF5B5">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463.17</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69.94</w:t>
      </w:r>
      <w:r>
        <w:rPr>
          <w:rFonts w:hint="eastAsia" w:ascii="仿宋" w:hAnsi="仿宋" w:eastAsia="仿宋" w:cs="仿宋"/>
          <w:sz w:val="32"/>
          <w:szCs w:val="32"/>
        </w:rPr>
        <w:t>%。</w:t>
      </w:r>
      <w:r>
        <w:rPr>
          <w:rFonts w:hint="eastAsia" w:ascii="仿宋" w:hAnsi="仿宋" w:eastAsia="仿宋" w:cs="仿宋"/>
          <w:sz w:val="32"/>
          <w:szCs w:val="32"/>
          <w:lang w:val="zh-CN"/>
        </w:rPr>
        <w:t>与上年相比，</w:t>
      </w:r>
      <w:r>
        <w:rPr>
          <w:rFonts w:hint="eastAsia" w:ascii="仿宋" w:hAnsi="仿宋" w:eastAsia="仿宋" w:cs="仿宋"/>
          <w:sz w:val="32"/>
          <w:szCs w:val="32"/>
        </w:rPr>
        <w:t>增加</w:t>
      </w:r>
      <w:r>
        <w:rPr>
          <w:rFonts w:hint="eastAsia" w:ascii="仿宋" w:hAnsi="仿宋" w:eastAsia="仿宋" w:cs="仿宋"/>
          <w:sz w:val="32"/>
          <w:szCs w:val="32"/>
          <w:lang w:val="en-US" w:eastAsia="zh-CN"/>
        </w:rPr>
        <w:t>123.58</w:t>
      </w:r>
      <w:r>
        <w:rPr>
          <w:rFonts w:hint="eastAsia" w:ascii="仿宋" w:hAnsi="仿宋" w:eastAsia="仿宋" w:cs="仿宋"/>
          <w:sz w:val="32"/>
          <w:szCs w:val="32"/>
        </w:rPr>
        <w:t>万元，增长</w:t>
      </w:r>
      <w:r>
        <w:rPr>
          <w:rFonts w:hint="eastAsia" w:ascii="仿宋" w:hAnsi="仿宋" w:eastAsia="仿宋" w:cs="仿宋"/>
          <w:sz w:val="32"/>
          <w:szCs w:val="32"/>
          <w:lang w:val="en-US" w:eastAsia="zh-CN"/>
        </w:rPr>
        <w:t>36.39</w:t>
      </w:r>
      <w:r>
        <w:rPr>
          <w:rFonts w:hint="eastAsia" w:ascii="仿宋" w:hAnsi="仿宋" w:eastAsia="仿宋" w:cs="仿宋"/>
          <w:sz w:val="32"/>
          <w:szCs w:val="32"/>
        </w:rPr>
        <w:t>%。</w:t>
      </w:r>
      <w:r>
        <w:rPr>
          <w:rFonts w:hint="eastAsia" w:ascii="仿宋" w:hAnsi="仿宋" w:eastAsia="仿宋" w:cs="仿宋"/>
          <w:sz w:val="32"/>
          <w:szCs w:val="32"/>
          <w:lang w:val="zh-CN"/>
        </w:rPr>
        <w:t>主要原因</w:t>
      </w:r>
      <w:r>
        <w:rPr>
          <w:rFonts w:hint="eastAsia" w:ascii="仿宋" w:hAnsi="仿宋" w:eastAsia="仿宋" w:cs="仿宋"/>
          <w:sz w:val="32"/>
          <w:szCs w:val="32"/>
        </w:rPr>
        <w:t>是</w:t>
      </w:r>
      <w:r>
        <w:rPr>
          <w:rFonts w:hint="eastAsia" w:ascii="仿宋" w:hAnsi="仿宋" w:eastAsia="仿宋" w:cs="仿宋"/>
          <w:sz w:val="32"/>
          <w:szCs w:val="32"/>
          <w:lang w:eastAsia="zh-CN"/>
        </w:rPr>
        <w:t>城区扩大管理范围及创建省级文明城市，加大力度提升规范县城管理导致增加各项费用。</w:t>
      </w:r>
    </w:p>
    <w:p w14:paraId="2C658CC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（二）财政拨款支出决算结构情况</w:t>
      </w:r>
    </w:p>
    <w:p w14:paraId="1893B4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463.17</w:t>
      </w:r>
      <w:r>
        <w:rPr>
          <w:rFonts w:hint="eastAsia" w:ascii="仿宋" w:hAnsi="仿宋" w:eastAsia="仿宋" w:cs="仿宋"/>
          <w:sz w:val="32"/>
          <w:szCs w:val="32"/>
        </w:rPr>
        <w:t>万元，主要用于以下方面：城乡社区（类）支出</w:t>
      </w:r>
      <w:r>
        <w:rPr>
          <w:rFonts w:hint="eastAsia" w:ascii="仿宋" w:hAnsi="仿宋" w:eastAsia="仿宋" w:cs="仿宋"/>
          <w:sz w:val="32"/>
          <w:szCs w:val="32"/>
          <w:lang w:val="en-US" w:eastAsia="zh-CN"/>
        </w:rPr>
        <w:t>463.17</w:t>
      </w:r>
      <w:r>
        <w:rPr>
          <w:rFonts w:hint="eastAsia" w:ascii="仿宋" w:hAnsi="仿宋" w:eastAsia="仿宋" w:cs="仿宋"/>
          <w:sz w:val="32"/>
          <w:szCs w:val="32"/>
        </w:rPr>
        <w:t>万元，占100%；</w:t>
      </w:r>
    </w:p>
    <w:p w14:paraId="67D0D6B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（三）财政拨款支出决算具体情况</w:t>
      </w:r>
    </w:p>
    <w:p w14:paraId="592291E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2020年度财政拨款支出年初预算为</w:t>
      </w:r>
      <w:r>
        <w:rPr>
          <w:rFonts w:hint="eastAsia" w:ascii="仿宋" w:hAnsi="仿宋" w:eastAsia="仿宋" w:cs="仿宋"/>
          <w:sz w:val="32"/>
          <w:szCs w:val="32"/>
          <w:lang w:val="en-US" w:eastAsia="zh-CN"/>
        </w:rPr>
        <w:t>400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463.17</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253.20</w:t>
      </w:r>
      <w:r>
        <w:rPr>
          <w:rFonts w:hint="eastAsia" w:ascii="仿宋" w:hAnsi="仿宋" w:eastAsia="仿宋" w:cs="仿宋"/>
          <w:sz w:val="32"/>
          <w:szCs w:val="32"/>
          <w:lang w:val="zh-CN"/>
        </w:rPr>
        <w:t>%。其中：</w:t>
      </w:r>
    </w:p>
    <w:p w14:paraId="6A27E65B">
      <w:pPr>
        <w:numPr>
          <w:ilvl w:val="0"/>
          <w:numId w:val="2"/>
        </w:num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城乡社区支出（类）城乡社区管理事务（款）</w:t>
      </w:r>
      <w:r>
        <w:rPr>
          <w:rFonts w:hint="eastAsia" w:ascii="仿宋" w:hAnsi="仿宋" w:eastAsia="仿宋" w:cs="仿宋"/>
          <w:sz w:val="32"/>
          <w:szCs w:val="32"/>
          <w:lang w:eastAsia="zh-CN"/>
        </w:rPr>
        <w:t>其他城乡社区管理</w:t>
      </w:r>
      <w:r>
        <w:rPr>
          <w:rFonts w:hint="eastAsia" w:ascii="仿宋" w:hAnsi="仿宋" w:eastAsia="仿宋" w:cs="仿宋"/>
          <w:sz w:val="32"/>
          <w:szCs w:val="32"/>
          <w:highlight w:val="none"/>
          <w:lang w:eastAsia="zh-CN"/>
        </w:rPr>
        <w:t>事务</w:t>
      </w:r>
      <w:r>
        <w:rPr>
          <w:rFonts w:hint="eastAsia" w:ascii="仿宋" w:hAnsi="仿宋" w:eastAsia="仿宋" w:cs="仿宋"/>
          <w:sz w:val="32"/>
          <w:szCs w:val="32"/>
          <w:highlight w:val="none"/>
        </w:rPr>
        <w:t>（项）。</w:t>
      </w:r>
    </w:p>
    <w:p w14:paraId="7313753C">
      <w:pPr>
        <w:numPr>
          <w:ilvl w:val="0"/>
          <w:numId w:val="0"/>
        </w:num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229.38</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229.38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决算数等于预算数</w:t>
      </w:r>
      <w:r>
        <w:rPr>
          <w:rFonts w:hint="eastAsia" w:ascii="仿宋" w:hAnsi="仿宋" w:eastAsia="仿宋" w:cs="仿宋"/>
          <w:sz w:val="32"/>
          <w:szCs w:val="32"/>
          <w:highlight w:val="none"/>
        </w:rPr>
        <w:t>的主要原因</w:t>
      </w:r>
      <w:r>
        <w:rPr>
          <w:rFonts w:hint="eastAsia" w:ascii="仿宋" w:hAnsi="仿宋" w:eastAsia="仿宋" w:cs="仿宋"/>
          <w:sz w:val="32"/>
          <w:szCs w:val="32"/>
          <w:highlight w:val="none"/>
          <w:lang w:eastAsia="zh-CN"/>
        </w:rPr>
        <w:t>按</w:t>
      </w:r>
      <w:r>
        <w:rPr>
          <w:rFonts w:hint="eastAsia" w:ascii="仿宋" w:hAnsi="仿宋" w:eastAsia="仿宋" w:cs="仿宋"/>
          <w:sz w:val="32"/>
          <w:szCs w:val="32"/>
          <w:highlight w:val="none"/>
          <w:lang w:val="zh-CN"/>
        </w:rPr>
        <w:t>预算执行。</w:t>
      </w:r>
    </w:p>
    <w:p w14:paraId="403FC4CF">
      <w:pPr>
        <w:numPr>
          <w:ilvl w:val="0"/>
          <w:numId w:val="2"/>
        </w:numPr>
        <w:spacing w:line="56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城乡社区支出（类）</w:t>
      </w:r>
      <w:bookmarkStart w:id="3" w:name="OLE_LINK1"/>
      <w:r>
        <w:rPr>
          <w:rFonts w:hint="eastAsia" w:ascii="仿宋" w:hAnsi="仿宋" w:eastAsia="仿宋" w:cs="仿宋"/>
          <w:sz w:val="32"/>
          <w:szCs w:val="32"/>
          <w:highlight w:val="none"/>
        </w:rPr>
        <w:t>城乡社</w:t>
      </w:r>
      <w:r>
        <w:rPr>
          <w:rFonts w:hint="eastAsia" w:ascii="仿宋" w:hAnsi="仿宋" w:eastAsia="仿宋" w:cs="仿宋"/>
          <w:sz w:val="32"/>
          <w:szCs w:val="32"/>
          <w:highlight w:val="none"/>
          <w:lang w:eastAsia="zh-CN"/>
        </w:rPr>
        <w:t>区规划与管理</w:t>
      </w:r>
      <w:bookmarkEnd w:id="3"/>
      <w:r>
        <w:rPr>
          <w:rFonts w:hint="eastAsia" w:ascii="仿宋" w:hAnsi="仿宋" w:eastAsia="仿宋" w:cs="仿宋"/>
          <w:sz w:val="32"/>
          <w:szCs w:val="32"/>
          <w:highlight w:val="none"/>
        </w:rPr>
        <w:t>（款）城乡社</w:t>
      </w:r>
      <w:r>
        <w:rPr>
          <w:rFonts w:hint="eastAsia" w:ascii="仿宋" w:hAnsi="仿宋" w:eastAsia="仿宋" w:cs="仿宋"/>
          <w:sz w:val="32"/>
          <w:szCs w:val="32"/>
          <w:highlight w:val="none"/>
          <w:lang w:eastAsia="zh-CN"/>
        </w:rPr>
        <w:t>区规划与管理</w:t>
      </w:r>
      <w:r>
        <w:rPr>
          <w:rFonts w:hint="eastAsia" w:ascii="仿宋" w:hAnsi="仿宋" w:eastAsia="仿宋" w:cs="仿宋"/>
          <w:sz w:val="32"/>
          <w:szCs w:val="32"/>
          <w:highlight w:val="none"/>
        </w:rPr>
        <w:t>（项）。</w:t>
      </w:r>
    </w:p>
    <w:p w14:paraId="05198890">
      <w:pPr>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170.62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233.79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。决算数大于预算数</w:t>
      </w:r>
      <w:r>
        <w:rPr>
          <w:rFonts w:hint="eastAsia" w:ascii="仿宋" w:hAnsi="仿宋" w:eastAsia="仿宋" w:cs="仿宋"/>
          <w:sz w:val="32"/>
          <w:szCs w:val="32"/>
          <w:highlight w:val="none"/>
        </w:rPr>
        <w:t>的主要</w:t>
      </w:r>
      <w:r>
        <w:rPr>
          <w:rFonts w:hint="eastAsia" w:ascii="仿宋" w:hAnsi="仿宋" w:eastAsia="仿宋" w:cs="仿宋"/>
          <w:sz w:val="32"/>
          <w:szCs w:val="32"/>
          <w:highlight w:val="none"/>
          <w:lang w:eastAsia="zh-CN"/>
        </w:rPr>
        <w:t>原</w:t>
      </w:r>
      <w:r>
        <w:rPr>
          <w:rFonts w:hint="eastAsia" w:ascii="仿宋" w:hAnsi="仿宋" w:eastAsia="仿宋" w:cs="仿宋"/>
          <w:sz w:val="32"/>
          <w:szCs w:val="32"/>
          <w:highlight w:val="none"/>
        </w:rPr>
        <w:t>因是</w:t>
      </w:r>
      <w:r>
        <w:rPr>
          <w:rFonts w:hint="eastAsia" w:ascii="仿宋" w:hAnsi="仿宋" w:eastAsia="仿宋" w:cs="仿宋"/>
          <w:sz w:val="32"/>
          <w:szCs w:val="32"/>
          <w:highlight w:val="none"/>
          <w:lang w:val="zh-CN"/>
        </w:rPr>
        <w:t>与上年相比，</w:t>
      </w:r>
      <w:r>
        <w:rPr>
          <w:rFonts w:hint="eastAsia" w:ascii="仿宋" w:hAnsi="仿宋" w:eastAsia="仿宋" w:cs="仿宋"/>
          <w:sz w:val="32"/>
          <w:szCs w:val="32"/>
          <w:highlight w:val="none"/>
        </w:rPr>
        <w:t>增加</w:t>
      </w:r>
      <w:r>
        <w:rPr>
          <w:rFonts w:hint="eastAsia" w:ascii="仿宋" w:hAnsi="仿宋" w:eastAsia="仿宋" w:cs="仿宋"/>
          <w:sz w:val="32"/>
          <w:szCs w:val="32"/>
          <w:highlight w:val="none"/>
          <w:lang w:val="en-US" w:eastAsia="zh-CN"/>
        </w:rPr>
        <w:t>123.58</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36.39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zh-CN"/>
        </w:rPr>
        <w:t>主要原因是</w:t>
      </w:r>
      <w:r>
        <w:rPr>
          <w:rFonts w:hint="eastAsia" w:ascii="仿宋" w:hAnsi="仿宋" w:eastAsia="仿宋" w:cs="仿宋"/>
          <w:sz w:val="32"/>
          <w:szCs w:val="32"/>
          <w:highlight w:val="none"/>
          <w:lang w:eastAsia="zh-CN"/>
        </w:rPr>
        <w:t>城区扩大管理范围及创建省级文明城市，加大力度提升规范县城管理导致增加各项费用。</w:t>
      </w:r>
    </w:p>
    <w:p w14:paraId="24ECC149">
      <w:pPr>
        <w:numPr>
          <w:ilvl w:val="0"/>
          <w:numId w:val="0"/>
        </w:numPr>
        <w:spacing w:line="560" w:lineRule="exact"/>
        <w:ind w:leftChars="200" w:firstLine="320" w:firstLineChars="100"/>
        <w:rPr>
          <w:rFonts w:ascii="仿宋" w:hAnsi="仿宋" w:eastAsia="仿宋" w:cs="仿宋"/>
          <w:sz w:val="32"/>
          <w:szCs w:val="32"/>
        </w:rPr>
      </w:pPr>
    </w:p>
    <w:p w14:paraId="3A2B687F">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14:paraId="6FC44BE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2020年度财政拨款基本支出</w:t>
      </w:r>
      <w:r>
        <w:rPr>
          <w:rFonts w:hint="eastAsia" w:ascii="仿宋" w:hAnsi="仿宋" w:eastAsia="仿宋" w:cs="仿宋"/>
          <w:sz w:val="32"/>
          <w:szCs w:val="32"/>
          <w:lang w:val="en-US" w:eastAsia="zh-CN"/>
        </w:rPr>
        <w:t>233.80</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136.41</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58.34</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65.48万元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32.11万元</w:t>
      </w:r>
      <w:r>
        <w:rPr>
          <w:rFonts w:hint="eastAsia" w:ascii="仿宋" w:hAnsi="仿宋" w:eastAsia="仿宋" w:cs="仿宋"/>
          <w:sz w:val="32"/>
          <w:szCs w:val="32"/>
        </w:rPr>
        <w:t>、</w:t>
      </w:r>
      <w:r>
        <w:rPr>
          <w:rFonts w:hint="eastAsia" w:ascii="仿宋" w:hAnsi="仿宋" w:eastAsia="仿宋" w:cs="仿宋"/>
          <w:sz w:val="32"/>
          <w:szCs w:val="32"/>
          <w:lang w:val="zh-CN"/>
        </w:rPr>
        <w:t>奖金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、伙食补助费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、绩效工资</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、机关事业单位基本养老保险缴费</w:t>
      </w:r>
      <w:r>
        <w:rPr>
          <w:rFonts w:hint="eastAsia" w:ascii="仿宋" w:hAnsi="仿宋" w:eastAsia="仿宋" w:cs="仿宋"/>
          <w:sz w:val="32"/>
          <w:szCs w:val="32"/>
          <w:lang w:val="en-US" w:eastAsia="zh-CN"/>
        </w:rPr>
        <w:t>15.07万元</w:t>
      </w:r>
      <w:r>
        <w:rPr>
          <w:rFonts w:hint="eastAsia" w:ascii="仿宋" w:hAnsi="仿宋" w:eastAsia="仿宋" w:cs="仿宋"/>
          <w:sz w:val="32"/>
          <w:szCs w:val="32"/>
          <w:lang w:val="zh-CN"/>
        </w:rPr>
        <w:t>、职业年金缴费</w:t>
      </w:r>
      <w:r>
        <w:rPr>
          <w:rFonts w:hint="eastAsia" w:ascii="仿宋" w:hAnsi="仿宋" w:eastAsia="仿宋" w:cs="仿宋"/>
          <w:sz w:val="32"/>
          <w:szCs w:val="32"/>
          <w:lang w:val="en-US" w:eastAsia="zh-CN"/>
        </w:rPr>
        <w:t>1.25万元</w:t>
      </w:r>
      <w:r>
        <w:rPr>
          <w:rFonts w:hint="eastAsia" w:ascii="仿宋" w:hAnsi="仿宋" w:eastAsia="仿宋" w:cs="仿宋"/>
          <w:sz w:val="32"/>
          <w:szCs w:val="32"/>
          <w:lang w:val="zh-CN"/>
        </w:rPr>
        <w:t>、职工基本医疗保险缴费</w:t>
      </w:r>
      <w:r>
        <w:rPr>
          <w:rFonts w:hint="eastAsia" w:ascii="仿宋" w:hAnsi="仿宋" w:eastAsia="仿宋" w:cs="仿宋"/>
          <w:sz w:val="32"/>
          <w:szCs w:val="32"/>
          <w:lang w:val="en-US" w:eastAsia="zh-CN"/>
        </w:rPr>
        <w:t>5.99万元</w:t>
      </w:r>
      <w:r>
        <w:rPr>
          <w:rFonts w:hint="eastAsia" w:ascii="仿宋" w:hAnsi="仿宋" w:eastAsia="仿宋" w:cs="仿宋"/>
          <w:sz w:val="32"/>
          <w:szCs w:val="32"/>
          <w:lang w:val="zh-CN"/>
        </w:rPr>
        <w:t>、公务员医疗补助缴费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、其他社会保障缴费</w:t>
      </w:r>
      <w:r>
        <w:rPr>
          <w:rFonts w:hint="eastAsia" w:ascii="仿宋" w:hAnsi="仿宋" w:eastAsia="仿宋" w:cs="仿宋"/>
          <w:sz w:val="32"/>
          <w:szCs w:val="32"/>
          <w:lang w:val="en-US" w:eastAsia="zh-CN"/>
        </w:rPr>
        <w:t>0.73万元</w:t>
      </w:r>
      <w:r>
        <w:rPr>
          <w:rFonts w:hint="eastAsia" w:ascii="仿宋" w:hAnsi="仿宋" w:eastAsia="仿宋" w:cs="仿宋"/>
          <w:sz w:val="32"/>
          <w:szCs w:val="32"/>
          <w:lang w:val="zh-CN"/>
        </w:rPr>
        <w:t>、住房公积金</w:t>
      </w:r>
      <w:r>
        <w:rPr>
          <w:rFonts w:hint="eastAsia" w:ascii="仿宋" w:hAnsi="仿宋" w:eastAsia="仿宋" w:cs="仿宋"/>
          <w:sz w:val="32"/>
          <w:szCs w:val="32"/>
          <w:lang w:val="en-US" w:eastAsia="zh-CN"/>
        </w:rPr>
        <w:t>11.38万元</w:t>
      </w:r>
      <w:r>
        <w:rPr>
          <w:rFonts w:hint="eastAsia" w:ascii="仿宋" w:hAnsi="仿宋" w:eastAsia="仿宋" w:cs="仿宋"/>
          <w:sz w:val="32"/>
          <w:szCs w:val="32"/>
          <w:lang w:val="zh-CN"/>
        </w:rPr>
        <w:t>、医疗费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、其他工资福利支出</w:t>
      </w:r>
      <w:r>
        <w:rPr>
          <w:rFonts w:hint="eastAsia" w:ascii="仿宋" w:hAnsi="仿宋" w:eastAsia="仿宋" w:cs="仿宋"/>
          <w:sz w:val="32"/>
          <w:szCs w:val="32"/>
          <w:lang w:val="en-US" w:eastAsia="zh-CN"/>
        </w:rPr>
        <w:t>4.40万元</w:t>
      </w:r>
      <w:r>
        <w:rPr>
          <w:rFonts w:hint="eastAsia" w:ascii="仿宋" w:hAnsi="仿宋" w:eastAsia="仿宋" w:cs="仿宋"/>
          <w:sz w:val="32"/>
          <w:szCs w:val="32"/>
          <w:lang w:val="zh-CN"/>
        </w:rPr>
        <w:t>、离休费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、退休费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、抚恤金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、生活补助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、医疗费补助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、奖励金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、其他对个人和家庭的补助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97.39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41.66</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1.06万元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0.05万元</w:t>
      </w:r>
      <w:r>
        <w:rPr>
          <w:rFonts w:hint="eastAsia" w:ascii="仿宋" w:hAnsi="仿宋" w:eastAsia="仿宋" w:cs="仿宋"/>
          <w:sz w:val="32"/>
          <w:szCs w:val="32"/>
        </w:rPr>
        <w:t>、咨询费</w:t>
      </w:r>
      <w:r>
        <w:rPr>
          <w:rFonts w:hint="eastAsia" w:ascii="仿宋" w:hAnsi="仿宋" w:eastAsia="仿宋" w:cs="仿宋"/>
          <w:sz w:val="32"/>
          <w:szCs w:val="32"/>
          <w:lang w:val="en-US" w:eastAsia="zh-CN"/>
        </w:rPr>
        <w:t>0.20万元</w:t>
      </w:r>
      <w:r>
        <w:rPr>
          <w:rFonts w:hint="eastAsia" w:ascii="仿宋" w:hAnsi="仿宋" w:eastAsia="仿宋" w:cs="仿宋"/>
          <w:sz w:val="32"/>
          <w:szCs w:val="32"/>
        </w:rPr>
        <w:t>、手续费</w:t>
      </w:r>
      <w:r>
        <w:rPr>
          <w:rFonts w:hint="eastAsia" w:ascii="仿宋" w:hAnsi="仿宋" w:eastAsia="仿宋" w:cs="仿宋"/>
          <w:sz w:val="32"/>
          <w:szCs w:val="32"/>
          <w:lang w:val="en-US" w:eastAsia="zh-CN"/>
        </w:rPr>
        <w:t>0.07万元</w:t>
      </w:r>
      <w:r>
        <w:rPr>
          <w:rFonts w:hint="eastAsia" w:ascii="仿宋" w:hAnsi="仿宋" w:eastAsia="仿宋" w:cs="仿宋"/>
          <w:sz w:val="32"/>
          <w:szCs w:val="32"/>
        </w:rPr>
        <w:t>、水费</w:t>
      </w:r>
      <w:r>
        <w:rPr>
          <w:rFonts w:hint="eastAsia" w:ascii="仿宋" w:hAnsi="仿宋" w:eastAsia="仿宋" w:cs="仿宋"/>
          <w:sz w:val="32"/>
          <w:szCs w:val="32"/>
          <w:lang w:val="en-US" w:eastAsia="zh-CN"/>
        </w:rPr>
        <w:t>0.16万元</w:t>
      </w:r>
      <w:r>
        <w:rPr>
          <w:rFonts w:hint="eastAsia" w:ascii="仿宋" w:hAnsi="仿宋" w:eastAsia="仿宋" w:cs="仿宋"/>
          <w:sz w:val="32"/>
          <w:szCs w:val="32"/>
        </w:rPr>
        <w:t>、电费</w:t>
      </w:r>
      <w:r>
        <w:rPr>
          <w:rFonts w:hint="eastAsia" w:ascii="仿宋" w:hAnsi="仿宋" w:eastAsia="仿宋" w:cs="仿宋"/>
          <w:sz w:val="32"/>
          <w:szCs w:val="32"/>
          <w:lang w:val="en-US" w:eastAsia="zh-CN"/>
        </w:rPr>
        <w:t>0.01万元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0.64万元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0万元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0.67万元</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33.54万元</w:t>
      </w:r>
      <w:r>
        <w:rPr>
          <w:rFonts w:hint="eastAsia" w:ascii="仿宋" w:hAnsi="仿宋" w:eastAsia="仿宋" w:cs="仿宋"/>
          <w:sz w:val="32"/>
          <w:szCs w:val="32"/>
        </w:rPr>
        <w:t>、租赁费</w:t>
      </w:r>
      <w:r>
        <w:rPr>
          <w:rFonts w:hint="eastAsia" w:ascii="仿宋" w:hAnsi="仿宋" w:eastAsia="仿宋" w:cs="仿宋"/>
          <w:sz w:val="32"/>
          <w:szCs w:val="32"/>
          <w:lang w:val="en-US" w:eastAsia="zh-CN"/>
        </w:rPr>
        <w:t>0万元</w:t>
      </w:r>
      <w:r>
        <w:rPr>
          <w:rFonts w:hint="eastAsia" w:ascii="仿宋" w:hAnsi="仿宋" w:eastAsia="仿宋" w:cs="仿宋"/>
          <w:sz w:val="32"/>
          <w:szCs w:val="32"/>
        </w:rPr>
        <w:t>、会议费</w:t>
      </w:r>
      <w:r>
        <w:rPr>
          <w:rFonts w:hint="eastAsia" w:ascii="仿宋" w:hAnsi="仿宋" w:eastAsia="仿宋" w:cs="仿宋"/>
          <w:sz w:val="32"/>
          <w:szCs w:val="32"/>
          <w:lang w:val="en-US" w:eastAsia="zh-CN"/>
        </w:rPr>
        <w:t>0万元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0.62万元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0.52万元</w:t>
      </w:r>
      <w:r>
        <w:rPr>
          <w:rFonts w:hint="eastAsia" w:ascii="仿宋" w:hAnsi="仿宋" w:eastAsia="仿宋" w:cs="仿宋"/>
          <w:sz w:val="32"/>
          <w:szCs w:val="32"/>
        </w:rPr>
        <w:t>、</w:t>
      </w:r>
      <w:bookmarkStart w:id="4" w:name="OLE_LINK2"/>
      <w:r>
        <w:rPr>
          <w:rFonts w:hint="eastAsia" w:ascii="仿宋" w:hAnsi="仿宋" w:eastAsia="仿宋" w:cs="仿宋"/>
          <w:sz w:val="32"/>
          <w:szCs w:val="32"/>
        </w:rPr>
        <w:t>专用材料费</w:t>
      </w:r>
      <w:r>
        <w:rPr>
          <w:rFonts w:hint="eastAsia" w:ascii="仿宋" w:hAnsi="仿宋" w:eastAsia="仿宋" w:cs="仿宋"/>
          <w:sz w:val="32"/>
          <w:szCs w:val="32"/>
          <w:lang w:val="en-US" w:eastAsia="zh-CN"/>
        </w:rPr>
        <w:t>0.68万元</w:t>
      </w:r>
      <w:r>
        <w:rPr>
          <w:rFonts w:hint="eastAsia" w:ascii="仿宋" w:hAnsi="仿宋" w:eastAsia="仿宋" w:cs="仿宋"/>
          <w:sz w:val="32"/>
          <w:szCs w:val="32"/>
        </w:rPr>
        <w:t>、</w:t>
      </w:r>
      <w:bookmarkEnd w:id="4"/>
      <w:r>
        <w:rPr>
          <w:rFonts w:hint="eastAsia" w:ascii="仿宋" w:hAnsi="仿宋" w:eastAsia="仿宋" w:cs="仿宋"/>
          <w:sz w:val="32"/>
          <w:szCs w:val="32"/>
        </w:rPr>
        <w:t>专用</w:t>
      </w:r>
      <w:r>
        <w:rPr>
          <w:rFonts w:hint="eastAsia" w:ascii="仿宋" w:hAnsi="仿宋" w:eastAsia="仿宋" w:cs="仿宋"/>
          <w:sz w:val="32"/>
          <w:szCs w:val="32"/>
          <w:lang w:eastAsia="zh-CN"/>
        </w:rPr>
        <w:t>燃</w:t>
      </w:r>
      <w:r>
        <w:rPr>
          <w:rFonts w:hint="eastAsia" w:ascii="仿宋" w:hAnsi="仿宋" w:eastAsia="仿宋" w:cs="仿宋"/>
          <w:sz w:val="32"/>
          <w:szCs w:val="32"/>
        </w:rPr>
        <w:t>料费</w:t>
      </w:r>
      <w:r>
        <w:rPr>
          <w:rFonts w:hint="eastAsia" w:ascii="仿宋" w:hAnsi="仿宋" w:eastAsia="仿宋" w:cs="仿宋"/>
          <w:sz w:val="32"/>
          <w:szCs w:val="32"/>
          <w:lang w:val="en-US" w:eastAsia="zh-CN"/>
        </w:rPr>
        <w:t>1.00万元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0万元</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1.00万元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26.16万元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2.99万元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2.40万元</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、税金及附加费用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19.64万元</w:t>
      </w:r>
      <w:r>
        <w:rPr>
          <w:rFonts w:hint="eastAsia" w:ascii="仿宋" w:hAnsi="仿宋" w:eastAsia="仿宋" w:cs="仿宋"/>
          <w:sz w:val="32"/>
          <w:szCs w:val="32"/>
        </w:rPr>
        <w:t>、办公设备购置</w:t>
      </w:r>
      <w:r>
        <w:rPr>
          <w:rFonts w:hint="eastAsia" w:ascii="仿宋" w:hAnsi="仿宋" w:eastAsia="仿宋" w:cs="仿宋"/>
          <w:sz w:val="32"/>
          <w:szCs w:val="32"/>
          <w:lang w:val="en-US" w:eastAsia="zh-CN"/>
        </w:rPr>
        <w:t>5.98万元</w:t>
      </w:r>
      <w:r>
        <w:rPr>
          <w:rFonts w:hint="eastAsia" w:ascii="仿宋" w:hAnsi="仿宋" w:eastAsia="仿宋" w:cs="仿宋"/>
          <w:sz w:val="32"/>
          <w:szCs w:val="32"/>
        </w:rPr>
        <w:t>、专用设备购置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、信息网络及软件购置更新</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、其他交通工具购置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、文物和陈列品购置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、无形资产购置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、其他资本性支出</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p>
    <w:p w14:paraId="5996852A">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lang w:val="zh-CN"/>
        </w:rPr>
        <w:t>七、一般公共预算财政拨款“三公”经费支出决算情况说明</w:t>
      </w:r>
    </w:p>
    <w:p w14:paraId="6CB86E07">
      <w:pPr>
        <w:spacing w:line="560" w:lineRule="exact"/>
        <w:ind w:firstLine="640" w:firstLineChars="200"/>
        <w:rPr>
          <w:rFonts w:ascii="仿宋" w:hAnsi="仿宋" w:eastAsia="仿宋" w:cs="仿宋"/>
          <w:sz w:val="32"/>
          <w:szCs w:val="32"/>
        </w:rPr>
      </w:pPr>
      <w:bookmarkStart w:id="5" w:name="OLE_LINK15"/>
      <w:r>
        <w:rPr>
          <w:rFonts w:hint="eastAsia" w:ascii="仿宋" w:hAnsi="仿宋" w:eastAsia="仿宋" w:cs="仿宋"/>
          <w:sz w:val="32"/>
          <w:szCs w:val="32"/>
          <w:lang w:val="zh-CN"/>
        </w:rPr>
        <w:t>（一）“三公”经费财政拨款支出决算总体情况说明。</w:t>
      </w:r>
    </w:p>
    <w:p w14:paraId="03621BA6">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2020年度“三公”经费财政拨款支出预算为</w:t>
      </w:r>
      <w:r>
        <w:rPr>
          <w:rFonts w:hint="eastAsia" w:ascii="仿宋" w:hAnsi="仿宋" w:eastAsia="仿宋" w:cs="仿宋"/>
          <w:sz w:val="32"/>
          <w:szCs w:val="32"/>
          <w:lang w:val="en-US" w:eastAsia="zh-CN"/>
        </w:rPr>
        <w:t>4.00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2.92</w:t>
      </w:r>
      <w:r>
        <w:rPr>
          <w:rFonts w:hint="eastAsia" w:ascii="仿宋" w:hAnsi="仿宋" w:eastAsia="仿宋" w:cs="仿宋"/>
          <w:sz w:val="32"/>
          <w:szCs w:val="32"/>
        </w:rPr>
        <w:t>万元,</w:t>
      </w:r>
      <w:r>
        <w:rPr>
          <w:rFonts w:hint="eastAsia" w:ascii="仿宋" w:hAnsi="仿宋" w:eastAsia="仿宋" w:cs="仿宋"/>
          <w:sz w:val="32"/>
          <w:szCs w:val="32"/>
          <w:lang w:val="zh-CN"/>
        </w:rPr>
        <w:t>完成预算的</w:t>
      </w:r>
      <w:r>
        <w:rPr>
          <w:rFonts w:hint="eastAsia" w:ascii="仿宋" w:hAnsi="仿宋" w:eastAsia="仿宋" w:cs="仿宋"/>
          <w:sz w:val="32"/>
          <w:szCs w:val="32"/>
          <w:lang w:val="en-US" w:eastAsia="zh-CN"/>
        </w:rPr>
        <w:t>73</w:t>
      </w:r>
      <w:r>
        <w:rPr>
          <w:rFonts w:hint="eastAsia" w:ascii="仿宋" w:hAnsi="仿宋" w:eastAsia="仿宋" w:cs="仿宋"/>
          <w:sz w:val="32"/>
          <w:szCs w:val="32"/>
          <w:lang w:val="zh-CN"/>
        </w:rPr>
        <w:t>%，其中：</w:t>
      </w:r>
    </w:p>
    <w:p w14:paraId="7F0338FF">
      <w:pPr>
        <w:spacing w:line="560" w:lineRule="exact"/>
        <w:ind w:firstLine="640" w:firstLineChars="200"/>
        <w:rPr>
          <w:rFonts w:hint="eastAsia" w:ascii="仿宋" w:hAnsi="仿宋" w:eastAsia="仿宋" w:cs="仿宋"/>
          <w:sz w:val="32"/>
          <w:szCs w:val="32"/>
          <w:lang w:val="zh-CN"/>
        </w:rPr>
      </w:pPr>
      <w:bookmarkStart w:id="6" w:name="OLE_LINK12"/>
      <w:r>
        <w:rPr>
          <w:rFonts w:hint="eastAsia" w:ascii="仿宋" w:hAnsi="仿宋" w:eastAsia="仿宋" w:cs="仿宋"/>
          <w:sz w:val="32"/>
          <w:szCs w:val="32"/>
          <w:lang w:val="zh-CN"/>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%，决算数等于预算数的主要原因是全年无一人因公出国（境）。与上年相比减少</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万元，减少</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%,主要原因是</w:t>
      </w:r>
      <w:bookmarkStart w:id="7" w:name="OLE_LINK7"/>
      <w:r>
        <w:rPr>
          <w:rFonts w:hint="eastAsia" w:ascii="仿宋" w:hAnsi="仿宋" w:eastAsia="仿宋" w:cs="仿宋"/>
          <w:sz w:val="32"/>
          <w:szCs w:val="32"/>
          <w:lang w:val="zh-CN"/>
        </w:rPr>
        <w:t>全年无一人因公出国（境）。</w:t>
      </w:r>
    </w:p>
    <w:bookmarkEnd w:id="6"/>
    <w:bookmarkEnd w:id="7"/>
    <w:p w14:paraId="6F58FF25">
      <w:pPr>
        <w:spacing w:line="560" w:lineRule="exact"/>
        <w:ind w:firstLine="640" w:firstLineChars="200"/>
        <w:rPr>
          <w:rFonts w:hint="default" w:ascii="仿宋" w:hAnsi="仿宋" w:eastAsia="仿宋" w:cs="仿宋"/>
          <w:sz w:val="32"/>
          <w:szCs w:val="32"/>
          <w:highlight w:val="none"/>
          <w:lang w:val="en-US" w:eastAsia="zh-CN"/>
        </w:rPr>
      </w:pPr>
      <w:bookmarkStart w:id="8" w:name="OLE_LINK13"/>
      <w:r>
        <w:rPr>
          <w:rFonts w:hint="eastAsia" w:ascii="仿宋" w:hAnsi="仿宋" w:eastAsia="仿宋" w:cs="仿宋"/>
          <w:sz w:val="32"/>
          <w:szCs w:val="32"/>
          <w:highlight w:val="none"/>
          <w:lang w:val="zh-CN"/>
        </w:rPr>
        <w:t>公务接待费支出预算为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lang w:val="zh-CN"/>
        </w:rPr>
        <w:t>万元，</w:t>
      </w:r>
      <w:bookmarkStart w:id="9" w:name="OLE_LINK4"/>
      <w:r>
        <w:rPr>
          <w:rFonts w:hint="eastAsia" w:ascii="仿宋" w:hAnsi="仿宋" w:eastAsia="仿宋" w:cs="仿宋"/>
          <w:sz w:val="32"/>
          <w:szCs w:val="32"/>
          <w:highlight w:val="none"/>
          <w:lang w:val="zh-CN"/>
        </w:rPr>
        <w:t>支出决算为</w:t>
      </w:r>
      <w:r>
        <w:rPr>
          <w:rFonts w:hint="eastAsia" w:ascii="仿宋" w:hAnsi="仿宋" w:eastAsia="仿宋" w:cs="仿宋"/>
          <w:sz w:val="32"/>
          <w:szCs w:val="32"/>
          <w:highlight w:val="none"/>
          <w:lang w:val="en-US" w:eastAsia="zh-CN"/>
        </w:rPr>
        <w:t>0.52</w:t>
      </w:r>
      <w:r>
        <w:rPr>
          <w:rFonts w:hint="eastAsia" w:ascii="仿宋" w:hAnsi="仿宋" w:eastAsia="仿宋" w:cs="仿宋"/>
          <w:sz w:val="32"/>
          <w:szCs w:val="32"/>
          <w:highlight w:val="none"/>
          <w:lang w:val="zh-CN"/>
        </w:rPr>
        <w:t>万元</w:t>
      </w:r>
      <w:bookmarkEnd w:id="9"/>
      <w:r>
        <w:rPr>
          <w:rFonts w:hint="eastAsia" w:ascii="仿宋" w:hAnsi="仿宋" w:eastAsia="仿宋" w:cs="仿宋"/>
          <w:sz w:val="32"/>
          <w:szCs w:val="32"/>
          <w:highlight w:val="none"/>
          <w:lang w:val="zh-CN"/>
        </w:rPr>
        <w:t>,</w:t>
      </w:r>
      <w:bookmarkStart w:id="10" w:name="OLE_LINK3"/>
      <w:r>
        <w:rPr>
          <w:rFonts w:hint="eastAsia" w:ascii="仿宋" w:hAnsi="仿宋" w:eastAsia="仿宋" w:cs="仿宋"/>
          <w:sz w:val="32"/>
          <w:szCs w:val="32"/>
          <w:highlight w:val="none"/>
          <w:lang w:val="zh-CN"/>
        </w:rPr>
        <w:t>完成预算的</w:t>
      </w:r>
      <w:r>
        <w:rPr>
          <w:rFonts w:hint="eastAsia" w:ascii="仿宋" w:hAnsi="仿宋" w:eastAsia="仿宋" w:cs="仿宋"/>
          <w:sz w:val="32"/>
          <w:szCs w:val="32"/>
          <w:highlight w:val="none"/>
          <w:lang w:val="en-US" w:eastAsia="zh-CN"/>
        </w:rPr>
        <w:t>52</w:t>
      </w:r>
      <w:r>
        <w:rPr>
          <w:rFonts w:hint="eastAsia" w:ascii="仿宋" w:hAnsi="仿宋" w:eastAsia="仿宋" w:cs="仿宋"/>
          <w:sz w:val="32"/>
          <w:szCs w:val="32"/>
          <w:highlight w:val="none"/>
          <w:lang w:val="zh-CN"/>
        </w:rPr>
        <w:t>%,决算数小于预算数的主要原因是是认真贯彻落实中央八项规定精神和厉行节约要求，从严控制“三公”经费开支，全年实际支出比预算有所节约。</w:t>
      </w:r>
      <w:bookmarkEnd w:id="10"/>
      <w:r>
        <w:rPr>
          <w:rFonts w:hint="eastAsia" w:ascii="仿宋" w:hAnsi="仿宋" w:eastAsia="仿宋" w:cs="仿宋"/>
          <w:sz w:val="32"/>
          <w:szCs w:val="32"/>
          <w:highlight w:val="none"/>
          <w:lang w:val="zh-CN"/>
        </w:rPr>
        <w:t>与上年相比增加</w:t>
      </w:r>
      <w:r>
        <w:rPr>
          <w:rFonts w:hint="eastAsia" w:ascii="仿宋" w:hAnsi="仿宋" w:eastAsia="仿宋" w:cs="仿宋"/>
          <w:sz w:val="32"/>
          <w:szCs w:val="32"/>
          <w:highlight w:val="none"/>
          <w:lang w:val="en-US" w:eastAsia="zh-CN"/>
        </w:rPr>
        <w:t>0.52元，增加的主要原因是本年度公务接待增加。</w:t>
      </w:r>
    </w:p>
    <w:p w14:paraId="7AF57C23">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zh-CN"/>
        </w:rPr>
        <w:t>公务用车购置费及运行维护费支出预算为</w:t>
      </w:r>
      <w:r>
        <w:rPr>
          <w:rFonts w:hint="eastAsia" w:ascii="仿宋" w:hAnsi="仿宋" w:eastAsia="仿宋" w:cs="仿宋"/>
          <w:sz w:val="32"/>
          <w:szCs w:val="32"/>
          <w:lang w:val="en-US" w:eastAsia="zh-CN"/>
        </w:rPr>
        <w:t>3.00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2.40</w:t>
      </w:r>
      <w:r>
        <w:rPr>
          <w:rFonts w:hint="eastAsia" w:ascii="仿宋" w:hAnsi="仿宋" w:eastAsia="仿宋" w:cs="仿宋"/>
          <w:sz w:val="32"/>
          <w:szCs w:val="32"/>
          <w:lang w:val="zh-CN"/>
        </w:rPr>
        <w:t>万元、本年度公务用车购置费为0，公务用车运行维护费</w:t>
      </w:r>
      <w:r>
        <w:rPr>
          <w:rFonts w:hint="eastAsia" w:ascii="仿宋" w:hAnsi="仿宋" w:eastAsia="仿宋" w:cs="仿宋"/>
          <w:sz w:val="32"/>
          <w:szCs w:val="32"/>
          <w:lang w:val="en-US" w:eastAsia="zh-CN"/>
        </w:rPr>
        <w:t>2.40</w:t>
      </w:r>
      <w:r>
        <w:rPr>
          <w:rFonts w:hint="eastAsia" w:ascii="仿宋" w:hAnsi="仿宋" w:eastAsia="仿宋" w:cs="仿宋"/>
          <w:sz w:val="32"/>
          <w:szCs w:val="32"/>
          <w:lang w:val="zh-CN"/>
        </w:rPr>
        <w:t>万元。完成预算的</w:t>
      </w:r>
      <w:r>
        <w:rPr>
          <w:rFonts w:hint="eastAsia" w:ascii="仿宋" w:hAnsi="仿宋" w:eastAsia="仿宋" w:cs="仿宋"/>
          <w:sz w:val="32"/>
          <w:szCs w:val="32"/>
          <w:lang w:val="en-US" w:eastAsia="zh-CN"/>
        </w:rPr>
        <w:t>80</w:t>
      </w:r>
      <w:r>
        <w:rPr>
          <w:rFonts w:hint="eastAsia" w:ascii="仿宋" w:hAnsi="仿宋" w:eastAsia="仿宋" w:cs="仿宋"/>
          <w:sz w:val="32"/>
          <w:szCs w:val="32"/>
          <w:lang w:val="zh-CN"/>
        </w:rPr>
        <w:t>%,</w:t>
      </w:r>
      <w:bookmarkStart w:id="11" w:name="OLE_LINK5"/>
      <w:r>
        <w:rPr>
          <w:rFonts w:hint="eastAsia" w:ascii="仿宋" w:hAnsi="仿宋" w:eastAsia="仿宋" w:cs="仿宋"/>
          <w:sz w:val="32"/>
          <w:szCs w:val="32"/>
          <w:lang w:val="zh-CN"/>
        </w:rPr>
        <w:t>决算数小于</w:t>
      </w:r>
      <w:bookmarkEnd w:id="11"/>
      <w:r>
        <w:rPr>
          <w:rFonts w:hint="eastAsia" w:ascii="仿宋" w:hAnsi="仿宋" w:eastAsia="仿宋" w:cs="仿宋"/>
          <w:sz w:val="32"/>
          <w:szCs w:val="32"/>
          <w:lang w:val="zh-CN"/>
        </w:rPr>
        <w:t>预算数的主</w:t>
      </w:r>
      <w:r>
        <w:rPr>
          <w:rFonts w:hint="eastAsia" w:ascii="仿宋" w:hAnsi="仿宋" w:eastAsia="仿宋" w:cs="仿宋"/>
          <w:sz w:val="32"/>
          <w:szCs w:val="32"/>
          <w:highlight w:val="none"/>
          <w:lang w:val="zh-CN"/>
        </w:rPr>
        <w:t>要原因是是认真贯彻落实中央“八项规定”精神和厉行节约要求，从严控制“三公”经费开支，全年实际支出比预算有所节约。</w:t>
      </w:r>
      <w:bookmarkStart w:id="12" w:name="OLE_LINK6"/>
      <w:r>
        <w:rPr>
          <w:rFonts w:hint="eastAsia" w:ascii="仿宋" w:hAnsi="仿宋" w:eastAsia="仿宋" w:cs="仿宋"/>
          <w:sz w:val="32"/>
          <w:szCs w:val="32"/>
          <w:highlight w:val="none"/>
          <w:lang w:val="zh-CN"/>
        </w:rPr>
        <w:t>与上年相比增加</w:t>
      </w:r>
      <w:r>
        <w:rPr>
          <w:rFonts w:hint="eastAsia" w:ascii="仿宋" w:hAnsi="仿宋" w:eastAsia="仿宋" w:cs="仿宋"/>
          <w:sz w:val="32"/>
          <w:szCs w:val="32"/>
          <w:highlight w:val="none"/>
          <w:lang w:val="en-US" w:eastAsia="zh-CN"/>
        </w:rPr>
        <w:t>0.47元，增加的主要原因是</w:t>
      </w:r>
      <w:bookmarkEnd w:id="12"/>
      <w:r>
        <w:rPr>
          <w:rFonts w:hint="eastAsia" w:ascii="仿宋" w:hAnsi="仿宋" w:eastAsia="仿宋" w:cs="仿宋"/>
          <w:sz w:val="32"/>
          <w:szCs w:val="32"/>
          <w:highlight w:val="none"/>
          <w:lang w:eastAsia="zh-CN"/>
        </w:rPr>
        <w:t>城区扩大管理范围及创建省级文明城市，加大力度提升规范县城管理导致增加各项费用。</w:t>
      </w:r>
    </w:p>
    <w:p w14:paraId="48BADA86">
      <w:pPr>
        <w:spacing w:line="560" w:lineRule="exact"/>
        <w:ind w:firstLine="640" w:firstLineChars="200"/>
        <w:rPr>
          <w:rFonts w:ascii="仿宋" w:hAnsi="仿宋" w:eastAsia="仿宋" w:cs="仿宋"/>
          <w:sz w:val="32"/>
          <w:szCs w:val="32"/>
          <w:lang w:val="zh-CN"/>
        </w:rPr>
      </w:pPr>
    </w:p>
    <w:p w14:paraId="64D512F9">
      <w:pPr>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zh-CN" w:eastAsia="zh-CN"/>
        </w:rPr>
        <w:t>（二）“三公”经费财政拨款支出决算具体情况说明。</w:t>
      </w:r>
    </w:p>
    <w:p w14:paraId="17A411DE">
      <w:pPr>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2020年度“三公”经费财政拨款支出决算中，公务接待费支出决算</w:t>
      </w:r>
      <w:r>
        <w:rPr>
          <w:rFonts w:hint="eastAsia" w:ascii="仿宋" w:hAnsi="仿宋" w:eastAsia="仿宋" w:cs="仿宋"/>
          <w:sz w:val="32"/>
          <w:szCs w:val="32"/>
          <w:highlight w:val="none"/>
          <w:lang w:val="en-US" w:eastAsia="zh-CN"/>
        </w:rPr>
        <w:t>0.52</w:t>
      </w:r>
      <w:r>
        <w:rPr>
          <w:rFonts w:hint="eastAsia" w:ascii="仿宋" w:hAnsi="仿宋" w:eastAsia="仿宋" w:cs="仿宋"/>
          <w:sz w:val="32"/>
          <w:szCs w:val="32"/>
          <w:highlight w:val="none"/>
          <w:lang w:eastAsia="zh-CN"/>
        </w:rPr>
        <w:t>万元，占</w:t>
      </w:r>
      <w:r>
        <w:rPr>
          <w:rFonts w:hint="eastAsia" w:ascii="仿宋" w:hAnsi="仿宋" w:eastAsia="仿宋" w:cs="仿宋"/>
          <w:sz w:val="32"/>
          <w:szCs w:val="32"/>
          <w:highlight w:val="none"/>
          <w:lang w:val="en-US" w:eastAsia="zh-CN"/>
        </w:rPr>
        <w:t>18</w:t>
      </w:r>
      <w:r>
        <w:rPr>
          <w:rFonts w:hint="eastAsia" w:ascii="仿宋" w:hAnsi="仿宋" w:eastAsia="仿宋" w:cs="仿宋"/>
          <w:sz w:val="32"/>
          <w:szCs w:val="32"/>
          <w:highlight w:val="none"/>
          <w:lang w:eastAsia="zh-CN"/>
        </w:rPr>
        <w:t>%,因公出国（境）费支出决算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%,公务用车购置费及运行维护费支出决算</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lang w:eastAsia="zh-CN"/>
        </w:rPr>
        <w:t>万元，占</w:t>
      </w:r>
      <w:r>
        <w:rPr>
          <w:rFonts w:hint="eastAsia" w:ascii="仿宋" w:hAnsi="仿宋" w:eastAsia="仿宋" w:cs="仿宋"/>
          <w:sz w:val="32"/>
          <w:szCs w:val="32"/>
          <w:highlight w:val="none"/>
          <w:lang w:val="en-US" w:eastAsia="zh-CN"/>
        </w:rPr>
        <w:t>82</w:t>
      </w:r>
      <w:r>
        <w:rPr>
          <w:rFonts w:hint="eastAsia" w:ascii="仿宋" w:hAnsi="仿宋" w:eastAsia="仿宋" w:cs="仿宋"/>
          <w:sz w:val="32"/>
          <w:szCs w:val="32"/>
          <w:highlight w:val="none"/>
          <w:lang w:eastAsia="zh-CN"/>
        </w:rPr>
        <w:t>%。其中：</w:t>
      </w:r>
    </w:p>
    <w:p w14:paraId="21980F61">
      <w:pPr>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1、因公出国（境）费支出决算为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万元，全年安排因公出国（境）团组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个，累计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人次,开支内容</w:t>
      </w:r>
      <w:r>
        <w:rPr>
          <w:rFonts w:hint="eastAsia" w:ascii="仿宋" w:hAnsi="仿宋" w:eastAsia="仿宋" w:cs="仿宋"/>
          <w:sz w:val="32"/>
          <w:szCs w:val="32"/>
          <w:highlight w:val="none"/>
          <w:lang w:val="en-US" w:eastAsia="zh-CN"/>
        </w:rPr>
        <w:t>0.</w:t>
      </w:r>
    </w:p>
    <w:p w14:paraId="59226503">
      <w:pPr>
        <w:spacing w:line="56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2、公务接待费支出决算为</w:t>
      </w:r>
      <w:r>
        <w:rPr>
          <w:rFonts w:hint="eastAsia" w:ascii="仿宋" w:hAnsi="仿宋" w:eastAsia="仿宋" w:cs="仿宋"/>
          <w:sz w:val="32"/>
          <w:szCs w:val="32"/>
          <w:highlight w:val="none"/>
          <w:lang w:val="en-US" w:eastAsia="zh-CN"/>
        </w:rPr>
        <w:t>0.52</w:t>
      </w:r>
      <w:r>
        <w:rPr>
          <w:rFonts w:hint="eastAsia" w:ascii="仿宋" w:hAnsi="仿宋" w:eastAsia="仿宋" w:cs="仿宋"/>
          <w:sz w:val="32"/>
          <w:szCs w:val="32"/>
          <w:highlight w:val="none"/>
          <w:lang w:eastAsia="zh-CN"/>
        </w:rPr>
        <w:t>万元，</w:t>
      </w:r>
      <w:bookmarkStart w:id="13" w:name="OLE_LINK11"/>
      <w:r>
        <w:rPr>
          <w:rFonts w:hint="eastAsia" w:ascii="仿宋" w:hAnsi="仿宋" w:eastAsia="仿宋" w:cs="仿宋"/>
          <w:sz w:val="32"/>
          <w:szCs w:val="32"/>
          <w:highlight w:val="none"/>
          <w:lang w:eastAsia="zh-CN"/>
        </w:rPr>
        <w:t>全年共接待来访团组</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lang w:eastAsia="zh-CN"/>
        </w:rPr>
        <w:t>个、来宾</w:t>
      </w:r>
      <w:r>
        <w:rPr>
          <w:rFonts w:hint="eastAsia" w:ascii="仿宋" w:hAnsi="仿宋" w:eastAsia="仿宋" w:cs="仿宋"/>
          <w:sz w:val="32"/>
          <w:szCs w:val="32"/>
          <w:highlight w:val="none"/>
          <w:lang w:val="en-US" w:eastAsia="zh-CN"/>
        </w:rPr>
        <w:t>80</w:t>
      </w:r>
      <w:r>
        <w:rPr>
          <w:rFonts w:hint="eastAsia" w:ascii="仿宋" w:hAnsi="仿宋" w:eastAsia="仿宋" w:cs="仿宋"/>
          <w:sz w:val="32"/>
          <w:szCs w:val="32"/>
          <w:highlight w:val="none"/>
          <w:lang w:eastAsia="zh-CN"/>
        </w:rPr>
        <w:t>人次，主要是文明创建发生的接待支出。</w:t>
      </w:r>
    </w:p>
    <w:bookmarkEnd w:id="13"/>
    <w:p w14:paraId="18A464E1">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highlight w:val="none"/>
          <w:lang w:eastAsia="zh-CN"/>
        </w:rPr>
        <w:t>3、公务用车购置费及运行维护费支出决算为</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lang w:eastAsia="zh-CN"/>
        </w:rPr>
        <w:t>万元，其中：公务用车购置费</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lang w:eastAsia="zh-CN"/>
        </w:rPr>
        <w:t>万元，公务用车运行维护费</w:t>
      </w:r>
      <w:r>
        <w:rPr>
          <w:rFonts w:hint="eastAsia" w:ascii="仿宋" w:hAnsi="仿宋" w:eastAsia="仿宋" w:cs="仿宋"/>
          <w:sz w:val="32"/>
          <w:szCs w:val="32"/>
          <w:highlight w:val="none"/>
          <w:lang w:val="en-US" w:eastAsia="zh-CN"/>
        </w:rPr>
        <w:t>2.4</w:t>
      </w:r>
      <w:r>
        <w:rPr>
          <w:rFonts w:hint="eastAsia" w:ascii="仿宋" w:hAnsi="仿宋" w:eastAsia="仿宋" w:cs="仿宋"/>
          <w:sz w:val="32"/>
          <w:szCs w:val="32"/>
          <w:highlight w:val="none"/>
          <w:lang w:eastAsia="zh-CN"/>
        </w:rPr>
        <w:t>万元，主要是文明创建车辆巡逻维修支出，截止2020年12月31日，我单位开支财政拨款的公务用车保有量为</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辆。</w:t>
      </w:r>
      <w:bookmarkEnd w:id="5"/>
      <w:bookmarkEnd w:id="8"/>
    </w:p>
    <w:p w14:paraId="6F27C648">
      <w:pPr>
        <w:numPr>
          <w:ilvl w:val="0"/>
          <w:numId w:val="3"/>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14:paraId="5F33EDB8">
      <w:pPr>
        <w:numPr>
          <w:ilvl w:val="0"/>
          <w:numId w:val="0"/>
        </w:numPr>
        <w:spacing w:line="560" w:lineRule="exact"/>
        <w:ind w:firstLine="1280" w:firstLineChars="400"/>
        <w:rPr>
          <w:rFonts w:ascii="仿宋" w:hAnsi="仿宋" w:eastAsia="仿宋" w:cs="仿宋"/>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p>
    <w:p w14:paraId="5B9B77D7">
      <w:pPr>
        <w:spacing w:line="56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九、关于机关运行经费支出说明</w:t>
      </w:r>
    </w:p>
    <w:p w14:paraId="106339CD">
      <w:pPr>
        <w:spacing w:line="560" w:lineRule="exact"/>
        <w:ind w:firstLine="640" w:firstLineChars="200"/>
        <w:rPr>
          <w:rFonts w:hint="eastAsia" w:ascii="黑体" w:hAnsi="黑体" w:eastAsia="黑体" w:cs="黑体"/>
          <w:sz w:val="32"/>
          <w:szCs w:val="32"/>
          <w:highlight w:val="none"/>
          <w:lang w:val="zh-CN"/>
        </w:rPr>
      </w:pPr>
      <w:bookmarkStart w:id="14" w:name="OLE_LINK14"/>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2020年度机关运行经费0万元，</w:t>
      </w:r>
      <w:r>
        <w:rPr>
          <w:rFonts w:hint="eastAsia" w:ascii="仿宋" w:hAnsi="仿宋" w:eastAsia="仿宋" w:cs="仿宋"/>
          <w:sz w:val="32"/>
          <w:szCs w:val="32"/>
        </w:rPr>
        <w:t>比年初预算数增加</w:t>
      </w:r>
      <w:r>
        <w:rPr>
          <w:rFonts w:hint="eastAsia" w:ascii="仿宋" w:hAnsi="仿宋" w:eastAsia="仿宋" w:cs="仿宋"/>
          <w:sz w:val="32"/>
          <w:szCs w:val="32"/>
          <w:lang w:val="en-US" w:eastAsia="zh-CN"/>
        </w:rPr>
        <w:t>0</w:t>
      </w:r>
      <w:r>
        <w:rPr>
          <w:rFonts w:hint="eastAsia" w:ascii="仿宋" w:hAnsi="仿宋" w:eastAsia="仿宋" w:cs="仿宋"/>
          <w:sz w:val="32"/>
          <w:szCs w:val="32"/>
        </w:rPr>
        <w:t>万元，增</w:t>
      </w:r>
      <w:r>
        <w:rPr>
          <w:rFonts w:hint="eastAsia" w:ascii="仿宋" w:hAnsi="仿宋" w:eastAsia="仿宋" w:cs="仿宋"/>
          <w:sz w:val="32"/>
          <w:szCs w:val="32"/>
          <w:lang w:eastAsia="zh-CN"/>
        </w:rPr>
        <w:t>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本单位属事业单位</w:t>
      </w:r>
      <w:r>
        <w:rPr>
          <w:rFonts w:hint="eastAsia" w:ascii="仿宋" w:hAnsi="仿宋" w:eastAsia="仿宋" w:cs="宋体"/>
          <w:sz w:val="32"/>
          <w:szCs w:val="32"/>
          <w:lang w:val="zh-CN"/>
        </w:rPr>
        <w:t>。</w:t>
      </w:r>
      <w:bookmarkEnd w:id="14"/>
      <w:bookmarkStart w:id="16" w:name="_GoBack"/>
      <w:bookmarkEnd w:id="16"/>
    </w:p>
    <w:p w14:paraId="3236AC78">
      <w:pPr>
        <w:numPr>
          <w:ilvl w:val="0"/>
          <w:numId w:val="0"/>
        </w:numPr>
        <w:spacing w:line="560" w:lineRule="exact"/>
        <w:ind w:left="838" w:leftChars="0"/>
        <w:rPr>
          <w:rFonts w:hint="eastAsia" w:ascii="黑体" w:hAnsi="黑体" w:eastAsia="黑体" w:cs="黑体"/>
          <w:b/>
          <w:bCs/>
          <w:sz w:val="32"/>
          <w:szCs w:val="32"/>
          <w:highlight w:val="none"/>
          <w:lang w:val="zh-CN"/>
        </w:rPr>
      </w:pPr>
      <w:r>
        <w:rPr>
          <w:rFonts w:hint="eastAsia" w:ascii="黑体" w:hAnsi="黑体" w:eastAsia="黑体" w:cs="黑体"/>
          <w:b/>
          <w:bCs/>
          <w:sz w:val="32"/>
          <w:szCs w:val="32"/>
          <w:highlight w:val="none"/>
          <w:lang w:val="zh-CN"/>
        </w:rPr>
        <w:t>十、一般性支出情况</w:t>
      </w:r>
    </w:p>
    <w:p w14:paraId="5C06B1B4">
      <w:pPr>
        <w:spacing w:line="560" w:lineRule="exact"/>
        <w:ind w:firstLine="640" w:firstLineChars="200"/>
        <w:rPr>
          <w:rFonts w:hint="default" w:ascii="仿宋" w:hAnsi="仿宋" w:eastAsia="仿宋" w:cs="仿宋"/>
          <w:sz w:val="32"/>
          <w:szCs w:val="32"/>
          <w:lang w:eastAsia="zh-CN"/>
        </w:rPr>
      </w:pPr>
      <w:r>
        <w:rPr>
          <w:rFonts w:hint="eastAsia" w:ascii="仿宋" w:hAnsi="仿宋" w:eastAsia="仿宋" w:cs="仿宋"/>
          <w:sz w:val="32"/>
          <w:szCs w:val="32"/>
          <w:lang w:val="en-US" w:eastAsia="zh-CN"/>
        </w:rPr>
        <w:t>2020年本部门开支会议费用0万元，用于召开全体全</w:t>
      </w:r>
      <w:r>
        <w:rPr>
          <w:rFonts w:hint="default" w:ascii="仿宋" w:hAnsi="仿宋" w:eastAsia="仿宋" w:cs="仿宋"/>
          <w:sz w:val="32"/>
          <w:szCs w:val="32"/>
          <w:lang w:eastAsia="zh-CN"/>
        </w:rPr>
        <w:t>系统</w:t>
      </w:r>
      <w:r>
        <w:rPr>
          <w:rFonts w:hint="eastAsia" w:ascii="仿宋" w:hAnsi="仿宋" w:eastAsia="仿宋" w:cs="仿宋"/>
          <w:sz w:val="32"/>
          <w:szCs w:val="32"/>
          <w:lang w:val="en-US" w:eastAsia="zh-CN"/>
        </w:rPr>
        <w:t>干部</w:t>
      </w:r>
      <w:r>
        <w:rPr>
          <w:rFonts w:hint="default" w:ascii="仿宋" w:hAnsi="仿宋" w:eastAsia="仿宋" w:cs="仿宋"/>
          <w:sz w:val="32"/>
          <w:szCs w:val="32"/>
          <w:lang w:eastAsia="zh-CN"/>
        </w:rPr>
        <w:t>职工大会，人数</w:t>
      </w:r>
      <w:r>
        <w:rPr>
          <w:rFonts w:hint="eastAsia" w:ascii="仿宋" w:hAnsi="仿宋" w:eastAsia="仿宋" w:cs="仿宋"/>
          <w:sz w:val="32"/>
          <w:szCs w:val="32"/>
          <w:lang w:val="en-US" w:eastAsia="zh-CN"/>
        </w:rPr>
        <w:t>0</w:t>
      </w:r>
      <w:r>
        <w:rPr>
          <w:rFonts w:hint="default" w:ascii="仿宋" w:hAnsi="仿宋" w:eastAsia="仿宋" w:cs="仿宋"/>
          <w:sz w:val="32"/>
          <w:szCs w:val="32"/>
          <w:lang w:eastAsia="zh-CN"/>
        </w:rPr>
        <w:t>人，内容为</w:t>
      </w:r>
      <w:r>
        <w:rPr>
          <w:rFonts w:hint="eastAsia" w:ascii="仿宋" w:hAnsi="仿宋" w:eastAsia="仿宋" w:cs="仿宋"/>
          <w:sz w:val="32"/>
          <w:szCs w:val="32"/>
          <w:lang w:val="en-US" w:eastAsia="zh-CN"/>
        </w:rPr>
        <w:t>0</w:t>
      </w:r>
      <w:r>
        <w:rPr>
          <w:rFonts w:hint="default" w:ascii="仿宋" w:hAnsi="仿宋" w:eastAsia="仿宋" w:cs="仿宋"/>
          <w:sz w:val="32"/>
          <w:szCs w:val="32"/>
          <w:lang w:eastAsia="zh-CN"/>
        </w:rPr>
        <w:t>。开支培训费0.</w:t>
      </w:r>
      <w:r>
        <w:rPr>
          <w:rFonts w:hint="eastAsia" w:ascii="仿宋" w:hAnsi="仿宋" w:eastAsia="仿宋" w:cs="仿宋"/>
          <w:sz w:val="32"/>
          <w:szCs w:val="32"/>
          <w:lang w:val="en-US" w:eastAsia="zh-CN"/>
        </w:rPr>
        <w:t>62</w:t>
      </w:r>
      <w:r>
        <w:rPr>
          <w:rFonts w:hint="default" w:ascii="仿宋" w:hAnsi="仿宋" w:eastAsia="仿宋" w:cs="仿宋"/>
          <w:sz w:val="32"/>
          <w:szCs w:val="32"/>
          <w:lang w:eastAsia="zh-CN"/>
        </w:rPr>
        <w:t>万元，用于</w:t>
      </w:r>
      <w:r>
        <w:rPr>
          <w:rFonts w:hint="eastAsia" w:ascii="仿宋" w:hAnsi="仿宋" w:eastAsia="仿宋" w:cs="仿宋"/>
          <w:sz w:val="32"/>
          <w:szCs w:val="32"/>
          <w:lang w:eastAsia="zh-CN"/>
        </w:rPr>
        <w:t>文明创建</w:t>
      </w:r>
      <w:r>
        <w:rPr>
          <w:rFonts w:hint="default" w:ascii="仿宋" w:hAnsi="仿宋" w:eastAsia="仿宋" w:cs="仿宋"/>
          <w:sz w:val="32"/>
          <w:szCs w:val="32"/>
          <w:lang w:eastAsia="zh-CN"/>
        </w:rPr>
        <w:t>培训课，人数</w:t>
      </w:r>
      <w:r>
        <w:rPr>
          <w:rFonts w:hint="eastAsia" w:ascii="仿宋" w:hAnsi="仿宋" w:eastAsia="仿宋" w:cs="仿宋"/>
          <w:sz w:val="32"/>
          <w:szCs w:val="32"/>
          <w:lang w:val="en-US" w:eastAsia="zh-CN"/>
        </w:rPr>
        <w:t>80</w:t>
      </w:r>
      <w:r>
        <w:rPr>
          <w:rFonts w:hint="default" w:ascii="仿宋" w:hAnsi="仿宋" w:eastAsia="仿宋" w:cs="仿宋"/>
          <w:sz w:val="32"/>
          <w:szCs w:val="32"/>
          <w:lang w:eastAsia="zh-CN"/>
        </w:rPr>
        <w:t>人。2020年本部门未举办节庆、晚会、论坛、赛事活动，开支0万元。</w:t>
      </w:r>
    </w:p>
    <w:p w14:paraId="7E93D8CF">
      <w:pPr>
        <w:numPr>
          <w:ilvl w:val="0"/>
          <w:numId w:val="4"/>
        </w:numPr>
        <w:spacing w:line="560" w:lineRule="exact"/>
        <w:ind w:left="419" w:leftChars="0" w:firstLineChars="0"/>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lang w:eastAsia="zh-CN"/>
        </w:rPr>
        <w:t>关于政府采购支出说明</w:t>
      </w:r>
    </w:p>
    <w:p w14:paraId="00A0663A">
      <w:pPr>
        <w:spacing w:line="560" w:lineRule="exact"/>
        <w:ind w:firstLine="640" w:firstLineChars="200"/>
        <w:rPr>
          <w:rFonts w:hint="eastAsia" w:ascii="仿宋" w:hAnsi="仿宋" w:eastAsia="仿宋" w:cs="仿宋"/>
          <w:sz w:val="32"/>
          <w:szCs w:val="32"/>
        </w:rPr>
      </w:pPr>
      <w:r>
        <w:rPr>
          <w:rFonts w:hint="default" w:ascii="仿宋" w:hAnsi="仿宋" w:eastAsia="仿宋" w:cs="宋体"/>
          <w:b/>
          <w:bCs/>
          <w:sz w:val="32"/>
          <w:szCs w:val="32"/>
          <w:lang w:eastAsia="zh-CN"/>
        </w:rPr>
        <w:t xml:space="preserve">    本部门2020年度</w:t>
      </w:r>
      <w:r>
        <w:rPr>
          <w:rFonts w:hint="eastAsia" w:ascii="仿宋" w:hAnsi="仿宋" w:eastAsia="仿宋" w:cs="仿宋"/>
          <w:sz w:val="32"/>
          <w:szCs w:val="32"/>
        </w:rPr>
        <w:t>2020年度政府采购支出总额</w:t>
      </w:r>
      <w:r>
        <w:rPr>
          <w:rFonts w:hint="eastAsia" w:ascii="仿宋" w:hAnsi="仿宋" w:eastAsia="仿宋" w:cs="仿宋"/>
          <w:sz w:val="32"/>
          <w:szCs w:val="32"/>
          <w:lang w:val="en-US" w:eastAsia="zh-CN"/>
        </w:rPr>
        <w:t>0</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default" w:ascii="仿宋" w:hAnsi="仿宋" w:eastAsia="仿宋" w:cs="仿宋"/>
          <w:sz w:val="32"/>
          <w:szCs w:val="32"/>
        </w:rPr>
        <w:t>其中：</w:t>
      </w:r>
      <w:r>
        <w:rPr>
          <w:rFonts w:hint="eastAsia" w:ascii="仿宋" w:hAnsi="仿宋" w:eastAsia="仿宋" w:cs="仿宋"/>
          <w:sz w:val="32"/>
          <w:szCs w:val="32"/>
        </w:rPr>
        <w:t>授予中小企业的政府采购合同金额为</w:t>
      </w:r>
      <w:r>
        <w:rPr>
          <w:rFonts w:hint="eastAsia" w:ascii="仿宋" w:hAnsi="仿宋" w:eastAsia="仿宋" w:cs="仿宋"/>
          <w:sz w:val="32"/>
          <w:szCs w:val="32"/>
          <w:lang w:val="en-US" w:eastAsia="zh-CN"/>
        </w:rPr>
        <w:t>0</w:t>
      </w:r>
      <w:r>
        <w:rPr>
          <w:rFonts w:hint="eastAsia" w:ascii="仿宋" w:hAnsi="仿宋" w:eastAsia="仿宋" w:cs="仿宋"/>
          <w:sz w:val="32"/>
          <w:szCs w:val="32"/>
        </w:rPr>
        <w:t>万元，占政府采购支出总金额的0%。</w:t>
      </w:r>
    </w:p>
    <w:p w14:paraId="34EC5FE1">
      <w:pPr>
        <w:numPr>
          <w:ilvl w:val="0"/>
          <w:numId w:val="4"/>
        </w:numPr>
        <w:spacing w:line="560" w:lineRule="exact"/>
        <w:ind w:left="419"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关于国有资产占用情况说明</w:t>
      </w:r>
    </w:p>
    <w:p w14:paraId="5A742BB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截至2020年12月31日，本单位共有车辆</w:t>
      </w:r>
      <w:r>
        <w:rPr>
          <w:rFonts w:hint="eastAsia" w:ascii="仿宋" w:hAnsi="仿宋" w:eastAsia="仿宋" w:cs="仿宋"/>
          <w:sz w:val="32"/>
          <w:szCs w:val="32"/>
          <w:lang w:val="en-US" w:eastAsia="zh-CN"/>
        </w:rPr>
        <w:t>2</w:t>
      </w:r>
      <w:r>
        <w:rPr>
          <w:rFonts w:hint="eastAsia" w:ascii="仿宋" w:hAnsi="仿宋" w:eastAsia="仿宋" w:cs="仿宋"/>
          <w:sz w:val="32"/>
          <w:szCs w:val="32"/>
        </w:rPr>
        <w:t>辆，其中，主要领导干部用车</w:t>
      </w:r>
      <w:r>
        <w:rPr>
          <w:rFonts w:hint="default" w:ascii="仿宋" w:hAnsi="仿宋" w:eastAsia="仿宋" w:cs="仿宋"/>
          <w:sz w:val="32"/>
          <w:szCs w:val="32"/>
        </w:rPr>
        <w:t>0</w:t>
      </w:r>
      <w:r>
        <w:rPr>
          <w:rFonts w:hint="eastAsia" w:ascii="仿宋" w:hAnsi="仿宋" w:eastAsia="仿宋" w:cs="仿宋"/>
          <w:sz w:val="32"/>
          <w:szCs w:val="32"/>
        </w:rPr>
        <w:t>辆，机要通信用车</w:t>
      </w:r>
      <w:r>
        <w:rPr>
          <w:rFonts w:hint="default" w:ascii="仿宋" w:hAnsi="仿宋" w:eastAsia="仿宋" w:cs="仿宋"/>
          <w:sz w:val="32"/>
          <w:szCs w:val="32"/>
        </w:rPr>
        <w:t>0</w:t>
      </w:r>
      <w:r>
        <w:rPr>
          <w:rFonts w:hint="eastAsia" w:ascii="仿宋" w:hAnsi="仿宋" w:eastAsia="仿宋" w:cs="仿宋"/>
          <w:sz w:val="32"/>
          <w:szCs w:val="32"/>
        </w:rPr>
        <w:t>辆、应急保障用车</w:t>
      </w:r>
      <w:r>
        <w:rPr>
          <w:rFonts w:hint="default" w:ascii="仿宋" w:hAnsi="仿宋" w:eastAsia="仿宋" w:cs="仿宋"/>
          <w:sz w:val="32"/>
          <w:szCs w:val="32"/>
        </w:rPr>
        <w:t>0</w:t>
      </w:r>
      <w:r>
        <w:rPr>
          <w:rFonts w:hint="eastAsia" w:ascii="仿宋" w:hAnsi="仿宋" w:eastAsia="仿宋" w:cs="仿宋"/>
          <w:sz w:val="32"/>
          <w:szCs w:val="32"/>
        </w:rPr>
        <w:t>辆、执法执勤用车</w:t>
      </w:r>
      <w:r>
        <w:rPr>
          <w:rFonts w:hint="eastAsia" w:ascii="仿宋" w:hAnsi="仿宋" w:eastAsia="仿宋" w:cs="仿宋"/>
          <w:sz w:val="32"/>
          <w:szCs w:val="32"/>
          <w:lang w:val="en-US" w:eastAsia="zh-CN"/>
        </w:rPr>
        <w:t>2</w:t>
      </w:r>
      <w:r>
        <w:rPr>
          <w:rFonts w:hint="eastAsia" w:ascii="仿宋" w:hAnsi="仿宋" w:eastAsia="仿宋" w:cs="仿宋"/>
          <w:sz w:val="32"/>
          <w:szCs w:val="32"/>
        </w:rPr>
        <w:t>辆、特种专业技术用车</w:t>
      </w:r>
      <w:r>
        <w:rPr>
          <w:rFonts w:hint="default" w:ascii="仿宋" w:hAnsi="仿宋" w:eastAsia="仿宋" w:cs="仿宋"/>
          <w:sz w:val="32"/>
          <w:szCs w:val="32"/>
        </w:rPr>
        <w:t>0</w:t>
      </w:r>
      <w:r>
        <w:rPr>
          <w:rFonts w:hint="eastAsia" w:ascii="仿宋" w:hAnsi="仿宋" w:eastAsia="仿宋" w:cs="仿宋"/>
          <w:sz w:val="32"/>
          <w:szCs w:val="32"/>
        </w:rPr>
        <w:t>辆、其他用车</w:t>
      </w:r>
      <w:r>
        <w:rPr>
          <w:rFonts w:hint="default" w:ascii="仿宋" w:hAnsi="仿宋" w:eastAsia="仿宋" w:cs="仿宋"/>
          <w:sz w:val="32"/>
          <w:szCs w:val="32"/>
        </w:rPr>
        <w:t>0</w:t>
      </w:r>
      <w:r>
        <w:rPr>
          <w:rFonts w:hint="eastAsia" w:ascii="仿宋" w:hAnsi="仿宋" w:eastAsia="仿宋" w:cs="仿宋"/>
          <w:sz w:val="32"/>
          <w:szCs w:val="32"/>
        </w:rPr>
        <w:t>辆，</w:t>
      </w:r>
      <w:r>
        <w:rPr>
          <w:rFonts w:hint="default" w:ascii="仿宋" w:hAnsi="仿宋" w:eastAsia="仿宋" w:cs="仿宋"/>
          <w:sz w:val="32"/>
          <w:szCs w:val="32"/>
        </w:rPr>
        <w:t>本单位无车辆</w:t>
      </w:r>
      <w:r>
        <w:rPr>
          <w:rFonts w:hint="eastAsia" w:ascii="仿宋" w:hAnsi="仿宋" w:eastAsia="仿宋" w:cs="仿宋"/>
          <w:sz w:val="32"/>
          <w:szCs w:val="32"/>
        </w:rPr>
        <w:t>；单位价值50万元以上通用设备</w:t>
      </w:r>
      <w:r>
        <w:rPr>
          <w:rFonts w:hint="default" w:ascii="仿宋" w:hAnsi="仿宋" w:eastAsia="仿宋" w:cs="仿宋"/>
          <w:sz w:val="32"/>
          <w:szCs w:val="32"/>
        </w:rPr>
        <w:t>0</w:t>
      </w:r>
      <w:r>
        <w:rPr>
          <w:rFonts w:hint="eastAsia" w:ascii="仿宋" w:hAnsi="仿宋" w:eastAsia="仿宋" w:cs="仿宋"/>
          <w:sz w:val="32"/>
          <w:szCs w:val="32"/>
        </w:rPr>
        <w:t>台（套）；单位价值</w:t>
      </w:r>
      <w:r>
        <w:rPr>
          <w:rFonts w:hint="default" w:ascii="仿宋" w:hAnsi="仿宋" w:eastAsia="仿宋" w:cs="仿宋"/>
          <w:sz w:val="32"/>
          <w:szCs w:val="32"/>
        </w:rPr>
        <w:t>100</w:t>
      </w:r>
      <w:r>
        <w:rPr>
          <w:rFonts w:hint="eastAsia" w:ascii="仿宋" w:hAnsi="仿宋" w:eastAsia="仿宋" w:cs="仿宋"/>
          <w:sz w:val="32"/>
          <w:szCs w:val="32"/>
        </w:rPr>
        <w:t>万元以上专用设备</w:t>
      </w:r>
      <w:r>
        <w:rPr>
          <w:rFonts w:hint="default" w:ascii="仿宋" w:hAnsi="仿宋" w:eastAsia="仿宋" w:cs="仿宋"/>
          <w:sz w:val="32"/>
          <w:szCs w:val="32"/>
        </w:rPr>
        <w:t>0</w:t>
      </w:r>
      <w:r>
        <w:rPr>
          <w:rFonts w:hint="eastAsia" w:ascii="仿宋" w:hAnsi="仿宋" w:eastAsia="仿宋" w:cs="仿宋"/>
          <w:sz w:val="32"/>
          <w:szCs w:val="32"/>
        </w:rPr>
        <w:t>台（套）。</w:t>
      </w:r>
    </w:p>
    <w:p w14:paraId="2B24B5AA">
      <w:pPr>
        <w:pStyle w:val="10"/>
        <w:rPr>
          <w:rFonts w:hAnsi="黑体"/>
          <w:b/>
          <w:sz w:val="32"/>
          <w:szCs w:val="32"/>
        </w:rPr>
      </w:pPr>
      <w:r>
        <w:rPr>
          <w:rFonts w:hint="eastAsia" w:hAnsi="黑体"/>
          <w:b/>
          <w:sz w:val="32"/>
          <w:szCs w:val="32"/>
        </w:rPr>
        <w:t>十三、关于2020年度预算绩效情况的说明</w:t>
      </w:r>
    </w:p>
    <w:p w14:paraId="3E1F1472">
      <w:pPr>
        <w:spacing w:line="560" w:lineRule="exact"/>
        <w:ind w:firstLine="640" w:firstLineChars="200"/>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根据</w:t>
      </w:r>
      <w:r>
        <w:rPr>
          <w:rFonts w:hint="eastAsia" w:ascii="仿宋" w:hAnsi="仿宋" w:eastAsia="仿宋" w:cs="仿宋"/>
          <w:sz w:val="32"/>
          <w:szCs w:val="32"/>
          <w:lang w:val="en-US" w:eastAsia="zh-Hans"/>
        </w:rPr>
        <w:t>中央《关于全面实施预算绩效管理的意见》、省委《关于全面岳阳县推进全面实施预算绩效管理工作的通知》（岳财绩[2020]6号）等文件精神等文件的要求，为进一步规范财政资金管理，强化绩效和责任意识，切实提高财政资金使用效益，我单位对2020年度部门整体支出进行自评已按县财政局统一要求随同部门决算作为附件公开。本单位无项目支出、无重点（专项）项目支出。</w:t>
      </w:r>
    </w:p>
    <w:p w14:paraId="0074E761">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部门整体支出绩效自评得分97分，评价等级为“优秀”；</w:t>
      </w:r>
    </w:p>
    <w:p w14:paraId="74FFE391">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0项目支出绩效自评得分0，评价等级为“0”；</w:t>
      </w:r>
    </w:p>
    <w:p w14:paraId="1F237D63">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0重点（专项）项目支出绩效自评得分0，评价等级为“0”。</w:t>
      </w:r>
    </w:p>
    <w:p w14:paraId="6922AE81">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已按</w:t>
      </w:r>
      <w:r>
        <w:rPr>
          <w:rFonts w:hint="eastAsia" w:ascii="仿宋" w:hAnsi="仿宋" w:eastAsia="仿宋" w:cs="宋体"/>
          <w:sz w:val="32"/>
          <w:szCs w:val="32"/>
          <w:lang w:val="en-US" w:eastAsia="zh-Hans"/>
        </w:rPr>
        <w:t>县</w:t>
      </w:r>
      <w:r>
        <w:rPr>
          <w:rFonts w:hint="eastAsia" w:ascii="仿宋" w:hAnsi="仿宋" w:eastAsia="仿宋" w:cs="宋体"/>
          <w:sz w:val="32"/>
          <w:szCs w:val="32"/>
          <w:lang w:val="en-US" w:eastAsia="zh-CN"/>
        </w:rPr>
        <w:t>财政局统一要求随同部门决算作为附件公开。</w:t>
      </w:r>
    </w:p>
    <w:p w14:paraId="4EDBFCB6">
      <w:pPr>
        <w:numPr>
          <w:ilvl w:val="0"/>
          <w:numId w:val="0"/>
        </w:numPr>
        <w:spacing w:line="560" w:lineRule="exact"/>
        <w:ind w:left="838" w:leftChars="0"/>
        <w:rPr>
          <w:rFonts w:hint="eastAsia" w:ascii="仿宋" w:hAnsi="仿宋" w:eastAsia="仿宋" w:cs="宋体"/>
          <w:sz w:val="32"/>
          <w:szCs w:val="32"/>
          <w:lang w:val="en-US" w:eastAsia="zh-CN"/>
        </w:rPr>
      </w:pPr>
    </w:p>
    <w:p w14:paraId="29194EA5">
      <w:pPr>
        <w:numPr>
          <w:ilvl w:val="0"/>
          <w:numId w:val="0"/>
        </w:numPr>
        <w:spacing w:line="560" w:lineRule="exact"/>
        <w:ind w:left="838" w:leftChars="0"/>
        <w:rPr>
          <w:rFonts w:hint="eastAsia" w:ascii="仿宋" w:hAnsi="仿宋" w:eastAsia="仿宋" w:cs="宋体"/>
          <w:sz w:val="32"/>
          <w:szCs w:val="32"/>
          <w:lang w:val="en-US" w:eastAsia="zh-CN"/>
        </w:rPr>
      </w:pPr>
    </w:p>
    <w:p w14:paraId="0C588D85">
      <w:pPr>
        <w:pStyle w:val="10"/>
        <w:rPr>
          <w:rFonts w:hAnsi="黑体"/>
          <w:b/>
          <w:sz w:val="32"/>
          <w:szCs w:val="32"/>
        </w:rPr>
      </w:pPr>
    </w:p>
    <w:p w14:paraId="63DA4A7D">
      <w:pPr>
        <w:pStyle w:val="10"/>
        <w:jc w:val="both"/>
        <w:rPr>
          <w:sz w:val="72"/>
          <w:szCs w:val="72"/>
        </w:rPr>
      </w:pPr>
    </w:p>
    <w:p w14:paraId="15FE4250">
      <w:pPr>
        <w:pStyle w:val="10"/>
        <w:jc w:val="center"/>
        <w:rPr>
          <w:sz w:val="72"/>
          <w:szCs w:val="72"/>
        </w:rPr>
      </w:pPr>
    </w:p>
    <w:p w14:paraId="7536C61F">
      <w:pPr>
        <w:pStyle w:val="10"/>
        <w:jc w:val="center"/>
        <w:rPr>
          <w:sz w:val="72"/>
          <w:szCs w:val="72"/>
        </w:rPr>
      </w:pPr>
    </w:p>
    <w:p w14:paraId="24CF689A">
      <w:pPr>
        <w:pStyle w:val="10"/>
        <w:jc w:val="center"/>
        <w:rPr>
          <w:sz w:val="72"/>
          <w:szCs w:val="72"/>
        </w:rPr>
      </w:pPr>
    </w:p>
    <w:p w14:paraId="77A32A4B">
      <w:pPr>
        <w:pStyle w:val="10"/>
        <w:jc w:val="center"/>
        <w:rPr>
          <w:sz w:val="72"/>
          <w:szCs w:val="72"/>
        </w:rPr>
      </w:pPr>
    </w:p>
    <w:p w14:paraId="70C98B4A">
      <w:pPr>
        <w:pStyle w:val="10"/>
        <w:jc w:val="center"/>
        <w:rPr>
          <w:sz w:val="72"/>
          <w:szCs w:val="72"/>
        </w:rPr>
      </w:pPr>
    </w:p>
    <w:p w14:paraId="53BCA69D">
      <w:pPr>
        <w:pStyle w:val="10"/>
        <w:jc w:val="center"/>
        <w:rPr>
          <w:sz w:val="72"/>
          <w:szCs w:val="72"/>
        </w:rPr>
      </w:pPr>
    </w:p>
    <w:p w14:paraId="30EDB64A">
      <w:pPr>
        <w:pStyle w:val="10"/>
        <w:jc w:val="center"/>
        <w:rPr>
          <w:sz w:val="72"/>
          <w:szCs w:val="72"/>
        </w:rPr>
      </w:pPr>
    </w:p>
    <w:p w14:paraId="6AA01A2F">
      <w:pPr>
        <w:pStyle w:val="10"/>
        <w:jc w:val="center"/>
        <w:rPr>
          <w:sz w:val="72"/>
          <w:szCs w:val="72"/>
        </w:rPr>
      </w:pPr>
    </w:p>
    <w:p w14:paraId="245D65B2">
      <w:pPr>
        <w:pStyle w:val="10"/>
        <w:jc w:val="center"/>
        <w:rPr>
          <w:sz w:val="72"/>
          <w:szCs w:val="72"/>
        </w:rPr>
      </w:pPr>
    </w:p>
    <w:p w14:paraId="19A91418">
      <w:pPr>
        <w:pStyle w:val="10"/>
        <w:jc w:val="center"/>
        <w:rPr>
          <w:sz w:val="72"/>
          <w:szCs w:val="72"/>
        </w:rPr>
      </w:pPr>
      <w:r>
        <w:rPr>
          <w:rFonts w:hint="eastAsia"/>
          <w:sz w:val="72"/>
          <w:szCs w:val="72"/>
        </w:rPr>
        <w:t>第四部分</w:t>
      </w:r>
    </w:p>
    <w:p w14:paraId="7854FBED">
      <w:pPr>
        <w:jc w:val="center"/>
        <w:rPr>
          <w:rFonts w:ascii="黑体" w:eastAsia="黑体" w:cs="黑体"/>
          <w:color w:val="000000"/>
          <w:kern w:val="0"/>
          <w:sz w:val="70"/>
          <w:szCs w:val="70"/>
        </w:rPr>
      </w:pPr>
    </w:p>
    <w:p w14:paraId="102A4AF9">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3C8D2BB">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6176B15">
      <w:pPr>
        <w:ind w:firstLine="640" w:firstLineChars="200"/>
        <w:jc w:val="left"/>
        <w:rPr>
          <w:rFonts w:cs="黑体" w:asciiTheme="minorEastAsia" w:hAnsiTheme="minorEastAsia"/>
          <w:color w:val="000000"/>
          <w:kern w:val="0"/>
          <w:sz w:val="32"/>
          <w:szCs w:val="32"/>
        </w:rPr>
      </w:pPr>
      <w:bookmarkStart w:id="15" w:name="OLE_LINK16"/>
    </w:p>
    <w:p w14:paraId="51D41713">
      <w:pPr>
        <w:pStyle w:val="10"/>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14:paraId="64D445B5">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14:paraId="20D47B73">
      <w:pPr>
        <w:pStyle w:val="10"/>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14:paraId="125FD0F0">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14:paraId="75AAC4DD">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14:paraId="3215B345">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14:paraId="6D785030">
      <w:pPr>
        <w:pStyle w:val="1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E49EA74">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14:paraId="64833813">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14:paraId="13B05F80">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14:paraId="2958A9F2">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14:paraId="117CDB59">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08BD24F">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5CCE859C">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14:paraId="33EE975F">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C041B8C">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14:paraId="017E9D48">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14:paraId="283F5367">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14:paraId="3682304C">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14:paraId="21E7D799">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14:paraId="1CC6BA46">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14:paraId="0A410A97">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14:paraId="4A93E4FC">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14:paraId="55BFF363">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14:paraId="7D58922B">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110D898">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14:paraId="099B9923">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14:paraId="7A6EFDFD">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14:paraId="6601B3FE">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14:paraId="694B9ECB">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14:paraId="69E853A6">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14:paraId="1488E259">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14:paraId="59AD48B7">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14:paraId="1C20621B">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14:paraId="45369B7E">
      <w:pPr>
        <w:pStyle w:val="10"/>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14:paraId="37583118">
      <w:pPr>
        <w:pStyle w:val="10"/>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14:paraId="6B033F50">
      <w:pPr>
        <w:pStyle w:val="10"/>
        <w:jc w:val="left"/>
        <w:rPr>
          <w:rFonts w:hint="default" w:ascii="仿宋" w:hAnsi="仿宋" w:eastAsia="仿宋" w:cs="宋体"/>
          <w:color w:val="auto"/>
          <w:kern w:val="2"/>
          <w:sz w:val="32"/>
          <w:szCs w:val="32"/>
          <w:lang w:val="en-US" w:eastAsia="zh-CN" w:bidi="ar-SA"/>
        </w:rPr>
      </w:pPr>
    </w:p>
    <w:p w14:paraId="1597F0C6">
      <w:pPr>
        <w:pStyle w:val="10"/>
        <w:jc w:val="left"/>
        <w:rPr>
          <w:rFonts w:hint="default" w:ascii="仿宋" w:hAnsi="仿宋" w:eastAsia="仿宋" w:cs="宋体"/>
          <w:color w:val="auto"/>
          <w:kern w:val="2"/>
          <w:sz w:val="32"/>
          <w:szCs w:val="32"/>
          <w:lang w:val="en-US" w:eastAsia="zh-CN" w:bidi="ar-SA"/>
        </w:rPr>
      </w:pPr>
    </w:p>
    <w:p w14:paraId="61684EA7">
      <w:pPr>
        <w:pStyle w:val="10"/>
        <w:jc w:val="left"/>
        <w:rPr>
          <w:rFonts w:hint="default" w:ascii="仿宋" w:hAnsi="仿宋" w:eastAsia="仿宋" w:cs="宋体"/>
          <w:color w:val="auto"/>
          <w:kern w:val="2"/>
          <w:sz w:val="32"/>
          <w:szCs w:val="32"/>
          <w:lang w:val="en-US" w:eastAsia="zh-CN" w:bidi="ar-SA"/>
        </w:rPr>
      </w:pPr>
    </w:p>
    <w:p w14:paraId="1AEE2FB6">
      <w:pPr>
        <w:pStyle w:val="10"/>
        <w:jc w:val="left"/>
        <w:rPr>
          <w:rFonts w:hint="default" w:ascii="仿宋" w:hAnsi="仿宋" w:eastAsia="仿宋" w:cs="宋体"/>
          <w:color w:val="auto"/>
          <w:kern w:val="2"/>
          <w:sz w:val="32"/>
          <w:szCs w:val="32"/>
          <w:lang w:val="en-US" w:eastAsia="zh-CN" w:bidi="ar-SA"/>
        </w:rPr>
      </w:pPr>
    </w:p>
    <w:p w14:paraId="7E57869F">
      <w:pPr>
        <w:pStyle w:val="10"/>
        <w:jc w:val="left"/>
        <w:rPr>
          <w:rFonts w:hint="default" w:ascii="仿宋" w:hAnsi="仿宋" w:eastAsia="仿宋" w:cs="宋体"/>
          <w:color w:val="auto"/>
          <w:kern w:val="2"/>
          <w:sz w:val="32"/>
          <w:szCs w:val="32"/>
          <w:lang w:val="en-US" w:eastAsia="zh-CN" w:bidi="ar-SA"/>
        </w:rPr>
      </w:pPr>
    </w:p>
    <w:p w14:paraId="69297EB3">
      <w:pPr>
        <w:pStyle w:val="10"/>
        <w:jc w:val="left"/>
        <w:rPr>
          <w:rFonts w:hint="default" w:ascii="仿宋" w:hAnsi="仿宋" w:eastAsia="仿宋" w:cs="宋体"/>
          <w:color w:val="auto"/>
          <w:kern w:val="2"/>
          <w:sz w:val="32"/>
          <w:szCs w:val="32"/>
          <w:lang w:val="en-US" w:eastAsia="zh-CN" w:bidi="ar-SA"/>
        </w:rPr>
      </w:pPr>
    </w:p>
    <w:p w14:paraId="5B33DEF7">
      <w:pPr>
        <w:pStyle w:val="10"/>
        <w:jc w:val="left"/>
        <w:rPr>
          <w:sz w:val="72"/>
          <w:szCs w:val="72"/>
        </w:rPr>
      </w:pPr>
    </w:p>
    <w:p w14:paraId="5A35ED8B">
      <w:pPr>
        <w:pStyle w:val="10"/>
        <w:jc w:val="left"/>
        <w:rPr>
          <w:sz w:val="72"/>
          <w:szCs w:val="72"/>
        </w:rPr>
      </w:pPr>
    </w:p>
    <w:p w14:paraId="4B3C9D9B">
      <w:pPr>
        <w:pStyle w:val="10"/>
        <w:jc w:val="left"/>
        <w:rPr>
          <w:sz w:val="72"/>
          <w:szCs w:val="72"/>
        </w:rPr>
      </w:pPr>
    </w:p>
    <w:p w14:paraId="08AE7641">
      <w:pPr>
        <w:pStyle w:val="10"/>
        <w:jc w:val="center"/>
        <w:rPr>
          <w:sz w:val="72"/>
          <w:szCs w:val="72"/>
        </w:rPr>
      </w:pPr>
    </w:p>
    <w:p w14:paraId="27D65F48">
      <w:pPr>
        <w:pStyle w:val="10"/>
        <w:jc w:val="center"/>
        <w:rPr>
          <w:sz w:val="72"/>
          <w:szCs w:val="72"/>
        </w:rPr>
      </w:pPr>
    </w:p>
    <w:p w14:paraId="6C631497">
      <w:pPr>
        <w:pStyle w:val="10"/>
        <w:jc w:val="center"/>
        <w:rPr>
          <w:sz w:val="72"/>
          <w:szCs w:val="72"/>
        </w:rPr>
      </w:pPr>
    </w:p>
    <w:p w14:paraId="6B0B5469">
      <w:pPr>
        <w:pStyle w:val="10"/>
        <w:jc w:val="center"/>
        <w:rPr>
          <w:sz w:val="72"/>
          <w:szCs w:val="72"/>
        </w:rPr>
      </w:pPr>
    </w:p>
    <w:p w14:paraId="5E313348">
      <w:pPr>
        <w:pStyle w:val="10"/>
        <w:jc w:val="center"/>
        <w:rPr>
          <w:sz w:val="72"/>
          <w:szCs w:val="72"/>
        </w:rPr>
      </w:pPr>
    </w:p>
    <w:p w14:paraId="04EC7504">
      <w:pPr>
        <w:pStyle w:val="10"/>
        <w:jc w:val="center"/>
        <w:rPr>
          <w:sz w:val="72"/>
          <w:szCs w:val="72"/>
        </w:rPr>
      </w:pPr>
    </w:p>
    <w:p w14:paraId="2D4F5AF0">
      <w:pPr>
        <w:pStyle w:val="10"/>
        <w:jc w:val="center"/>
        <w:rPr>
          <w:sz w:val="72"/>
          <w:szCs w:val="72"/>
        </w:rPr>
      </w:pPr>
    </w:p>
    <w:p w14:paraId="24E38924">
      <w:pPr>
        <w:pStyle w:val="10"/>
        <w:jc w:val="center"/>
        <w:rPr>
          <w:sz w:val="72"/>
          <w:szCs w:val="72"/>
        </w:rPr>
      </w:pPr>
      <w:r>
        <w:rPr>
          <w:rFonts w:hint="eastAsia"/>
          <w:sz w:val="72"/>
          <w:szCs w:val="72"/>
        </w:rPr>
        <w:t>第五部分</w:t>
      </w:r>
    </w:p>
    <w:p w14:paraId="042353C6">
      <w:pPr>
        <w:jc w:val="center"/>
        <w:rPr>
          <w:rFonts w:ascii="黑体" w:eastAsia="黑体" w:cs="黑体"/>
          <w:color w:val="000000"/>
          <w:kern w:val="0"/>
          <w:sz w:val="70"/>
          <w:szCs w:val="70"/>
        </w:rPr>
      </w:pPr>
    </w:p>
    <w:p w14:paraId="444EC0C3">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14:paraId="5CB5CAD9">
      <w:pPr>
        <w:jc w:val="center"/>
        <w:rPr>
          <w:rFonts w:hint="eastAsia" w:ascii="黑体" w:eastAsia="黑体" w:cs="黑体"/>
          <w:color w:val="000000"/>
          <w:kern w:val="0"/>
          <w:sz w:val="70"/>
          <w:szCs w:val="70"/>
        </w:rPr>
      </w:pPr>
    </w:p>
    <w:p w14:paraId="20ABDD59">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14:paraId="32F9252A">
      <w:pPr>
        <w:ind w:firstLine="640" w:firstLineChars="200"/>
        <w:jc w:val="left"/>
        <w:rPr>
          <w:rFonts w:cs="黑体" w:asciiTheme="minorEastAsia" w:hAnsiTheme="minorEastAsia"/>
          <w:color w:val="000000"/>
          <w:kern w:val="0"/>
          <w:sz w:val="32"/>
          <w:szCs w:val="32"/>
        </w:rPr>
      </w:pPr>
    </w:p>
    <w:bookmarkEnd w:id="15"/>
    <w:p w14:paraId="4C71299D">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79AB"/>
    <w:multiLevelType w:val="singleLevel"/>
    <w:tmpl w:val="959579AB"/>
    <w:lvl w:ilvl="0" w:tentative="0">
      <w:start w:val="1"/>
      <w:numFmt w:val="decimal"/>
      <w:lvlText w:val="%1."/>
      <w:lvlJc w:val="left"/>
      <w:pPr>
        <w:tabs>
          <w:tab w:val="left" w:pos="312"/>
        </w:tabs>
      </w:pPr>
    </w:lvl>
  </w:abstractNum>
  <w:abstractNum w:abstractNumId="1">
    <w:nsid w:val="FAB5CE19"/>
    <w:multiLevelType w:val="singleLevel"/>
    <w:tmpl w:val="FAB5CE19"/>
    <w:lvl w:ilvl="0" w:tentative="0">
      <w:start w:val="1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ZTg4MGIzMzk5NWExMDBkZWU4N2U0NGYyZjhhMTY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C712D"/>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3E32B71"/>
    <w:rsid w:val="0B222467"/>
    <w:rsid w:val="0B27020D"/>
    <w:rsid w:val="18C814DB"/>
    <w:rsid w:val="1E4276FB"/>
    <w:rsid w:val="1EAD0668"/>
    <w:rsid w:val="1F3F36AC"/>
    <w:rsid w:val="2931780F"/>
    <w:rsid w:val="2D0D7D16"/>
    <w:rsid w:val="30CB73C5"/>
    <w:rsid w:val="33D05B34"/>
    <w:rsid w:val="35040263"/>
    <w:rsid w:val="36DF2B13"/>
    <w:rsid w:val="39255E9B"/>
    <w:rsid w:val="3C097192"/>
    <w:rsid w:val="42326B09"/>
    <w:rsid w:val="47806586"/>
    <w:rsid w:val="4BE10207"/>
    <w:rsid w:val="614B551C"/>
    <w:rsid w:val="65754FEF"/>
    <w:rsid w:val="65F3087B"/>
    <w:rsid w:val="6915691F"/>
    <w:rsid w:val="6A303BD7"/>
    <w:rsid w:val="6B4D24EE"/>
    <w:rsid w:val="6D325FDC"/>
    <w:rsid w:val="704179B7"/>
    <w:rsid w:val="726D29D8"/>
    <w:rsid w:val="7CA242E8"/>
    <w:rsid w:val="7E282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19</Pages>
  <Words>5995</Words>
  <Characters>6468</Characters>
  <Lines>62</Lines>
  <Paragraphs>17</Paragraphs>
  <TotalTime>25</TotalTime>
  <ScaleCrop>false</ScaleCrop>
  <LinksUpToDate>false</LinksUpToDate>
  <CharactersWithSpaces>6490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WPS_1703057366</cp:lastModifiedBy>
  <cp:lastPrinted>2021-07-28T08:12:00Z</cp:lastPrinted>
  <dcterms:modified xsi:type="dcterms:W3CDTF">2024-07-11T03:55:38Z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828A262CE6354BA48E619E4661A7A8B2</vt:lpwstr>
  </property>
</Properties>
</file>