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C1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4263B5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DA51F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99B93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F67C8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31671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岳阳县老干部活动中心202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 w14:paraId="6F78C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 w14:paraId="08EEB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6FC0DE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E0C3B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8A0A9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9D64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BF7F2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35632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251AF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34B5D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E6462A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19A94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A0CB4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31A88D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3077CC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670C61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57AA37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86538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DC315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7723C82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1657629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62A5D6A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37B54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B9A12D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440B3A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18E796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4FBED8B">
      <w:pPr>
        <w:pStyle w:val="2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/>
          <w:sz w:val="32"/>
          <w:szCs w:val="32"/>
          <w:lang w:val="en-US" w:eastAsia="zh-CN"/>
        </w:rPr>
        <w:t>、一般公共预算基本支出表</w:t>
      </w:r>
    </w:p>
    <w:p w14:paraId="7809FCE1">
      <w:pPr>
        <w:pStyle w:val="2"/>
        <w:ind w:firstLine="64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E7F991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2AFC92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5647316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242C9DE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1657059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496D9A2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2936DC8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276E040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7F13C13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739411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、国有资本经营预算支出表</w:t>
      </w:r>
    </w:p>
    <w:p w14:paraId="159F94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192594A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0BFE33B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539A32D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3B6CC86A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1086A4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039435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00D8E5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4183A4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38C437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宣传贯彻党和国家有关老干部的政策、方针，按照省市老干部工作会议精神认真做好离退休老干部服务管理工作，指导督促和检查各老干支部工作。</w:t>
      </w:r>
    </w:p>
    <w:p w14:paraId="7BD5CA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1AB977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老干部活动中心单位内设机构包括：办公室、生活待遇股、组织宣教股，挂靠管理6个老年组织（县关心下一代工作委员会、县老年书画协会、县老年人体育协会、县老年科技工作者协会、县老年保健协会、县老年大学）。</w:t>
      </w:r>
    </w:p>
    <w:p w14:paraId="7E9438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15A7DD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3252F8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353.80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327.23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26.57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万元。本单位20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预算）均为空。收入较上年增加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58.28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因为本年度将上年结转资金纳入了单位预算公开范围，同时增加了相关项目支出预算。</w:t>
      </w:r>
    </w:p>
    <w:p w14:paraId="61BFA0AE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B8B12F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353.80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336.68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社会保障和就业支出7.30万元，卫生健康支出4.08万元，城乡社区支出0.58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住房保障支出5.16万元。支出较</w:t>
      </w:r>
      <w:r>
        <w:rPr>
          <w:rFonts w:hint="eastAsia" w:eastAsia="仿宋_GB2312"/>
          <w:sz w:val="32"/>
          <w:szCs w:val="32"/>
          <w:lang w:eastAsia="zh-CN"/>
        </w:rPr>
        <w:t>上年</w:t>
      </w:r>
      <w:r>
        <w:rPr>
          <w:rFonts w:hint="eastAsia" w:eastAsia="仿宋_GB2312"/>
          <w:sz w:val="32"/>
          <w:szCs w:val="32"/>
          <w:lang w:val="en-US" w:eastAsia="zh-CN"/>
        </w:rPr>
        <w:t>增加58.28万元，</w:t>
      </w:r>
      <w:r>
        <w:rPr>
          <w:rFonts w:hint="eastAsia" w:eastAsia="仿宋_GB2312"/>
          <w:sz w:val="32"/>
          <w:szCs w:val="32"/>
        </w:rPr>
        <w:t>其中基本支出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23.12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35.16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其中基本支出较上年增加主要是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本年度将上年结转资金纳入了单位预算公开范围，</w:t>
      </w:r>
      <w:r>
        <w:rPr>
          <w:rFonts w:hint="eastAsia" w:eastAsia="仿宋_GB2312"/>
          <w:sz w:val="32"/>
          <w:szCs w:val="32"/>
          <w:lang w:eastAsia="zh-CN"/>
        </w:rPr>
        <w:t>项目支出增加</w:t>
      </w:r>
      <w:r>
        <w:rPr>
          <w:rFonts w:hint="eastAsia" w:eastAsia="仿宋_GB2312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sz w:val="32"/>
          <w:szCs w:val="32"/>
          <w:lang w:eastAsia="zh-CN"/>
        </w:rPr>
        <w:t>因为本年度承担的专项任务增加，相应申报的预算支出增加，同时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本年度将上年结转资金纳入了单位预算公开范围。</w:t>
      </w:r>
    </w:p>
    <w:p w14:paraId="0F15E4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701ACD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353.80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，一般公共服务支出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336.68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95.16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7.30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2.06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4.08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1.15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城乡社区支出0.58</w:t>
      </w:r>
      <w:r>
        <w:rPr>
          <w:rFonts w:hint="eastAsia" w:eastAsia="仿宋_GB2312"/>
          <w:sz w:val="32"/>
          <w:szCs w:val="32"/>
          <w:lang w:eastAsia="zh-CN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0.17%；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5.16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1.46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37D299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91.64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78703840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262.16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262.16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处级老干部特需经费、会议费项目、 建国初期参加革命工作退休人员生活补助费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6AD0BF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4D7E60F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2023年度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无政府性基金安排的支出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所以公开的附件</w:t>
      </w:r>
      <w:r>
        <w:rPr>
          <w:rFonts w:hint="eastAsia" w:eastAsia="仿宋_GB2312"/>
          <w:sz w:val="32"/>
          <w:szCs w:val="32"/>
          <w:lang w:val="en-US" w:eastAsia="zh-CN"/>
        </w:rPr>
        <w:t>16-18（</w:t>
      </w:r>
      <w:r>
        <w:rPr>
          <w:rFonts w:hint="eastAsia" w:eastAsia="仿宋_GB2312"/>
          <w:sz w:val="32"/>
          <w:szCs w:val="32"/>
        </w:rPr>
        <w:t>政府性基金预算</w:t>
      </w:r>
      <w:r>
        <w:rPr>
          <w:rFonts w:hint="eastAsia" w:eastAsia="仿宋_GB2312"/>
          <w:sz w:val="32"/>
          <w:szCs w:val="32"/>
          <w:lang w:val="en-US" w:eastAsia="zh-CN"/>
        </w:rPr>
        <w:t>）</w:t>
      </w:r>
      <w:r>
        <w:rPr>
          <w:rFonts w:hint="eastAsia" w:eastAsia="仿宋_GB2312"/>
          <w:sz w:val="32"/>
          <w:szCs w:val="32"/>
        </w:rPr>
        <w:t>为空。</w:t>
      </w:r>
    </w:p>
    <w:p w14:paraId="6509F54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1E0869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1960AEC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22.61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增加17.21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增长318.70</w:t>
      </w:r>
      <w:r>
        <w:rPr>
          <w:rFonts w:hint="eastAsia" w:eastAsia="仿宋_GB2312" w:cs="仿宋_GB2312"/>
          <w:kern w:val="0"/>
          <w:sz w:val="32"/>
          <w:szCs w:val="32"/>
        </w:rPr>
        <w:t>%。主要原因是本年度将上年结转资金纳入了单位预算公开范围，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同时公务交通补贴本年度纳入公用经费编制范围，机关运行经费相应增加。</w:t>
      </w:r>
    </w:p>
    <w:p w14:paraId="510B27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CC1CAA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</w:rPr>
        <w:t>3.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3.50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其中公务用车购置费0万元，公务用车运行费0万元。比上一年减少0.5万元，降低12.5%，主要原因是按上级文件要求严控三公经费开支。</w:t>
      </w:r>
    </w:p>
    <w:p w14:paraId="4A4FAC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40B188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本单位2023年培训费预算0.63万元，拟开展2次培训，人数6人，内容为干部职工执业能力晋升培训；2023年度本单位末计划安排会议，未计划举办节庆、晚会、论坛、赛事活动。</w:t>
      </w:r>
    </w:p>
    <w:p w14:paraId="749FAA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EFB16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2023年度本单位未安排政府采购预算。</w:t>
      </w:r>
    </w:p>
    <w:p w14:paraId="71D9FE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0CA3F8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11774F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2023年度本单位未计划处置或新增车辆、设备等。</w:t>
      </w:r>
    </w:p>
    <w:p w14:paraId="49E0F2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2A7F51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353.80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91.64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262.16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B9A11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150847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18985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</w:p>
    <w:p w14:paraId="6C5439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56CFE4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岳阳县老干部活动中心单位预算公开表格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908FAC-11C1-444D-B7CE-BFA8D98F1D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2E0D29-2955-451D-877F-E8332FEDBE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1A17679-B238-48FA-9717-0D1653EC18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B1456B-CCD0-4AE5-8609-B0BD9D29B5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5E2D4F-E8C3-4DF5-B363-6F069F1DC3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525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7452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AC03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45D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359F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AA4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6F57ED0"/>
    <w:rsid w:val="070C65B9"/>
    <w:rsid w:val="08281851"/>
    <w:rsid w:val="0AF15A72"/>
    <w:rsid w:val="0C0C6008"/>
    <w:rsid w:val="0C4F7AFC"/>
    <w:rsid w:val="0D5B6622"/>
    <w:rsid w:val="0D8970B2"/>
    <w:rsid w:val="0E064421"/>
    <w:rsid w:val="0ED234CD"/>
    <w:rsid w:val="0F654CC7"/>
    <w:rsid w:val="0F9E0A26"/>
    <w:rsid w:val="12041C48"/>
    <w:rsid w:val="15D9563A"/>
    <w:rsid w:val="19420C90"/>
    <w:rsid w:val="19D5374E"/>
    <w:rsid w:val="1AC31CB7"/>
    <w:rsid w:val="1BEF6124"/>
    <w:rsid w:val="1E954623"/>
    <w:rsid w:val="1F1F1226"/>
    <w:rsid w:val="21D04053"/>
    <w:rsid w:val="22CC23D4"/>
    <w:rsid w:val="26570D53"/>
    <w:rsid w:val="27D848B8"/>
    <w:rsid w:val="28D819C3"/>
    <w:rsid w:val="2CDB483B"/>
    <w:rsid w:val="2F5A312E"/>
    <w:rsid w:val="2FC40521"/>
    <w:rsid w:val="3230699D"/>
    <w:rsid w:val="3405688C"/>
    <w:rsid w:val="34205D06"/>
    <w:rsid w:val="34E11E02"/>
    <w:rsid w:val="37A05FB9"/>
    <w:rsid w:val="388764A3"/>
    <w:rsid w:val="3B112869"/>
    <w:rsid w:val="3B8B5864"/>
    <w:rsid w:val="3BC82B6A"/>
    <w:rsid w:val="3DEE3AD2"/>
    <w:rsid w:val="3E4D3BDD"/>
    <w:rsid w:val="414445D3"/>
    <w:rsid w:val="41DA7DB9"/>
    <w:rsid w:val="447637E8"/>
    <w:rsid w:val="46334724"/>
    <w:rsid w:val="469179D7"/>
    <w:rsid w:val="46F340C9"/>
    <w:rsid w:val="479934AC"/>
    <w:rsid w:val="49EF4858"/>
    <w:rsid w:val="4ADA0B0E"/>
    <w:rsid w:val="4AE9742D"/>
    <w:rsid w:val="4BA44D82"/>
    <w:rsid w:val="4BA67C06"/>
    <w:rsid w:val="4CA46ED7"/>
    <w:rsid w:val="4D013E21"/>
    <w:rsid w:val="4D8D7228"/>
    <w:rsid w:val="4DDD2C7F"/>
    <w:rsid w:val="4F1826FF"/>
    <w:rsid w:val="50055F28"/>
    <w:rsid w:val="506C2AB0"/>
    <w:rsid w:val="524456CC"/>
    <w:rsid w:val="53344C63"/>
    <w:rsid w:val="5437467A"/>
    <w:rsid w:val="55295806"/>
    <w:rsid w:val="55840EF1"/>
    <w:rsid w:val="55D3446A"/>
    <w:rsid w:val="567B21CC"/>
    <w:rsid w:val="57AD2B6E"/>
    <w:rsid w:val="593F63D3"/>
    <w:rsid w:val="595860BC"/>
    <w:rsid w:val="59681324"/>
    <w:rsid w:val="59BD660D"/>
    <w:rsid w:val="5B423ECD"/>
    <w:rsid w:val="5CDA4DA9"/>
    <w:rsid w:val="5D466B0F"/>
    <w:rsid w:val="5F09470F"/>
    <w:rsid w:val="61AE52C3"/>
    <w:rsid w:val="62820F98"/>
    <w:rsid w:val="64035B71"/>
    <w:rsid w:val="64DB31B9"/>
    <w:rsid w:val="681842B0"/>
    <w:rsid w:val="689E66A8"/>
    <w:rsid w:val="68C85D99"/>
    <w:rsid w:val="69357410"/>
    <w:rsid w:val="697D3FF1"/>
    <w:rsid w:val="6AE87D9C"/>
    <w:rsid w:val="6B2B0B2C"/>
    <w:rsid w:val="6BB15A80"/>
    <w:rsid w:val="6D0B588B"/>
    <w:rsid w:val="6EF81860"/>
    <w:rsid w:val="6F8561D3"/>
    <w:rsid w:val="70271B5B"/>
    <w:rsid w:val="70FF6603"/>
    <w:rsid w:val="71AC0C24"/>
    <w:rsid w:val="73B54BAD"/>
    <w:rsid w:val="741F42D0"/>
    <w:rsid w:val="75344BFC"/>
    <w:rsid w:val="7547419D"/>
    <w:rsid w:val="76286F0E"/>
    <w:rsid w:val="773C67F0"/>
    <w:rsid w:val="77C3648D"/>
    <w:rsid w:val="7C0C046E"/>
    <w:rsid w:val="7DFA5EB0"/>
    <w:rsid w:val="7E3E736E"/>
    <w:rsid w:val="7E896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2587</Words>
  <Characters>2822</Characters>
  <Lines>38</Lines>
  <Paragraphs>10</Paragraphs>
  <TotalTime>13</TotalTime>
  <ScaleCrop>false</ScaleCrop>
  <LinksUpToDate>false</LinksUpToDate>
  <CharactersWithSpaces>2833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2024-07-15T07:15:08Z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8A9BBE79F36147B89E283208CB1004C4</vt:lpwstr>
  </property>
</Properties>
</file>