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4A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69CFCB0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E66C4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DD3668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2FCAC5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1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5E3C6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岳阳县商务粮食局202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57C08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79534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 w14:paraId="7453E0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A52C14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3CC5F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FAA52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1B37C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5228BB0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51B33E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5E067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AA649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9A227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D00DD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377BDE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19B6DC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 w14:paraId="10E5E3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426AEE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73092E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3AF8BF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05BEE90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1AA7F08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253E302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7E07292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3B78E89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67195F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41074CA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2F3E4047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8、一般公共预算基本支出表</w:t>
      </w:r>
    </w:p>
    <w:p w14:paraId="521CFDD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、一</w:t>
      </w:r>
      <w:r>
        <w:rPr>
          <w:rFonts w:eastAsia="仿宋_GB2312"/>
          <w:sz w:val="32"/>
          <w:szCs w:val="32"/>
        </w:rPr>
        <w:t>般公共预算基本支出表-人员经费（工资福利支出）（按政府预算经济分类）</w:t>
      </w:r>
    </w:p>
    <w:p w14:paraId="0F8FD6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6C24AB5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25BDA0D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72C1BB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0308E0A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243FD7C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448756F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2A78BBF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49987A6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6662673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038D7ED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35F2116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747426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7D73F7A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07C619C7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注：以上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报表中，空表表示本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无相关收支情况。</w:t>
      </w:r>
    </w:p>
    <w:p w14:paraId="71B047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471071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68768F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740E9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color w:val="0000FF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26D4EAC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、贯彻执行国家国内外贸易、国际经济合作和区域经济合作的发展战略、政策,起草我县国内外贸易、承接产业转移、对外援助、对外投资和对外经济合作的规范性文件草案、政策措施和实施办法,研究经济全球化、区域经济合作、现代流通方式的发展趋势和流通体制改革并提出建议;研究提出全县粮食宏观调控、总量平衡以及粮食流通的中长期规划和收储、动用县级储备粮的建议,拟订粮食流通体制改革方案并组织实施,推动国有粮食企业改革,研究提出现代粮食流通产业发展战略的建议。</w:t>
      </w:r>
    </w:p>
    <w:p w14:paraId="67440B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2、负责推进流通产业结构调整,指导流通企业改革,促进商贸服务业和社区商业发展,提出促进商贸中小企业发展的政策建议,推动流通标准化和连锁经营、商业特许经营、物流配送、电子商务等现代流通方式的发展;拟订全县粮食流通管理办法,贯彻执行国家、省、市有关粮食流通管理的方针、政策和法律法规,按照国家有关政策和省、市、县政府统一部署,制定粮食流通、粮食库存监督检查制度并组织实施,负责对粮食收购、储存环节的粮食质量安全和原粮卫生进行监督管理。</w:t>
      </w:r>
    </w:p>
    <w:p w14:paraId="1FB643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3、拟订全县国内贸易发展规划,促进城乡市场发展,研究提出引导国内外资金投向市场体系建设的政策建议,指导大宗产品批发市场规划和城市商业网点规划、商业体系建设工作,推进农村市场体系建设,组织实施农村现代流通网络工程;会同有关部门拟订全县粮食市场体系建设与发展规划并组织实施。</w:t>
      </w:r>
    </w:p>
    <w:p w14:paraId="2DCC1A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4、承担牵头协调整顿和规范市场经济秩序工作的责任,拟订规范市场秩序的政策;协调全县消除地区封锁、打破行业垄断的有关工作,规范商贸企业交易行为;推动商贸领域信用建设,指导商业信用销售,配合省市商务部门开展市场诚信公共服务平台建设工作;按有关规定对特殊流通行业进行监督管理。</w:t>
      </w:r>
    </w:p>
    <w:p w14:paraId="50AAE1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5、承担组织实施重要消费品市场调控和重要生产资料流通管理的责任,负责建立健全生活必需品市场供应应急管理机制,监测分析市场运行、商品供求状况,调查分析商品价格信息,进行预测预警和信息引导;按分工负责重要消费品储备管理和市场调控工作;按有关规定对成品油流通进行监督管理;承担粮食监测预警和应急责任,负责全县粮食流通宏观调控工作,指导协调最低收购价等政策性粮食购销粮食产销合作、保障军队粮食供应;编制粮食流通、仓储、加工设施建设规划，管理有关粮食流通设施投资项目。</w:t>
      </w:r>
    </w:p>
    <w:p w14:paraId="16F9A7A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6、贯彻执行国家进出口商品、加工贸易管理办法和进出口管理商品、技术目录,拟订促进外贸增长方式转变的政策措施、指导贸易促进活动和外贸促进体系建设;贯彻执行国家对外技术贸易、出口管制以及鼓励技术和成套设备进出口的贸易政策,推进进出口贸易标准化工作;承担会展业促进与管理有关工作。</w:t>
      </w:r>
    </w:p>
    <w:p w14:paraId="585D90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7、执行有关服务贸易发展规划并开展相关工作;组组实施促进服务出口、服务外包的政策措施,推动服务外包平合建设。</w:t>
      </w:r>
    </w:p>
    <w:p w14:paraId="2BDD647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8、贯彻执行我国多双边(含区域、自由贸易区)经贸合作战略和政策,推进我县与其他国家(地区)的经贸往来与投资贸易合作。</w:t>
      </w:r>
    </w:p>
    <w:p w14:paraId="0B0F863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9、协助开展对外贸易调查和产业损害调查,指导协调产业安全应对工作。</w:t>
      </w:r>
    </w:p>
    <w:p w14:paraId="12D03A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10、指导开展外商投资促进、保护和管理工作,规范招商引资活动并协调解决有关问题;指导国家级、省级经济技术开发区的有关工作。</w:t>
      </w:r>
    </w:p>
    <w:p w14:paraId="4615F3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11、拟订并组织实施对外经济合作政策;依法管理和监督对外劳务合作等工作;组织实施县内人员出境就业管理政策,负责牵头外派劳务和境外就业人员的权益保护工作。</w:t>
      </w:r>
    </w:p>
    <w:p w14:paraId="7767DE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12、负责粮食流通的产业管理,制定并组织实施全县粮食产业发展规划,优化粮食资源配置和产业布局;提出粮食收购市场准入标准建议,负责实施粮食收购行政许可的有关行政管理,指导粮食流通的科技进步、技术改造和新技术推广。</w:t>
      </w:r>
    </w:p>
    <w:p w14:paraId="798883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13、承担县级储备粮行政管理责任,研究提出县级储备粮的规模、总体布局、购销计划以及提出动用县级储备粮的建议,审批县级储备粮轮换计划并监督实施,监督检查全县范围内储备粮的数量、质量和储存安全,制定本县储备粮管理的技术规范并监督执行;负责全县救灾物资储备、管理工作,管理县救灾物资储备中心;拟订重要战略物资储备规划,负责组织收储、动用、轮换和管理,会同有关部门管理粮食、棉花和食糖等储备。</w:t>
      </w:r>
    </w:p>
    <w:p w14:paraId="0E891D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14、贯彻执行国家对香港、澳门特别行政区和台湾地区的经贸规划、政策，指导我县对港、澳、台地区贸易和经贸合作活动,协调港、澳、台商投资管理工作。</w:t>
      </w:r>
    </w:p>
    <w:p w14:paraId="0BFC82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15、承担全县商务粮食系统统计及其信息发布工作,提供信息咨询服务,指导全县流通领域信息网络和电子商务建设，指导全县商务粮食系统财务和内部审计工作。</w:t>
      </w:r>
    </w:p>
    <w:p w14:paraId="248905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16、负责县直所属企业事业单位的管理。按有关规定监督下属单位的国有资产,确保国有资产提质增值,依法依规完成下属企业改革改制工作。</w:t>
      </w:r>
    </w:p>
    <w:p w14:paraId="5AFC57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17、完成县委和县政府交办的其他任务。</w:t>
      </w:r>
    </w:p>
    <w:p w14:paraId="21DF29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机构设置</w:t>
      </w:r>
    </w:p>
    <w:p w14:paraId="1D7D31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岳阳县商务粮食局机关现有180人，其中：在职48人（全额预算编制人员33人，自收自支编制人员15人)，退休132人。内设办公室、财务股、法规与监督检查股、市场体系建设和市场秩序股、贸易投资和经济合作股、市场运行和消费促进股、电子商务股、成品油管理股、粮食调控和物资储备股、粮食产业发展股、人事党建股、行政审批股、工会等13个股室；4个二级机构：岳阳县市场建设管理中心、国家粮食储备中心、军粮供应管理中心和粮食企业资产服务中心,仅岳阳县市场建设管理中心财务独立核算；国家粮食储备中心、军粮供应管理中心和粮食企业资产服务中心财务未独立核算，纳入局机关财务统一管理。</w:t>
      </w:r>
    </w:p>
    <w:p w14:paraId="42F3F26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纳入本年度单位预算编制范围的二级预算单位包括：国家粮食储备中心、军粮供应管理中心和粮食企业资产服务中心。因此本年度部门预算为商务粮食局本级预算。</w:t>
      </w:r>
    </w:p>
    <w:p w14:paraId="6DBA02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1263B7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1C21231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1952.10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925.75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1026.35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见表2）。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23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年没有政府性基金预算拨款和纳入专户管理的非税收入拨款收入，也没有使用政府性基金预算拨款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962.38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因为收入预算统计口径增加了上年结转资金。</w:t>
      </w:r>
    </w:p>
    <w:p w14:paraId="3CB31E8C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A27A6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1952.10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其中，社会保障和就业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902.85万元，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住房保障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粮油物资储备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956.64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962.38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基本支出减少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982.24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见表7、16、19、20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基本支出较上年减少主要是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因为机关人员退休减少了相应的人员经费和公用经费；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项目支出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增加主要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是因为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本年度增加了电子商务进农村综合示范县项目支出。</w:t>
      </w:r>
    </w:p>
    <w:p w14:paraId="771FF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331A83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1952.10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其中，社会保障和就业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902.85万元，占46.25%；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住房保障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粮油物资储备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956.64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具体安排情况如下：</w:t>
      </w:r>
    </w:p>
    <w:p w14:paraId="6F23E91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：2023年基本支出年初预算数为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546.21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30FF15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1405.89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为完成特定行政工作任务或事业发展目标而发生的支出，包括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县级粮食储备经费180万元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改制经费1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52.65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，定额补助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25.45万元，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会议费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4.5万元，粮食管理经费92.44万元，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军粮供应管理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10万元，企业一套表3万元，商务粮政执法35万元，电子商务进农村综合示范县等项目支出902.85万元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其中：县级粮食储备经费180万元，主要用于岳阳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荣家湾粮库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有限公司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县级储备粮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500吨的保管和利息费用的补贴；改制经费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152.65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万元，用于破产改制粮食企业职工身份置换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、社保缴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及解决遗留问题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军粮供应管理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10万元，主要用于军粮供应管理支出；企业一套表3万元，主要用于四上企业联网直报费用支出；商务粮政执法35万元、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会议费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4.5万元、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定额补助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25.45万元及粮食管理经费92.44万元，主要用于商务粮政执法费用、会议费及粮食系统改制经理定额补助支出；电子商务进农村综合示范县等项目支出902.85万元，主要用于电商公共服务体系建设、县乡村三级物流体系建设、农产品供应链体系建设、农村电子商务培训、电商助力乡村振兴示范点建设，巩固脱贫成果，助力乡村振兴。</w:t>
      </w:r>
    </w:p>
    <w:p w14:paraId="08FD7A3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421B2A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2023年度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 w14:paraId="49893C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633EC8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04507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8.9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见表14，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表14中公用经费37.8万元包含机关工作人员公务交通补贴18.9万元和机关运行经费 18.9万元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比上年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万元，降低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27.08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进一步压缩非生产性开支，减少了其他商品和服务支出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2A623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6FB82CB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40" w:lineRule="exact"/>
        <w:ind w:left="0" w:right="0" w:firstLine="64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本单位2023年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，其中，公务接待费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万元，因公出国（境）费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其中公务用车购置费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减少0.42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降低21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因是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认真贯彻落实中央八项规定精神和厉行节约要求，从严控制“三公”经费开支，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“三公”经费预算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比上年有所压减。</w:t>
      </w:r>
    </w:p>
    <w:p w14:paraId="02FF33C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（三）一般性支出情况</w:t>
      </w:r>
    </w:p>
    <w:p w14:paraId="35D9FA3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本单位2023年培训费预算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万元，会议费预算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用于开展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四上企业统计员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业务培训，人数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人，内容为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全县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四上企业统计员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业务培训指导。</w:t>
      </w:r>
    </w:p>
    <w:p w14:paraId="47AAB28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FA638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2023年度本单位未安排政府采购预算。</w:t>
      </w:r>
    </w:p>
    <w:p w14:paraId="38EF1F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35B1FB1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713BDC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2023年度本单位未计划处置或新增车辆、设备等。</w:t>
      </w:r>
    </w:p>
    <w:p w14:paraId="01A9A7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6D90AED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1952.10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546.21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1405.89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bookmarkStart w:id="0" w:name="_GoBack"/>
      <w:bookmarkEnd w:id="0"/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39F005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743868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99733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12D47F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5E3C7BA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11520" w:firstLineChars="3600"/>
        <w:jc w:val="both"/>
        <w:textAlignment w:val="center"/>
        <w:rPr>
          <w:color w:val="auto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岳阳县商务粮食局本级预算公开表格</w:t>
      </w:r>
    </w:p>
    <w:p w14:paraId="3892E2D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7866FC-0637-42D6-9255-4E921D689B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FF8FEA-73C6-448B-BB8C-5DD4536A86DE}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DE908BF5-320D-4F5C-8958-2B110BD55A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9138FAA-3A7A-414F-9E93-013ACC88FD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DDE3381-7681-4F1F-9E7B-69DE2F55D9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CCFF43B-8C8F-4C22-AE66-3B08EF60DA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CC3D88C-7C0C-4DA8-B139-222607DA6FFE}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44B1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93A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6A3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A331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1706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B35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B2461D"/>
    <w:rsid w:val="02DF562C"/>
    <w:rsid w:val="032D48E5"/>
    <w:rsid w:val="039837D0"/>
    <w:rsid w:val="03F702CA"/>
    <w:rsid w:val="04497920"/>
    <w:rsid w:val="05502969"/>
    <w:rsid w:val="058C3701"/>
    <w:rsid w:val="069419C6"/>
    <w:rsid w:val="06C16CE7"/>
    <w:rsid w:val="06DC3ADF"/>
    <w:rsid w:val="08281851"/>
    <w:rsid w:val="0A683FB0"/>
    <w:rsid w:val="0AF15A72"/>
    <w:rsid w:val="0BE533BA"/>
    <w:rsid w:val="0C0C6008"/>
    <w:rsid w:val="0C4F7AFC"/>
    <w:rsid w:val="0D5B6622"/>
    <w:rsid w:val="0E064421"/>
    <w:rsid w:val="0ED234CD"/>
    <w:rsid w:val="0EF722C1"/>
    <w:rsid w:val="0F654CC7"/>
    <w:rsid w:val="0F9E0A26"/>
    <w:rsid w:val="100470C0"/>
    <w:rsid w:val="12053DD9"/>
    <w:rsid w:val="15D9563A"/>
    <w:rsid w:val="167D6679"/>
    <w:rsid w:val="19420C90"/>
    <w:rsid w:val="19D5374E"/>
    <w:rsid w:val="1AC31CB7"/>
    <w:rsid w:val="1BEF6124"/>
    <w:rsid w:val="1EEF01A9"/>
    <w:rsid w:val="1F1F1226"/>
    <w:rsid w:val="1F872E62"/>
    <w:rsid w:val="1FB86BD9"/>
    <w:rsid w:val="23435D25"/>
    <w:rsid w:val="23D86C2C"/>
    <w:rsid w:val="24C1727F"/>
    <w:rsid w:val="25605B5D"/>
    <w:rsid w:val="259722CE"/>
    <w:rsid w:val="26570D53"/>
    <w:rsid w:val="27D848B8"/>
    <w:rsid w:val="281815C5"/>
    <w:rsid w:val="2CDB483B"/>
    <w:rsid w:val="2D3524A8"/>
    <w:rsid w:val="2FC40521"/>
    <w:rsid w:val="32BC0146"/>
    <w:rsid w:val="3405688C"/>
    <w:rsid w:val="34E11E02"/>
    <w:rsid w:val="34EB0E56"/>
    <w:rsid w:val="35BA631F"/>
    <w:rsid w:val="35C8714B"/>
    <w:rsid w:val="37DF419B"/>
    <w:rsid w:val="388764A3"/>
    <w:rsid w:val="38E1606B"/>
    <w:rsid w:val="3A6B1E53"/>
    <w:rsid w:val="3BC82B6A"/>
    <w:rsid w:val="3E4D3BDD"/>
    <w:rsid w:val="41BD0BA3"/>
    <w:rsid w:val="41DA7DB9"/>
    <w:rsid w:val="42A56F9B"/>
    <w:rsid w:val="447637E8"/>
    <w:rsid w:val="472D0AB7"/>
    <w:rsid w:val="49D0699A"/>
    <w:rsid w:val="49EF4858"/>
    <w:rsid w:val="4A451027"/>
    <w:rsid w:val="4A9A28A0"/>
    <w:rsid w:val="4AE9742D"/>
    <w:rsid w:val="4B9F4D7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79F3C0A"/>
    <w:rsid w:val="593F63D3"/>
    <w:rsid w:val="5A4C6B4E"/>
    <w:rsid w:val="5B423ECD"/>
    <w:rsid w:val="5CC1075A"/>
    <w:rsid w:val="5CDA4DA9"/>
    <w:rsid w:val="5ED933D4"/>
    <w:rsid w:val="62820F98"/>
    <w:rsid w:val="635A5808"/>
    <w:rsid w:val="64035B71"/>
    <w:rsid w:val="64DB31B9"/>
    <w:rsid w:val="673F2799"/>
    <w:rsid w:val="681842B0"/>
    <w:rsid w:val="6AE87D9C"/>
    <w:rsid w:val="6F8561D3"/>
    <w:rsid w:val="70271B5B"/>
    <w:rsid w:val="703E2A09"/>
    <w:rsid w:val="71AC0C24"/>
    <w:rsid w:val="72EA1682"/>
    <w:rsid w:val="73C75CDE"/>
    <w:rsid w:val="773C67F0"/>
    <w:rsid w:val="7ACA4DDE"/>
    <w:rsid w:val="7C3257CF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6</Pages>
  <Words>5040</Words>
  <Characters>5370</Characters>
  <Lines>38</Lines>
  <Paragraphs>10</Paragraphs>
  <TotalTime>34</TotalTime>
  <ScaleCrop>false</ScaleCrop>
  <LinksUpToDate>false</LinksUpToDate>
  <CharactersWithSpaces>5394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2024-07-16T04:09:25Z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