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6F47E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36079E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C8911C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E33B2EB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CA8ADDE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29DB3433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岳阳县福利彩票发行中心</w:t>
      </w:r>
    </w:p>
    <w:p w14:paraId="2D20655E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2023年度单位预算</w:t>
      </w:r>
    </w:p>
    <w:p w14:paraId="31499FA0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0E8A79C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14236E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43B60F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F0A1E7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E71236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AED387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21591D0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9CCB862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6ED6D6B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DB6A86B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7519EBD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63F5E89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4DA59B0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8339C51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7FA53DE1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757B62BF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2CFF05AC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7ACEE3A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1AE4F28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1CA605E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3A43D79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5B04C53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08C76FD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6C0A6C7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153F411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56706E8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501DCB4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4E3E5C2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3C96023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3980DFB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339FBC0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508DFB5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797CE25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6594E6E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1B8CEA2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091345B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476BDC3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18072F2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5DA33D1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707F5F4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2F6032F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1CE80A95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2AF637CC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1D1EF637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39F54C47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1D72AF63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（一）职能职责</w:t>
      </w:r>
    </w:p>
    <w:p w14:paraId="3F373F27">
      <w:pPr>
        <w:widowControl/>
        <w:spacing w:line="600" w:lineRule="exact"/>
        <w:ind w:firstLine="627" w:firstLineChars="196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1、负责贯彻执行福利彩票发行的法规和政策。</w:t>
      </w:r>
    </w:p>
    <w:p w14:paraId="401BEC61">
      <w:pPr>
        <w:widowControl/>
        <w:spacing w:line="600" w:lineRule="exact"/>
        <w:ind w:firstLine="947" w:firstLineChars="296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2、负责指导管理本县区域内福利彩票销售工作。</w:t>
      </w:r>
    </w:p>
    <w:p w14:paraId="79418DAF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3、筹集社会福利资金。</w:t>
      </w:r>
    </w:p>
    <w:p w14:paraId="02DD13F7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（二）机构设置</w:t>
      </w:r>
    </w:p>
    <w:p w14:paraId="594C55F3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本单位系岳阳县民政局属二级机构，内设 3个股室，分别是：办公室、财务室、市场管理室。年末实有在职人数3人。</w:t>
      </w:r>
    </w:p>
    <w:p w14:paraId="1A45E8E6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130063F0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0DFA2513">
      <w:pPr>
        <w:widowControl/>
        <w:spacing w:line="600" w:lineRule="exact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62.29万元，其中，一般公共预算拨款31.08万元，上年结转31.21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表（财政专户管理资金预算）均为空。”）收入较去年增加23.43万元，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主要是因为去年根据去年实际收支情况，调增了项目预算。</w:t>
      </w:r>
    </w:p>
    <w:p w14:paraId="412BD550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0FABC63F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62.29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社会保障和就业支出58.62万元，卫生健康支出1.62万元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住房保障支出2.05万元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较去年增加23.43万元</w:t>
      </w:r>
      <w:r>
        <w:rPr>
          <w:rFonts w:hint="eastAsia" w:asciiTheme="minorEastAsia" w:hAnsiTheme="minorEastAsia" w:eastAsiaTheme="minorEastAsia"/>
          <w:sz w:val="32"/>
          <w:szCs w:val="32"/>
        </w:rPr>
        <w:t>，其中基本支出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减少7.78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增加31.21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万元，其中基本支出较上年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减少主要是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较上年有人员调出原因</w:t>
      </w:r>
      <w:r>
        <w:rPr>
          <w:rFonts w:hint="eastAsia" w:asciiTheme="minorEastAsia" w:hAnsiTheme="minorEastAsia" w:eastAsiaTheme="minorEastAsia"/>
          <w:sz w:val="32"/>
          <w:szCs w:val="32"/>
        </w:rPr>
        <w:t>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主要是因为去年根据去年实际收支情况，调增了项目预算。</w:t>
      </w:r>
    </w:p>
    <w:p w14:paraId="400B7771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5565506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2023年一般公共预算拨款支出预算37.84万元，其中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社会保障和就业支出34.17万元，占90.30%；卫生健康支出1.62万元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占4.28%；住房保障支出2.05万元，占5.42%。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5D2453B1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31.08万元，是指为保障单位机构正常运转、完成日常工作任务而发生的各项支出，包括用于基本工资、津贴补贴等人员经费以及办公费、印刷费、水电费、差旅费等日常公用经费。其中：工资福利支出27.54万元、一般商品和服务支出0万元、对个人和家庭的补助支出0万元、公用经费3.54万元。</w:t>
      </w:r>
    </w:p>
    <w:p w14:paraId="5A6646E0">
      <w:pPr>
        <w:widowControl/>
        <w:spacing w:line="600" w:lineRule="exact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（二）项目支出：2023年项目支出年初预算数为6.76万元，是指单位为完成特定行政工作任务或事业发展目标而发生的支出，包括有关业务工作经费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、运行维护经费等。全部为福利彩票发行管理经费项目计6.76万元。</w:t>
      </w:r>
    </w:p>
    <w:p w14:paraId="2853C78C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2E60363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16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（政府性基金预算）为空。</w:t>
      </w:r>
    </w:p>
    <w:p w14:paraId="6D278FB1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660B3BB5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21AF4C70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3.54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增加了1.38万元，增加了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63.89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4F47D79E">
      <w:pPr>
        <w:autoSpaceDE w:val="0"/>
        <w:autoSpaceDN w:val="0"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22FD9AD5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0.15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0.15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62D2C761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1427CDCA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本单位2023年会议费预算0.1万元，拟召开2次会议，人数30人，内容为业务相关知识讲座；培训费0万元，未安排预算。</w:t>
      </w:r>
    </w:p>
    <w:p w14:paraId="71B3B196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1E7AEB79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42AB8CDF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1EECE148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54616752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4FE91A5F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7C193DCA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62.29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31.08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</w:rPr>
        <w:t>31.21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12D75F64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6AA57894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DECF9D6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4399132F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3637D431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</w:t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  <w:lang w:val="en-US" w:eastAsia="zh-CN"/>
        </w:rPr>
        <w:t>福利彩票发行中心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AA2111-90BF-429D-8F06-E4730DA25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21383DE-2207-409E-9DDC-5B1CC21C51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A3348EE-4940-41C5-96C9-2CF0BCAF216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D5B9300-7CD3-46B9-8724-A9F421DD5D0D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F4BEC9B-BCE8-48AC-BFE0-E55B39E676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3384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090390"/>
    <w:rsid w:val="0009585F"/>
    <w:rsid w:val="00097A6F"/>
    <w:rsid w:val="00110C9D"/>
    <w:rsid w:val="00117900"/>
    <w:rsid w:val="001336FC"/>
    <w:rsid w:val="00146DE8"/>
    <w:rsid w:val="00150DB7"/>
    <w:rsid w:val="001561E9"/>
    <w:rsid w:val="00193395"/>
    <w:rsid w:val="001A0136"/>
    <w:rsid w:val="001A3382"/>
    <w:rsid w:val="001A3861"/>
    <w:rsid w:val="001A5425"/>
    <w:rsid w:val="001A6377"/>
    <w:rsid w:val="001C6E63"/>
    <w:rsid w:val="001D154A"/>
    <w:rsid w:val="001F365A"/>
    <w:rsid w:val="00203B0A"/>
    <w:rsid w:val="0025517E"/>
    <w:rsid w:val="00270E85"/>
    <w:rsid w:val="00294E3B"/>
    <w:rsid w:val="002B0968"/>
    <w:rsid w:val="002C077F"/>
    <w:rsid w:val="002C117B"/>
    <w:rsid w:val="002C65A7"/>
    <w:rsid w:val="002D0EB0"/>
    <w:rsid w:val="002F5747"/>
    <w:rsid w:val="002F57F8"/>
    <w:rsid w:val="00344D3D"/>
    <w:rsid w:val="003457B4"/>
    <w:rsid w:val="00355284"/>
    <w:rsid w:val="0035647F"/>
    <w:rsid w:val="003A1E91"/>
    <w:rsid w:val="003C0AE2"/>
    <w:rsid w:val="003C0E16"/>
    <w:rsid w:val="003C0E48"/>
    <w:rsid w:val="003C62F5"/>
    <w:rsid w:val="003E42E7"/>
    <w:rsid w:val="003E6642"/>
    <w:rsid w:val="003F5DB6"/>
    <w:rsid w:val="004155B4"/>
    <w:rsid w:val="00424166"/>
    <w:rsid w:val="00452611"/>
    <w:rsid w:val="00454DC3"/>
    <w:rsid w:val="00464A20"/>
    <w:rsid w:val="00466617"/>
    <w:rsid w:val="004711E9"/>
    <w:rsid w:val="004730DD"/>
    <w:rsid w:val="0048312A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500EC4"/>
    <w:rsid w:val="00527502"/>
    <w:rsid w:val="0054440F"/>
    <w:rsid w:val="005444DF"/>
    <w:rsid w:val="0057594C"/>
    <w:rsid w:val="005976CD"/>
    <w:rsid w:val="005E1C37"/>
    <w:rsid w:val="005E6320"/>
    <w:rsid w:val="006137D9"/>
    <w:rsid w:val="00617392"/>
    <w:rsid w:val="00637664"/>
    <w:rsid w:val="00675161"/>
    <w:rsid w:val="006853F9"/>
    <w:rsid w:val="00687143"/>
    <w:rsid w:val="00695750"/>
    <w:rsid w:val="006C1259"/>
    <w:rsid w:val="006D73F3"/>
    <w:rsid w:val="006E013D"/>
    <w:rsid w:val="006E335E"/>
    <w:rsid w:val="006F2FD2"/>
    <w:rsid w:val="007032DB"/>
    <w:rsid w:val="00714685"/>
    <w:rsid w:val="00754296"/>
    <w:rsid w:val="00755471"/>
    <w:rsid w:val="007B0161"/>
    <w:rsid w:val="007C2A03"/>
    <w:rsid w:val="007C48A3"/>
    <w:rsid w:val="007D2FB4"/>
    <w:rsid w:val="00812DE3"/>
    <w:rsid w:val="00815A6C"/>
    <w:rsid w:val="00832EBB"/>
    <w:rsid w:val="008459F5"/>
    <w:rsid w:val="008511BD"/>
    <w:rsid w:val="00854FCA"/>
    <w:rsid w:val="0085589C"/>
    <w:rsid w:val="008827C7"/>
    <w:rsid w:val="00893563"/>
    <w:rsid w:val="0089375E"/>
    <w:rsid w:val="008974A0"/>
    <w:rsid w:val="008A378C"/>
    <w:rsid w:val="008C1057"/>
    <w:rsid w:val="008E61DB"/>
    <w:rsid w:val="008E6571"/>
    <w:rsid w:val="0091094E"/>
    <w:rsid w:val="009143CB"/>
    <w:rsid w:val="00931988"/>
    <w:rsid w:val="0093410B"/>
    <w:rsid w:val="00990520"/>
    <w:rsid w:val="00995AF1"/>
    <w:rsid w:val="009A0F61"/>
    <w:rsid w:val="009A184C"/>
    <w:rsid w:val="009D1CA3"/>
    <w:rsid w:val="009D450C"/>
    <w:rsid w:val="009E4487"/>
    <w:rsid w:val="009E5041"/>
    <w:rsid w:val="009E7921"/>
    <w:rsid w:val="00A0350C"/>
    <w:rsid w:val="00A03C0E"/>
    <w:rsid w:val="00A867C6"/>
    <w:rsid w:val="00AA481C"/>
    <w:rsid w:val="00AB576D"/>
    <w:rsid w:val="00AB6861"/>
    <w:rsid w:val="00AB6B87"/>
    <w:rsid w:val="00AC160E"/>
    <w:rsid w:val="00AF0466"/>
    <w:rsid w:val="00B0403C"/>
    <w:rsid w:val="00B0682E"/>
    <w:rsid w:val="00B21CBD"/>
    <w:rsid w:val="00B366B4"/>
    <w:rsid w:val="00B52F2D"/>
    <w:rsid w:val="00B82665"/>
    <w:rsid w:val="00BC04D7"/>
    <w:rsid w:val="00BE4229"/>
    <w:rsid w:val="00BF5A08"/>
    <w:rsid w:val="00C05762"/>
    <w:rsid w:val="00C06169"/>
    <w:rsid w:val="00C36022"/>
    <w:rsid w:val="00C5316A"/>
    <w:rsid w:val="00C74EEB"/>
    <w:rsid w:val="00CA5057"/>
    <w:rsid w:val="00CB1E6F"/>
    <w:rsid w:val="00CB5C8F"/>
    <w:rsid w:val="00CC55B2"/>
    <w:rsid w:val="00CF2BA3"/>
    <w:rsid w:val="00D05AE4"/>
    <w:rsid w:val="00D1730A"/>
    <w:rsid w:val="00D279D7"/>
    <w:rsid w:val="00D5100C"/>
    <w:rsid w:val="00D60DAB"/>
    <w:rsid w:val="00D75CFA"/>
    <w:rsid w:val="00D84D40"/>
    <w:rsid w:val="00D96317"/>
    <w:rsid w:val="00DB63BF"/>
    <w:rsid w:val="00DD2BA7"/>
    <w:rsid w:val="00DD573A"/>
    <w:rsid w:val="00DD6BEE"/>
    <w:rsid w:val="00E01BD5"/>
    <w:rsid w:val="00E10F35"/>
    <w:rsid w:val="00E14C8B"/>
    <w:rsid w:val="00E179D0"/>
    <w:rsid w:val="00E17BC0"/>
    <w:rsid w:val="00E24DC7"/>
    <w:rsid w:val="00E40EF5"/>
    <w:rsid w:val="00E419D9"/>
    <w:rsid w:val="00E5468E"/>
    <w:rsid w:val="00E5547E"/>
    <w:rsid w:val="00E75085"/>
    <w:rsid w:val="00EA5C43"/>
    <w:rsid w:val="00EC052E"/>
    <w:rsid w:val="00ED0857"/>
    <w:rsid w:val="00ED137D"/>
    <w:rsid w:val="00ED70B1"/>
    <w:rsid w:val="00ED7E3B"/>
    <w:rsid w:val="00F05F5B"/>
    <w:rsid w:val="00F06D7F"/>
    <w:rsid w:val="00F078E9"/>
    <w:rsid w:val="00F24836"/>
    <w:rsid w:val="00F36C19"/>
    <w:rsid w:val="00F533F8"/>
    <w:rsid w:val="00F56CE0"/>
    <w:rsid w:val="00F57AB2"/>
    <w:rsid w:val="00F74B02"/>
    <w:rsid w:val="00FB0434"/>
    <w:rsid w:val="00FB1B41"/>
    <w:rsid w:val="00FB3CC9"/>
    <w:rsid w:val="00FC65A6"/>
    <w:rsid w:val="00FE2E8C"/>
    <w:rsid w:val="00FF5478"/>
    <w:rsid w:val="00FF696B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D811BD1"/>
    <w:rsid w:val="3E4D3BDD"/>
    <w:rsid w:val="3F7717E2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A955162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2282</Words>
  <Characters>2480</Characters>
  <Lines>18</Lines>
  <Paragraphs>5</Paragraphs>
  <TotalTime>1</TotalTime>
  <ScaleCrop>false</ScaleCrop>
  <LinksUpToDate>false</LinksUpToDate>
  <CharactersWithSpaces>2508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2023-02-10T00:31:00Z</dcterms:created>
  <dc:creator>周继恩 10.105.113.143</dc:creator>
  <cp:lastModifiedBy>小泽。</cp:lastModifiedBy>
  <cp:lastPrinted>2019-05-05T07:55:00Z</cp:lastPrinted>
  <dcterms:modified xsi:type="dcterms:W3CDTF">2024-07-16T06:23:38Z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