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B7CABC">
      <w:pPr>
        <w:widowControl/>
        <w:ind w:firstLine="883" w:firstLineChars="200"/>
        <w:rPr>
          <w:rFonts w:ascii="仿宋" w:hAnsi="仿宋" w:eastAsia="仿宋" w:cs="仿宋"/>
          <w:b/>
          <w:bCs/>
          <w:kern w:val="0"/>
          <w:sz w:val="44"/>
          <w:szCs w:val="44"/>
        </w:rPr>
      </w:pPr>
    </w:p>
    <w:p w14:paraId="6C9C3573">
      <w:pPr>
        <w:widowControl/>
        <w:ind w:firstLine="883" w:firstLineChars="200"/>
        <w:jc w:val="center"/>
        <w:rPr>
          <w:rFonts w:ascii="仿宋" w:hAnsi="仿宋" w:eastAsia="仿宋" w:cs="仿宋"/>
          <w:b/>
          <w:bCs/>
          <w:kern w:val="0"/>
          <w:sz w:val="44"/>
          <w:szCs w:val="44"/>
        </w:rPr>
      </w:pPr>
    </w:p>
    <w:p w14:paraId="41024DB4">
      <w:pPr>
        <w:widowControl/>
        <w:ind w:firstLine="883" w:firstLineChars="200"/>
        <w:jc w:val="center"/>
        <w:rPr>
          <w:rFonts w:ascii="仿宋" w:hAnsi="仿宋" w:eastAsia="仿宋" w:cs="仿宋"/>
          <w:b/>
          <w:bCs/>
          <w:kern w:val="0"/>
          <w:sz w:val="44"/>
          <w:szCs w:val="44"/>
        </w:rPr>
      </w:pPr>
    </w:p>
    <w:p w14:paraId="793C6318">
      <w:pPr>
        <w:widowControl/>
        <w:ind w:firstLine="883" w:firstLineChars="200"/>
        <w:jc w:val="center"/>
        <w:rPr>
          <w:rFonts w:ascii="仿宋" w:hAnsi="仿宋" w:eastAsia="仿宋" w:cs="仿宋"/>
          <w:b/>
          <w:bCs/>
          <w:kern w:val="0"/>
          <w:sz w:val="44"/>
          <w:szCs w:val="44"/>
        </w:rPr>
      </w:pPr>
    </w:p>
    <w:p w14:paraId="7E67E9DC">
      <w:pPr>
        <w:widowControl/>
        <w:ind w:firstLine="1446" w:firstLineChars="200"/>
        <w:jc w:val="center"/>
        <w:rPr>
          <w:rFonts w:ascii="仿宋" w:hAnsi="仿宋" w:eastAsia="仿宋" w:cs="仿宋"/>
          <w:b/>
          <w:bCs/>
          <w:kern w:val="0"/>
          <w:sz w:val="72"/>
          <w:szCs w:val="72"/>
        </w:rPr>
      </w:pPr>
    </w:p>
    <w:p w14:paraId="16BC668A">
      <w:pPr>
        <w:widowControl/>
        <w:jc w:val="center"/>
        <w:rPr>
          <w:rFonts w:hint="eastAsia" w:ascii="方正小标宋简体" w:hAnsi="方正小标宋简体" w:eastAsia="方正小标宋简体" w:cs="方正小标宋简体"/>
          <w:kern w:val="0"/>
          <w:sz w:val="72"/>
          <w:szCs w:val="72"/>
        </w:rPr>
      </w:pPr>
      <w:r>
        <w:rPr>
          <w:rFonts w:hint="eastAsia" w:ascii="方正小标宋简体" w:hAnsi="方正小标宋简体" w:eastAsia="方正小标宋简体" w:cs="方正小标宋简体"/>
          <w:kern w:val="0"/>
          <w:sz w:val="72"/>
          <w:szCs w:val="72"/>
        </w:rPr>
        <w:t>岳阳县农业广播电视学校</w:t>
      </w:r>
    </w:p>
    <w:p w14:paraId="48261BBB">
      <w:pPr>
        <w:widowControl/>
        <w:jc w:val="center"/>
        <w:rPr>
          <w:rFonts w:hint="eastAsia" w:ascii="方正小标宋简体" w:hAnsi="方正小标宋简体" w:eastAsia="方正小标宋简体" w:cs="方正小标宋简体"/>
          <w:kern w:val="0"/>
          <w:sz w:val="72"/>
          <w:szCs w:val="72"/>
        </w:rPr>
      </w:pPr>
      <w:r>
        <w:rPr>
          <w:rFonts w:hint="eastAsia" w:ascii="方正小标宋简体" w:hAnsi="方正小标宋简体" w:eastAsia="方正小标宋简体" w:cs="方正小标宋简体"/>
          <w:kern w:val="0"/>
          <w:sz w:val="72"/>
          <w:szCs w:val="72"/>
        </w:rPr>
        <w:t>2023年度单位预算</w:t>
      </w:r>
    </w:p>
    <w:p w14:paraId="74E82212">
      <w:pPr>
        <w:widowControl/>
        <w:jc w:val="center"/>
        <w:rPr>
          <w:rFonts w:ascii="仿宋" w:hAnsi="仿宋" w:eastAsia="仿宋" w:cs="仿宋"/>
          <w:kern w:val="0"/>
          <w:sz w:val="32"/>
          <w:szCs w:val="32"/>
        </w:rPr>
      </w:pPr>
    </w:p>
    <w:p w14:paraId="0C752BB8">
      <w:pPr>
        <w:widowControl/>
        <w:ind w:firstLine="883" w:firstLineChars="200"/>
        <w:jc w:val="center"/>
        <w:rPr>
          <w:rFonts w:ascii="仿宋" w:hAnsi="仿宋" w:eastAsia="仿宋" w:cs="仿宋"/>
          <w:b/>
          <w:bCs/>
          <w:kern w:val="0"/>
          <w:sz w:val="44"/>
          <w:szCs w:val="44"/>
        </w:rPr>
      </w:pPr>
    </w:p>
    <w:p w14:paraId="0218E770">
      <w:pPr>
        <w:widowControl/>
        <w:ind w:firstLine="883" w:firstLineChars="200"/>
        <w:jc w:val="center"/>
        <w:rPr>
          <w:rFonts w:ascii="仿宋" w:hAnsi="仿宋" w:eastAsia="仿宋" w:cs="仿宋"/>
          <w:b/>
          <w:bCs/>
          <w:kern w:val="0"/>
          <w:sz w:val="44"/>
          <w:szCs w:val="44"/>
        </w:rPr>
      </w:pPr>
    </w:p>
    <w:p w14:paraId="2DE2F218">
      <w:pPr>
        <w:widowControl/>
        <w:ind w:firstLine="883" w:firstLineChars="200"/>
        <w:jc w:val="center"/>
        <w:rPr>
          <w:rFonts w:ascii="仿宋" w:hAnsi="仿宋" w:eastAsia="仿宋" w:cs="仿宋"/>
          <w:b/>
          <w:bCs/>
          <w:kern w:val="0"/>
          <w:sz w:val="44"/>
          <w:szCs w:val="44"/>
        </w:rPr>
      </w:pPr>
    </w:p>
    <w:p w14:paraId="1D3D97B2">
      <w:pPr>
        <w:widowControl/>
        <w:ind w:firstLine="883" w:firstLineChars="200"/>
        <w:jc w:val="center"/>
        <w:rPr>
          <w:rFonts w:ascii="仿宋" w:hAnsi="仿宋" w:eastAsia="仿宋" w:cs="仿宋"/>
          <w:b/>
          <w:bCs/>
          <w:kern w:val="0"/>
          <w:sz w:val="44"/>
          <w:szCs w:val="44"/>
        </w:rPr>
      </w:pPr>
    </w:p>
    <w:p w14:paraId="4677F768">
      <w:pPr>
        <w:widowControl/>
        <w:ind w:firstLine="883" w:firstLineChars="200"/>
        <w:jc w:val="center"/>
        <w:rPr>
          <w:rFonts w:ascii="仿宋" w:hAnsi="仿宋" w:eastAsia="仿宋" w:cs="仿宋"/>
          <w:b/>
          <w:bCs/>
          <w:kern w:val="0"/>
          <w:sz w:val="44"/>
          <w:szCs w:val="44"/>
        </w:rPr>
      </w:pPr>
    </w:p>
    <w:p w14:paraId="1AB698C6">
      <w:pPr>
        <w:widowControl/>
        <w:ind w:firstLine="883" w:firstLineChars="200"/>
        <w:jc w:val="center"/>
        <w:rPr>
          <w:rFonts w:ascii="仿宋" w:hAnsi="仿宋" w:eastAsia="仿宋" w:cs="仿宋"/>
          <w:b/>
          <w:bCs/>
          <w:kern w:val="0"/>
          <w:sz w:val="44"/>
          <w:szCs w:val="44"/>
        </w:rPr>
      </w:pPr>
    </w:p>
    <w:p w14:paraId="41BC8E79">
      <w:pPr>
        <w:widowControl/>
        <w:ind w:firstLine="883" w:firstLineChars="200"/>
        <w:jc w:val="center"/>
        <w:rPr>
          <w:rFonts w:ascii="仿宋" w:hAnsi="仿宋" w:eastAsia="仿宋" w:cs="仿宋"/>
          <w:b/>
          <w:bCs/>
          <w:kern w:val="0"/>
          <w:sz w:val="44"/>
          <w:szCs w:val="44"/>
        </w:rPr>
      </w:pPr>
    </w:p>
    <w:p w14:paraId="7EC1338D">
      <w:pPr>
        <w:widowControl/>
        <w:ind w:firstLine="883" w:firstLineChars="200"/>
        <w:jc w:val="center"/>
        <w:rPr>
          <w:rFonts w:ascii="仿宋" w:hAnsi="仿宋" w:eastAsia="仿宋" w:cs="仿宋"/>
          <w:b/>
          <w:bCs/>
          <w:kern w:val="0"/>
          <w:sz w:val="44"/>
          <w:szCs w:val="44"/>
        </w:rPr>
      </w:pPr>
    </w:p>
    <w:p w14:paraId="5CA511A9">
      <w:pPr>
        <w:widowControl/>
        <w:ind w:firstLine="883" w:firstLineChars="200"/>
        <w:jc w:val="center"/>
        <w:rPr>
          <w:rFonts w:ascii="仿宋" w:hAnsi="仿宋" w:eastAsia="仿宋" w:cs="仿宋"/>
          <w:b/>
          <w:bCs/>
          <w:kern w:val="0"/>
          <w:sz w:val="44"/>
          <w:szCs w:val="44"/>
        </w:rPr>
      </w:pPr>
    </w:p>
    <w:p w14:paraId="707F42E3">
      <w:pPr>
        <w:widowControl/>
        <w:ind w:firstLine="883" w:firstLineChars="200"/>
        <w:jc w:val="center"/>
        <w:rPr>
          <w:rFonts w:ascii="仿宋" w:hAnsi="仿宋" w:eastAsia="仿宋" w:cs="仿宋"/>
          <w:b/>
          <w:bCs/>
          <w:kern w:val="0"/>
          <w:sz w:val="44"/>
          <w:szCs w:val="44"/>
        </w:rPr>
      </w:pPr>
    </w:p>
    <w:p w14:paraId="0FB0BB3F">
      <w:pPr>
        <w:widowControl/>
        <w:ind w:firstLine="883" w:firstLineChars="200"/>
        <w:rPr>
          <w:rFonts w:ascii="仿宋" w:hAnsi="仿宋" w:eastAsia="仿宋" w:cs="仿宋"/>
          <w:b/>
          <w:bCs/>
          <w:kern w:val="0"/>
          <w:sz w:val="44"/>
          <w:szCs w:val="44"/>
        </w:rPr>
      </w:pPr>
    </w:p>
    <w:p w14:paraId="4423C08E">
      <w:pPr>
        <w:widowControl/>
        <w:jc w:val="center"/>
        <w:rPr>
          <w:rFonts w:ascii="仿宋" w:hAnsi="仿宋" w:eastAsia="仿宋" w:cs="仿宋"/>
          <w:b/>
          <w:bCs/>
          <w:kern w:val="0"/>
          <w:sz w:val="44"/>
          <w:szCs w:val="44"/>
        </w:rPr>
      </w:pPr>
      <w:r>
        <w:rPr>
          <w:rFonts w:hint="eastAsia" w:ascii="仿宋" w:hAnsi="仿宋" w:eastAsia="仿宋" w:cs="仿宋"/>
          <w:b/>
          <w:bCs/>
          <w:kern w:val="0"/>
          <w:sz w:val="44"/>
          <w:szCs w:val="44"/>
        </w:rPr>
        <w:t>目</w:t>
      </w:r>
      <w:r>
        <w:rPr>
          <w:rFonts w:hint="eastAsia" w:ascii="仿宋" w:hAnsi="仿宋" w:eastAsia="仿宋" w:cs="仿宋"/>
          <w:b/>
          <w:bCs/>
          <w:kern w:val="0"/>
          <w:sz w:val="44"/>
          <w:szCs w:val="44"/>
          <w:lang w:val="en-US" w:eastAsia="zh-CN"/>
        </w:rPr>
        <w:t xml:space="preserve">  </w:t>
      </w:r>
      <w:r>
        <w:rPr>
          <w:rFonts w:hint="eastAsia" w:ascii="仿宋" w:hAnsi="仿宋" w:eastAsia="仿宋" w:cs="仿宋"/>
          <w:b/>
          <w:bCs/>
          <w:kern w:val="0"/>
          <w:sz w:val="44"/>
          <w:szCs w:val="44"/>
        </w:rPr>
        <w:t>录</w:t>
      </w:r>
    </w:p>
    <w:p w14:paraId="7D396798">
      <w:pPr>
        <w:widowControl/>
        <w:ind w:firstLine="643" w:firstLineChars="200"/>
        <w:rPr>
          <w:rFonts w:ascii="仿宋" w:hAnsi="仿宋" w:eastAsia="仿宋" w:cs="仿宋"/>
          <w:b/>
          <w:bCs/>
          <w:kern w:val="0"/>
          <w:sz w:val="32"/>
          <w:szCs w:val="32"/>
        </w:rPr>
      </w:pPr>
    </w:p>
    <w:p w14:paraId="206CB384">
      <w:pPr>
        <w:widowControl/>
        <w:spacing w:line="600" w:lineRule="exact"/>
        <w:ind w:firstLine="643" w:firstLineChars="200"/>
        <w:rPr>
          <w:rFonts w:ascii="仿宋" w:hAnsi="仿宋" w:eastAsia="仿宋" w:cs="仿宋"/>
          <w:b/>
          <w:bCs/>
          <w:kern w:val="0"/>
          <w:sz w:val="32"/>
          <w:szCs w:val="32"/>
        </w:rPr>
      </w:pPr>
      <w:r>
        <w:rPr>
          <w:rFonts w:hint="eastAsia" w:ascii="仿宋" w:hAnsi="仿宋" w:eastAsia="仿宋" w:cs="仿宋"/>
          <w:b/>
          <w:bCs/>
          <w:kern w:val="0"/>
          <w:sz w:val="32"/>
          <w:szCs w:val="32"/>
        </w:rPr>
        <w:t>第一部分  2023年单位预算说明</w:t>
      </w:r>
    </w:p>
    <w:p w14:paraId="0241E890">
      <w:pPr>
        <w:widowControl/>
        <w:spacing w:line="600" w:lineRule="exact"/>
        <w:ind w:firstLine="643" w:firstLineChars="200"/>
        <w:rPr>
          <w:rFonts w:ascii="仿宋" w:hAnsi="仿宋" w:eastAsia="仿宋" w:cs="仿宋"/>
          <w:b/>
          <w:bCs/>
          <w:kern w:val="0"/>
          <w:sz w:val="32"/>
          <w:szCs w:val="32"/>
        </w:rPr>
      </w:pPr>
      <w:r>
        <w:rPr>
          <w:rFonts w:hint="eastAsia" w:ascii="仿宋" w:hAnsi="仿宋" w:eastAsia="仿宋" w:cs="仿宋"/>
          <w:b/>
          <w:bCs/>
          <w:kern w:val="0"/>
          <w:sz w:val="32"/>
          <w:szCs w:val="32"/>
        </w:rPr>
        <w:t>第二部分  单位预算公开表格</w:t>
      </w:r>
    </w:p>
    <w:p w14:paraId="7456D358">
      <w:pPr>
        <w:widowControl/>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1、收支总表</w:t>
      </w:r>
    </w:p>
    <w:p w14:paraId="39477A3B">
      <w:pPr>
        <w:widowControl/>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2、收入总表</w:t>
      </w:r>
    </w:p>
    <w:p w14:paraId="18DEF2EC">
      <w:pPr>
        <w:widowControl/>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3、支出总表</w:t>
      </w:r>
    </w:p>
    <w:p w14:paraId="6E663CD9">
      <w:pPr>
        <w:widowControl/>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4、支出预算分类汇总表（按政府预算经济分类）</w:t>
      </w:r>
    </w:p>
    <w:p w14:paraId="04654A7C">
      <w:pPr>
        <w:widowControl/>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5、支出预算分类汇总表（按部门预算经济分类）</w:t>
      </w:r>
    </w:p>
    <w:p w14:paraId="6F56F23E">
      <w:pPr>
        <w:widowControl/>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6、财政拨款收支总表</w:t>
      </w:r>
    </w:p>
    <w:p w14:paraId="0DB0B38E">
      <w:pPr>
        <w:widowControl/>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7、一般公共预算支出表</w:t>
      </w:r>
    </w:p>
    <w:p w14:paraId="4F1B7A68">
      <w:pPr>
        <w:pStyle w:val="2"/>
        <w:ind w:firstLine="640"/>
        <w:rPr>
          <w:rFonts w:ascii="仿宋" w:hAnsi="仿宋" w:eastAsia="仿宋" w:cs="仿宋"/>
          <w:sz w:val="32"/>
          <w:szCs w:val="32"/>
        </w:rPr>
      </w:pPr>
      <w:r>
        <w:rPr>
          <w:rFonts w:hint="eastAsia" w:ascii="仿宋" w:hAnsi="仿宋" w:eastAsia="仿宋" w:cs="仿宋"/>
          <w:sz w:val="32"/>
          <w:szCs w:val="32"/>
        </w:rPr>
        <w:t>8、一般公共预算基本支出表</w:t>
      </w:r>
    </w:p>
    <w:p w14:paraId="32D8E3BF">
      <w:pPr>
        <w:pStyle w:val="2"/>
        <w:ind w:firstLine="640"/>
        <w:rPr>
          <w:rFonts w:ascii="仿宋" w:hAnsi="仿宋" w:eastAsia="仿宋" w:cs="仿宋"/>
          <w:sz w:val="32"/>
          <w:szCs w:val="32"/>
        </w:rPr>
      </w:pPr>
      <w:r>
        <w:rPr>
          <w:rFonts w:hint="eastAsia" w:ascii="仿宋" w:hAnsi="仿宋" w:eastAsia="仿宋" w:cs="仿宋"/>
          <w:sz w:val="32"/>
          <w:szCs w:val="32"/>
        </w:rPr>
        <w:t>9、一般公共预算基本支出表</w:t>
      </w:r>
    </w:p>
    <w:p w14:paraId="750C5334">
      <w:pPr>
        <w:widowControl/>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10、一般公共预算基本支出表-人员经费（工资福利支出）（按部门预算经济分类）</w:t>
      </w:r>
    </w:p>
    <w:p w14:paraId="022BE230">
      <w:pPr>
        <w:widowControl/>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11、一般公共预算基本支出表-人员经费（对个人和家庭的补助）（按政府预算经济分类）</w:t>
      </w:r>
    </w:p>
    <w:p w14:paraId="267406F9">
      <w:pPr>
        <w:widowControl/>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12、一般公共预算基本支出表-人员经费（对个人和家庭的补助）（按部门预算经济分类）</w:t>
      </w:r>
    </w:p>
    <w:p w14:paraId="242E8E6A">
      <w:pPr>
        <w:widowControl/>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13、一般公共预算基本支出表-公用经费（商品和服务支出）（按政府预算经济分类）</w:t>
      </w:r>
    </w:p>
    <w:p w14:paraId="2DCF5752">
      <w:pPr>
        <w:widowControl/>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14、一般公共预算基本支出表-公用经费（商品和服务支出）（按部门预算经济分类）</w:t>
      </w:r>
    </w:p>
    <w:p w14:paraId="2F943733">
      <w:pPr>
        <w:widowControl/>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15、一般公共预算“三公”经费支出表</w:t>
      </w:r>
    </w:p>
    <w:p w14:paraId="62000DF8">
      <w:pPr>
        <w:widowControl/>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16、政府性基金预算支出表</w:t>
      </w:r>
    </w:p>
    <w:p w14:paraId="1A5CFC27">
      <w:pPr>
        <w:widowControl/>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17、政府性基金预算支出分类汇总表（按政府预算经济分类）</w:t>
      </w:r>
    </w:p>
    <w:p w14:paraId="0A26DF8C">
      <w:pPr>
        <w:widowControl/>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18、政府性基金预算支出分类汇总表（按部门预算经济分类）</w:t>
      </w:r>
    </w:p>
    <w:p w14:paraId="0151B1F5">
      <w:pPr>
        <w:widowControl/>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19、国有资本经营预算支出表</w:t>
      </w:r>
    </w:p>
    <w:p w14:paraId="5888182B">
      <w:pPr>
        <w:widowControl/>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20、财政专户管理资金预算支出表</w:t>
      </w:r>
    </w:p>
    <w:p w14:paraId="738EFC62">
      <w:pPr>
        <w:widowControl/>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21、专项资金预算汇总表</w:t>
      </w:r>
    </w:p>
    <w:p w14:paraId="71BD26E9">
      <w:pPr>
        <w:widowControl/>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22、项目支出绩效目标表</w:t>
      </w:r>
    </w:p>
    <w:p w14:paraId="3CCB235C">
      <w:pPr>
        <w:widowControl/>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23、部门整体支出绩效目标表</w:t>
      </w:r>
    </w:p>
    <w:p w14:paraId="72829A79">
      <w:pPr>
        <w:widowControl/>
        <w:spacing w:line="600" w:lineRule="exact"/>
        <w:ind w:firstLine="643" w:firstLineChars="200"/>
        <w:rPr>
          <w:rFonts w:ascii="仿宋" w:hAnsi="仿宋" w:eastAsia="仿宋" w:cs="仿宋"/>
          <w:b/>
          <w:bCs w:val="0"/>
          <w:color w:val="auto"/>
          <w:kern w:val="0"/>
          <w:sz w:val="32"/>
          <w:szCs w:val="32"/>
        </w:rPr>
      </w:pPr>
      <w:r>
        <w:rPr>
          <w:rFonts w:hint="eastAsia" w:ascii="仿宋" w:hAnsi="仿宋" w:eastAsia="仿宋" w:cs="仿宋"/>
          <w:b/>
          <w:bCs w:val="0"/>
          <w:color w:val="auto"/>
          <w:kern w:val="0"/>
          <w:sz w:val="32"/>
          <w:szCs w:val="32"/>
        </w:rPr>
        <w:t>注：以上单位预算公开报表中，空表表示本单位无相关收支情况。</w:t>
      </w:r>
    </w:p>
    <w:p w14:paraId="5774252A">
      <w:pPr>
        <w:widowControl/>
        <w:spacing w:line="600" w:lineRule="exact"/>
        <w:ind w:firstLine="640" w:firstLineChars="200"/>
        <w:jc w:val="center"/>
        <w:rPr>
          <w:rFonts w:hint="eastAsia" w:ascii="方正小标宋简体" w:hAnsi="方正小标宋简体" w:eastAsia="方正小标宋简体" w:cs="方正小标宋简体"/>
          <w:kern w:val="0"/>
          <w:sz w:val="36"/>
          <w:szCs w:val="36"/>
        </w:rPr>
      </w:pPr>
      <w:r>
        <w:rPr>
          <w:rFonts w:hint="eastAsia" w:ascii="仿宋" w:hAnsi="仿宋" w:eastAsia="仿宋" w:cs="仿宋"/>
          <w:kern w:val="0"/>
          <w:sz w:val="32"/>
          <w:szCs w:val="32"/>
        </w:rPr>
        <w:br w:type="page"/>
      </w:r>
      <w:r>
        <w:rPr>
          <w:rFonts w:hint="eastAsia" w:ascii="方正小标宋简体" w:hAnsi="方正小标宋简体" w:eastAsia="方正小标宋简体" w:cs="方正小标宋简体"/>
          <w:kern w:val="0"/>
          <w:sz w:val="36"/>
          <w:szCs w:val="36"/>
        </w:rPr>
        <w:t>第一部分  2023年单位预算说明</w:t>
      </w:r>
    </w:p>
    <w:p w14:paraId="1B9D6BA9">
      <w:pPr>
        <w:widowControl/>
        <w:spacing w:line="600" w:lineRule="exact"/>
        <w:rPr>
          <w:rFonts w:ascii="仿宋" w:hAnsi="仿宋" w:eastAsia="仿宋" w:cs="仿宋"/>
          <w:kern w:val="0"/>
          <w:sz w:val="32"/>
          <w:szCs w:val="32"/>
        </w:rPr>
      </w:pPr>
    </w:p>
    <w:p w14:paraId="15845F25">
      <w:pPr>
        <w:widowControl/>
        <w:spacing w:line="600" w:lineRule="exact"/>
        <w:ind w:firstLine="640" w:firstLineChars="200"/>
        <w:rPr>
          <w:rFonts w:hint="eastAsia" w:ascii="黑体" w:hAnsi="黑体" w:eastAsia="黑体" w:cs="黑体"/>
          <w:kern w:val="0"/>
          <w:sz w:val="32"/>
          <w:szCs w:val="32"/>
        </w:rPr>
      </w:pPr>
      <w:r>
        <w:rPr>
          <w:rFonts w:hint="eastAsia" w:ascii="黑体" w:hAnsi="黑体" w:eastAsia="黑体" w:cs="黑体"/>
          <w:kern w:val="0"/>
          <w:sz w:val="32"/>
          <w:szCs w:val="32"/>
        </w:rPr>
        <w:t>一、单位基本概况</w:t>
      </w:r>
    </w:p>
    <w:p w14:paraId="21FEF005">
      <w:pPr>
        <w:widowControl/>
        <w:spacing w:line="600" w:lineRule="exact"/>
        <w:ind w:firstLine="643" w:firstLineChars="200"/>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（一）职能职责</w:t>
      </w:r>
    </w:p>
    <w:p w14:paraId="79FFE2A0">
      <w:pPr>
        <w:spacing w:line="560" w:lineRule="atLeast"/>
        <w:ind w:firstLine="960" w:firstLineChars="300"/>
        <w:jc w:val="left"/>
        <w:rPr>
          <w:rFonts w:ascii="仿宋" w:hAnsi="仿宋" w:eastAsia="仿宋" w:cs="仿宋"/>
          <w:sz w:val="32"/>
          <w:szCs w:val="32"/>
        </w:rPr>
      </w:pPr>
      <w:r>
        <w:rPr>
          <w:rFonts w:hint="eastAsia" w:ascii="仿宋" w:hAnsi="仿宋" w:eastAsia="仿宋" w:cs="仿宋"/>
          <w:sz w:val="32"/>
          <w:szCs w:val="32"/>
        </w:rPr>
        <w:t>岳阳县农业广播电视学校贯彻落实中央农业广播电视学校、湖南省农业广播电视学校办学政策和农民教育培训理念。主要职能职责是:</w:t>
      </w:r>
    </w:p>
    <w:p w14:paraId="4B2F6E7E">
      <w:pPr>
        <w:spacing w:line="560" w:lineRule="atLeast"/>
        <w:ind w:firstLine="640" w:firstLineChars="200"/>
        <w:jc w:val="left"/>
        <w:rPr>
          <w:rFonts w:ascii="仿宋" w:hAnsi="仿宋" w:eastAsia="仿宋" w:cs="仿宋"/>
          <w:sz w:val="32"/>
          <w:szCs w:val="32"/>
        </w:rPr>
      </w:pPr>
      <w:r>
        <w:rPr>
          <w:rFonts w:hint="eastAsia" w:ascii="仿宋" w:hAnsi="仿宋" w:eastAsia="仿宋" w:cs="仿宋"/>
          <w:sz w:val="32"/>
          <w:szCs w:val="32"/>
        </w:rPr>
        <w:t>1、承担农村实用技术培训，农民素质教育培训，农村劳动力就业技能培训，移民培训等工作。</w:t>
      </w:r>
    </w:p>
    <w:p w14:paraId="40253547">
      <w:pPr>
        <w:spacing w:line="560" w:lineRule="atLeast"/>
        <w:ind w:firstLine="640" w:firstLineChars="200"/>
        <w:jc w:val="left"/>
        <w:rPr>
          <w:rFonts w:ascii="仿宋" w:hAnsi="仿宋" w:eastAsia="仿宋" w:cs="仿宋"/>
          <w:sz w:val="32"/>
          <w:szCs w:val="32"/>
        </w:rPr>
      </w:pPr>
      <w:r>
        <w:rPr>
          <w:rFonts w:hint="eastAsia" w:ascii="仿宋" w:hAnsi="仿宋" w:eastAsia="仿宋" w:cs="仿宋"/>
          <w:sz w:val="32"/>
          <w:szCs w:val="32"/>
        </w:rPr>
        <w:t>2、承担远距离农业成人高等教育和中等职业教育工作。</w:t>
      </w:r>
    </w:p>
    <w:p w14:paraId="0C89E06F">
      <w:pPr>
        <w:spacing w:line="560" w:lineRule="atLeast"/>
        <w:ind w:firstLine="640" w:firstLineChars="200"/>
        <w:jc w:val="left"/>
        <w:rPr>
          <w:rFonts w:ascii="仿宋" w:hAnsi="仿宋" w:eastAsia="仿宋" w:cs="仿宋"/>
          <w:sz w:val="32"/>
          <w:szCs w:val="32"/>
        </w:rPr>
      </w:pPr>
      <w:r>
        <w:rPr>
          <w:rFonts w:hint="eastAsia" w:ascii="仿宋" w:hAnsi="仿宋" w:eastAsia="仿宋" w:cs="仿宋"/>
          <w:sz w:val="32"/>
          <w:szCs w:val="32"/>
        </w:rPr>
        <w:t>3、承担组织实施农民体育健身活动，承担农民体育协会工作。</w:t>
      </w:r>
    </w:p>
    <w:p w14:paraId="0BD1AC54">
      <w:pPr>
        <w:spacing w:line="560" w:lineRule="atLeast"/>
        <w:ind w:firstLine="640" w:firstLineChars="200"/>
        <w:jc w:val="left"/>
        <w:rPr>
          <w:rFonts w:ascii="仿宋" w:hAnsi="仿宋" w:eastAsia="仿宋" w:cs="仿宋"/>
          <w:sz w:val="32"/>
          <w:szCs w:val="32"/>
        </w:rPr>
      </w:pPr>
      <w:r>
        <w:rPr>
          <w:rFonts w:hint="eastAsia" w:ascii="仿宋" w:hAnsi="仿宋" w:eastAsia="仿宋" w:cs="仿宋"/>
          <w:sz w:val="32"/>
          <w:szCs w:val="32"/>
        </w:rPr>
        <w:t>4、承担县农业农村局交办的其他工作。</w:t>
      </w:r>
    </w:p>
    <w:p w14:paraId="717FFA48">
      <w:pPr>
        <w:widowControl/>
        <w:spacing w:line="600" w:lineRule="exact"/>
        <w:ind w:firstLine="643" w:firstLineChars="200"/>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（二）机构设置</w:t>
      </w:r>
    </w:p>
    <w:p w14:paraId="271C58E3">
      <w:pPr>
        <w:widowControl/>
        <w:spacing w:before="100" w:beforeAutospacing="1" w:after="100" w:afterAutospacing="1" w:line="390" w:lineRule="atLeast"/>
        <w:ind w:firstLine="645"/>
        <w:jc w:val="left"/>
        <w:rPr>
          <w:rFonts w:hint="eastAsia" w:ascii="黑体" w:hAnsi="黑体" w:eastAsia="黑体" w:cs="黑体"/>
          <w:kern w:val="0"/>
          <w:sz w:val="32"/>
          <w:szCs w:val="32"/>
        </w:rPr>
      </w:pPr>
      <w:r>
        <w:rPr>
          <w:rFonts w:hint="eastAsia" w:ascii="仿宋" w:hAnsi="仿宋" w:eastAsia="仿宋" w:cs="仿宋"/>
          <w:sz w:val="32"/>
          <w:szCs w:val="32"/>
        </w:rPr>
        <w:t>岳阳县农业广播电视学校为岳阳县农业农村局所属公益一类财政全额拨款副科级事业单位</w:t>
      </w:r>
      <w:r>
        <w:rPr>
          <w:rFonts w:hint="eastAsia" w:ascii="仿宋" w:hAnsi="仿宋" w:eastAsia="仿宋" w:cs="仿宋"/>
          <w:color w:val="000000"/>
          <w:kern w:val="0"/>
          <w:sz w:val="30"/>
          <w:szCs w:val="30"/>
        </w:rPr>
        <w:t>，财务独立核算。编制数8人，本部门在编在岗职工7人，退休3人。内设有3个股室：教务股、财务股、综合股。</w:t>
      </w:r>
    </w:p>
    <w:p w14:paraId="2D447165">
      <w:pPr>
        <w:widowControl/>
        <w:spacing w:line="600" w:lineRule="exact"/>
        <w:ind w:firstLine="640" w:firstLineChars="200"/>
        <w:rPr>
          <w:rFonts w:hint="eastAsia" w:ascii="黑体" w:hAnsi="黑体" w:eastAsia="黑体" w:cs="黑体"/>
          <w:kern w:val="0"/>
          <w:sz w:val="32"/>
          <w:szCs w:val="32"/>
        </w:rPr>
      </w:pPr>
      <w:r>
        <w:rPr>
          <w:rFonts w:hint="eastAsia" w:ascii="黑体" w:hAnsi="黑体" w:eastAsia="黑体" w:cs="黑体"/>
          <w:kern w:val="0"/>
          <w:sz w:val="32"/>
          <w:szCs w:val="32"/>
        </w:rPr>
        <w:t>二、单位收支总体情况</w:t>
      </w:r>
    </w:p>
    <w:p w14:paraId="0D72B189">
      <w:pPr>
        <w:widowControl/>
        <w:spacing w:line="600" w:lineRule="exact"/>
        <w:ind w:firstLine="643" w:firstLineChars="200"/>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（一）收入预算</w:t>
      </w:r>
    </w:p>
    <w:p w14:paraId="5CA3612E">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包括一般公共预算、政府性基金、国有资本经营预算等财政拨款收入，以及经营收入、事业收入等单位资金。2023年本单位收入预算87.16万元，其中，一般公共预算拨款80.13万元，上年结转7.03万元。本单位2023年没有政府性基金预算拨款和纳入专户管理的非税收入拨款收入，也没有使用政府性基金预算拨款、国有资本经营预算收入和纳入专户管理的非税收入拨款安排的支出，所以公开的附件16-18（政府性基金预算）、19（国有资本经营预算）、20表（财政专户管理资金预算）均为空。收入较去年增加1.45万元，主要是因为人员增资导致。</w:t>
      </w:r>
    </w:p>
    <w:p w14:paraId="78548E9F">
      <w:pPr>
        <w:widowControl/>
        <w:spacing w:line="600" w:lineRule="exact"/>
        <w:ind w:firstLine="643" w:firstLineChars="200"/>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（二）支出预算</w:t>
      </w:r>
    </w:p>
    <w:p w14:paraId="16837AA9">
      <w:pPr>
        <w:widowControl/>
        <w:spacing w:line="600" w:lineRule="exact"/>
        <w:ind w:firstLine="627" w:firstLineChars="196"/>
        <w:jc w:val="left"/>
        <w:rPr>
          <w:rFonts w:ascii="仿宋" w:hAnsi="仿宋" w:eastAsia="仿宋" w:cs="仿宋"/>
          <w:kern w:val="0"/>
          <w:sz w:val="32"/>
          <w:szCs w:val="32"/>
        </w:rPr>
      </w:pPr>
      <w:r>
        <w:rPr>
          <w:rFonts w:hint="eastAsia" w:ascii="仿宋" w:hAnsi="仿宋" w:eastAsia="仿宋" w:cs="仿宋"/>
          <w:sz w:val="32"/>
          <w:szCs w:val="32"/>
        </w:rPr>
        <w:t>2023年本单位支出预算</w:t>
      </w:r>
      <w:r>
        <w:rPr>
          <w:rFonts w:hint="eastAsia" w:ascii="仿宋" w:hAnsi="仿宋" w:eastAsia="仿宋" w:cs="仿宋"/>
          <w:kern w:val="0"/>
          <w:sz w:val="32"/>
          <w:szCs w:val="32"/>
        </w:rPr>
        <w:t>87.16</w:t>
      </w:r>
      <w:r>
        <w:rPr>
          <w:rFonts w:hint="eastAsia" w:ascii="仿宋" w:hAnsi="仿宋" w:eastAsia="仿宋" w:cs="仿宋"/>
          <w:sz w:val="32"/>
          <w:szCs w:val="32"/>
        </w:rPr>
        <w:t>万元，</w:t>
      </w:r>
      <w:r>
        <w:rPr>
          <w:rFonts w:hint="eastAsia" w:ascii="仿宋" w:hAnsi="仿宋" w:eastAsia="仿宋" w:cs="仿宋"/>
          <w:kern w:val="0"/>
          <w:sz w:val="32"/>
          <w:szCs w:val="32"/>
        </w:rPr>
        <w:t>其中</w:t>
      </w:r>
      <w:r>
        <w:rPr>
          <w:rFonts w:hint="eastAsia" w:ascii="仿宋" w:hAnsi="仿宋" w:eastAsia="仿宋" w:cs="仿宋"/>
          <w:sz w:val="32"/>
          <w:szCs w:val="32"/>
        </w:rPr>
        <w:t>，社会保障和就业支出</w:t>
      </w:r>
      <w:r>
        <w:rPr>
          <w:rFonts w:hint="eastAsia" w:ascii="仿宋" w:hAnsi="仿宋" w:eastAsia="仿宋" w:cs="仿宋"/>
          <w:kern w:val="0"/>
          <w:sz w:val="32"/>
          <w:szCs w:val="32"/>
        </w:rPr>
        <w:t>8.1</w:t>
      </w:r>
      <w:r>
        <w:rPr>
          <w:rFonts w:hint="eastAsia" w:ascii="仿宋" w:hAnsi="仿宋" w:eastAsia="仿宋" w:cs="仿宋"/>
          <w:sz w:val="32"/>
          <w:szCs w:val="32"/>
        </w:rPr>
        <w:t>万元，卫生健康支出4.52万元，农林水支出68.82万元，住房保障支出5.72万元。支出较去年</w:t>
      </w:r>
      <w:r>
        <w:rPr>
          <w:rFonts w:hint="eastAsia" w:ascii="仿宋" w:hAnsi="仿宋" w:eastAsia="仿宋" w:cs="仿宋"/>
          <w:kern w:val="0"/>
          <w:sz w:val="32"/>
          <w:szCs w:val="32"/>
        </w:rPr>
        <w:t>增加1.45</w:t>
      </w:r>
      <w:r>
        <w:rPr>
          <w:rFonts w:hint="eastAsia" w:ascii="仿宋" w:hAnsi="仿宋" w:eastAsia="仿宋" w:cs="仿宋"/>
          <w:sz w:val="32"/>
          <w:szCs w:val="32"/>
        </w:rPr>
        <w:t>万元，其中基本支出增加</w:t>
      </w:r>
      <w:r>
        <w:rPr>
          <w:rFonts w:hint="eastAsia" w:ascii="仿宋" w:hAnsi="仿宋" w:eastAsia="仿宋" w:cs="仿宋"/>
          <w:kern w:val="0"/>
          <w:sz w:val="32"/>
          <w:szCs w:val="32"/>
        </w:rPr>
        <w:t>1.45</w:t>
      </w:r>
      <w:r>
        <w:rPr>
          <w:rFonts w:hint="eastAsia" w:ascii="仿宋" w:hAnsi="仿宋" w:eastAsia="仿宋" w:cs="仿宋"/>
          <w:sz w:val="32"/>
          <w:szCs w:val="32"/>
        </w:rPr>
        <w:t>万元。基本支出较上年增加主要是因为年绩效未支付，上年结转增加了7.03万元，人员工资增加0.97万元。</w:t>
      </w:r>
    </w:p>
    <w:p w14:paraId="54977401">
      <w:pPr>
        <w:widowControl/>
        <w:spacing w:line="600" w:lineRule="exact"/>
        <w:ind w:firstLine="640" w:firstLineChars="200"/>
        <w:rPr>
          <w:rFonts w:hint="eastAsia" w:ascii="黑体" w:hAnsi="黑体" w:eastAsia="黑体" w:cs="黑体"/>
          <w:kern w:val="0"/>
          <w:sz w:val="32"/>
          <w:szCs w:val="32"/>
        </w:rPr>
      </w:pPr>
      <w:r>
        <w:rPr>
          <w:rFonts w:hint="eastAsia" w:ascii="黑体" w:hAnsi="黑体" w:eastAsia="黑体" w:cs="黑体"/>
          <w:kern w:val="0"/>
          <w:sz w:val="32"/>
          <w:szCs w:val="32"/>
        </w:rPr>
        <w:t>三、一般公共预算拨款支出预算</w:t>
      </w:r>
    </w:p>
    <w:p w14:paraId="548B597C">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2023年一般公共预算拨款支出预算87.16万元，其中</w:t>
      </w:r>
      <w:r>
        <w:rPr>
          <w:rFonts w:hint="eastAsia" w:ascii="仿宋" w:hAnsi="仿宋" w:eastAsia="仿宋" w:cs="仿宋"/>
          <w:sz w:val="32"/>
          <w:szCs w:val="32"/>
        </w:rPr>
        <w:t>，社会保障和就业支出</w:t>
      </w:r>
      <w:r>
        <w:rPr>
          <w:rFonts w:hint="eastAsia" w:ascii="仿宋" w:hAnsi="仿宋" w:eastAsia="仿宋" w:cs="仿宋"/>
          <w:kern w:val="0"/>
          <w:sz w:val="32"/>
          <w:szCs w:val="32"/>
        </w:rPr>
        <w:t>8.1</w:t>
      </w:r>
      <w:r>
        <w:rPr>
          <w:rFonts w:hint="eastAsia" w:ascii="仿宋" w:hAnsi="仿宋" w:eastAsia="仿宋" w:cs="仿宋"/>
          <w:sz w:val="32"/>
          <w:szCs w:val="32"/>
        </w:rPr>
        <w:t>万元，占9.29%；卫生健康支出4.52万元；占5.19%；农林水支出68.82万元，占78.96%；住房保障支出5.72万元；占6.56%。</w:t>
      </w:r>
      <w:r>
        <w:rPr>
          <w:rFonts w:hint="eastAsia" w:ascii="仿宋" w:hAnsi="仿宋" w:eastAsia="仿宋" w:cs="仿宋"/>
          <w:kern w:val="0"/>
          <w:sz w:val="32"/>
          <w:szCs w:val="32"/>
        </w:rPr>
        <w:t>具体安排情况如下：</w:t>
      </w:r>
    </w:p>
    <w:p w14:paraId="51942A1E">
      <w:pPr>
        <w:widowControl/>
        <w:spacing w:line="600" w:lineRule="exact"/>
        <w:ind w:firstLine="643" w:firstLineChars="200"/>
        <w:rPr>
          <w:rFonts w:ascii="仿宋" w:hAnsi="仿宋" w:eastAsia="仿宋" w:cs="仿宋"/>
          <w:kern w:val="0"/>
          <w:sz w:val="32"/>
          <w:szCs w:val="32"/>
        </w:rPr>
      </w:pPr>
      <w:r>
        <w:rPr>
          <w:rFonts w:hint="eastAsia" w:ascii="楷体_GB2312" w:hAnsi="楷体_GB2312" w:eastAsia="楷体_GB2312" w:cs="楷体_GB2312"/>
          <w:b/>
          <w:bCs/>
          <w:kern w:val="0"/>
          <w:sz w:val="32"/>
          <w:szCs w:val="32"/>
        </w:rPr>
        <w:t>（一）基本支出：</w:t>
      </w:r>
      <w:r>
        <w:rPr>
          <w:rFonts w:hint="eastAsia" w:ascii="仿宋" w:hAnsi="仿宋" w:eastAsia="仿宋" w:cs="仿宋"/>
          <w:kern w:val="0"/>
          <w:sz w:val="32"/>
          <w:szCs w:val="32"/>
        </w:rPr>
        <w:t>2023年基本支出年初预算数为87.16万元，是指为保障单位机构正常运转、完成日常工作任务而发生的各项支出，包括用于基本工资、津贴补贴等人员经费以及办公费、印刷费、水电费、差旅费等日常公用经费。</w:t>
      </w:r>
    </w:p>
    <w:p w14:paraId="44624192">
      <w:pPr>
        <w:widowControl/>
        <w:spacing w:line="600" w:lineRule="exact"/>
        <w:ind w:firstLine="660"/>
        <w:jc w:val="left"/>
        <w:rPr>
          <w:rFonts w:ascii="仿宋" w:hAnsi="仿宋" w:eastAsia="仿宋" w:cs="仿宋"/>
          <w:sz w:val="32"/>
          <w:szCs w:val="32"/>
        </w:rPr>
      </w:pPr>
      <w:r>
        <w:rPr>
          <w:rFonts w:hint="eastAsia" w:ascii="楷体_GB2312" w:hAnsi="楷体_GB2312" w:eastAsia="楷体_GB2312" w:cs="楷体_GB2312"/>
          <w:b/>
          <w:bCs/>
          <w:kern w:val="0"/>
          <w:sz w:val="32"/>
          <w:szCs w:val="32"/>
        </w:rPr>
        <w:t>（二）项目支出：</w:t>
      </w:r>
      <w:r>
        <w:rPr>
          <w:rFonts w:hint="eastAsia" w:ascii="仿宋" w:hAnsi="仿宋" w:eastAsia="仿宋" w:cs="仿宋"/>
          <w:kern w:val="0"/>
          <w:sz w:val="32"/>
          <w:szCs w:val="32"/>
        </w:rPr>
        <w:t>2023年度本单位无项目预算。</w:t>
      </w:r>
    </w:p>
    <w:p w14:paraId="4D30EA60">
      <w:pPr>
        <w:widowControl/>
        <w:spacing w:line="600" w:lineRule="exact"/>
        <w:ind w:firstLine="640" w:firstLineChars="200"/>
        <w:rPr>
          <w:rFonts w:hint="eastAsia" w:ascii="黑体" w:hAnsi="黑体" w:eastAsia="黑体" w:cs="黑体"/>
          <w:kern w:val="0"/>
          <w:sz w:val="32"/>
          <w:szCs w:val="32"/>
        </w:rPr>
      </w:pPr>
      <w:r>
        <w:rPr>
          <w:rFonts w:hint="eastAsia" w:ascii="黑体" w:hAnsi="黑体" w:eastAsia="黑体" w:cs="黑体"/>
          <w:kern w:val="0"/>
          <w:sz w:val="32"/>
          <w:szCs w:val="32"/>
        </w:rPr>
        <w:t>四、政府性基金预算支出</w:t>
      </w:r>
    </w:p>
    <w:p w14:paraId="193B3AF8">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2023年度本单位无政府性基金安排的支出，所以公开的附件16-18（政府性基金预算）为空</w:t>
      </w:r>
    </w:p>
    <w:p w14:paraId="6227032C">
      <w:pPr>
        <w:widowControl/>
        <w:spacing w:line="600" w:lineRule="exact"/>
        <w:ind w:firstLine="640" w:firstLineChars="200"/>
        <w:rPr>
          <w:rFonts w:hint="eastAsia" w:ascii="黑体" w:hAnsi="黑体" w:eastAsia="黑体" w:cs="黑体"/>
          <w:kern w:val="0"/>
          <w:sz w:val="32"/>
          <w:szCs w:val="32"/>
        </w:rPr>
      </w:pPr>
      <w:r>
        <w:rPr>
          <w:rFonts w:hint="eastAsia" w:ascii="黑体" w:hAnsi="黑体" w:eastAsia="黑体" w:cs="黑体"/>
          <w:kern w:val="0"/>
          <w:sz w:val="32"/>
          <w:szCs w:val="32"/>
        </w:rPr>
        <w:t>五、其他重要事项的情况说明</w:t>
      </w:r>
    </w:p>
    <w:p w14:paraId="5C6810C9">
      <w:pPr>
        <w:widowControl/>
        <w:spacing w:line="600" w:lineRule="exact"/>
        <w:ind w:firstLine="660"/>
        <w:jc w:val="left"/>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（一）机关运行经费</w:t>
      </w:r>
    </w:p>
    <w:p w14:paraId="63A1E74A">
      <w:pPr>
        <w:autoSpaceDE w:val="0"/>
        <w:autoSpaceDN w:val="0"/>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本单位2023年机关运行经费当年一般公共预算拨款3.78万元，与上年数据相同。</w:t>
      </w:r>
    </w:p>
    <w:p w14:paraId="38057078">
      <w:pPr>
        <w:widowControl/>
        <w:spacing w:line="600" w:lineRule="exact"/>
        <w:ind w:firstLine="660"/>
        <w:jc w:val="left"/>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（二）“三公”经费预算</w:t>
      </w:r>
    </w:p>
    <w:p w14:paraId="49FB4834">
      <w:pPr>
        <w:autoSpaceDE w:val="0"/>
        <w:autoSpaceDN w:val="0"/>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本单位2023年“三公”经费预算数0.5万元，其中，公务接待费0.5万元，因公出国（境）费0万元，公务用车购置及运行费0万元，其中公务用车购置费0万元，公务用车运行费0万元。与上年数据相同。</w:t>
      </w:r>
    </w:p>
    <w:p w14:paraId="1ED307F4">
      <w:pPr>
        <w:widowControl/>
        <w:spacing w:line="600" w:lineRule="exact"/>
        <w:ind w:firstLine="660"/>
        <w:jc w:val="left"/>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（三）一般性支出情况</w:t>
      </w:r>
    </w:p>
    <w:p w14:paraId="3FCB3626">
      <w:pPr>
        <w:autoSpaceDE w:val="0"/>
        <w:autoSpaceDN w:val="0"/>
        <w:spacing w:line="600" w:lineRule="exact"/>
        <w:ind w:firstLine="640" w:firstLineChars="200"/>
        <w:rPr>
          <w:rFonts w:ascii="仿宋" w:hAnsi="仿宋" w:eastAsia="仿宋" w:cs="仿宋"/>
          <w:color w:val="FF0000"/>
          <w:kern w:val="0"/>
          <w:sz w:val="32"/>
          <w:szCs w:val="32"/>
        </w:rPr>
      </w:pPr>
      <w:r>
        <w:rPr>
          <w:rFonts w:hint="eastAsia" w:ascii="仿宋" w:hAnsi="仿宋" w:eastAsia="仿宋" w:cs="仿宋"/>
          <w:kern w:val="0"/>
          <w:sz w:val="32"/>
          <w:szCs w:val="32"/>
        </w:rPr>
        <w:t>2023年度本单位未计划安排会议、培训、未计划举办节庆、晚会、论坛、赛事活动。</w:t>
      </w:r>
    </w:p>
    <w:p w14:paraId="0256026B">
      <w:pPr>
        <w:widowControl/>
        <w:spacing w:line="600" w:lineRule="exact"/>
        <w:ind w:firstLine="660"/>
        <w:jc w:val="left"/>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（四）政府采购情况</w:t>
      </w:r>
    </w:p>
    <w:p w14:paraId="3FAED84A">
      <w:pPr>
        <w:widowControl/>
        <w:spacing w:line="600" w:lineRule="exact"/>
        <w:ind w:firstLine="640" w:firstLineChars="200"/>
        <w:rPr>
          <w:rFonts w:ascii="仿宋" w:hAnsi="仿宋" w:eastAsia="仿宋" w:cs="仿宋"/>
          <w:color w:val="3216DC"/>
          <w:kern w:val="0"/>
          <w:sz w:val="32"/>
          <w:szCs w:val="32"/>
        </w:rPr>
      </w:pPr>
      <w:r>
        <w:rPr>
          <w:rFonts w:hint="eastAsia" w:ascii="仿宋" w:hAnsi="仿宋" w:eastAsia="仿宋" w:cs="仿宋"/>
          <w:kern w:val="0"/>
          <w:sz w:val="32"/>
          <w:szCs w:val="32"/>
        </w:rPr>
        <w:t>2023年度本单位未安排政府采购预算。</w:t>
      </w:r>
    </w:p>
    <w:p w14:paraId="469F4CA6">
      <w:pPr>
        <w:widowControl/>
        <w:spacing w:line="600" w:lineRule="exact"/>
        <w:ind w:firstLine="660"/>
        <w:jc w:val="left"/>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（五）国有资产占有使用及新增资产配置情况</w:t>
      </w:r>
    </w:p>
    <w:p w14:paraId="37902DDE">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截至上一年12月底，本单位共有车辆0辆，其中领导干部用车0辆，一般公务用车0辆，其他用车0辆。单位价值50万元以上通用设备0台，单位价值100万元以上专用设备0台。</w:t>
      </w:r>
    </w:p>
    <w:p w14:paraId="1C3B69E4">
      <w:pPr>
        <w:widowControl/>
        <w:spacing w:line="600" w:lineRule="exact"/>
        <w:ind w:firstLine="640" w:firstLineChars="200"/>
        <w:rPr>
          <w:rFonts w:ascii="仿宋" w:hAnsi="仿宋" w:eastAsia="仿宋" w:cs="仿宋"/>
          <w:kern w:val="0"/>
          <w:sz w:val="36"/>
          <w:szCs w:val="36"/>
        </w:rPr>
      </w:pPr>
      <w:r>
        <w:rPr>
          <w:rFonts w:hint="eastAsia" w:ascii="仿宋" w:hAnsi="仿宋" w:eastAsia="仿宋" w:cs="仿宋"/>
          <w:kern w:val="0"/>
          <w:sz w:val="32"/>
          <w:szCs w:val="32"/>
        </w:rPr>
        <w:t>2023年度本单位未计划处置或新增车辆、设备等。</w:t>
      </w:r>
    </w:p>
    <w:p w14:paraId="159B9C26">
      <w:pPr>
        <w:widowControl/>
        <w:spacing w:line="600" w:lineRule="exact"/>
        <w:ind w:firstLine="643" w:firstLineChars="200"/>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（六）预算绩效目标说明</w:t>
      </w:r>
    </w:p>
    <w:p w14:paraId="0B4D04FF">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bCs/>
          <w:kern w:val="0"/>
          <w:sz w:val="32"/>
          <w:szCs w:val="32"/>
        </w:rPr>
        <w:t>本单位所有支出实行绩效目标管理。纳入2023年单位整体支出绩效目标的金额为</w:t>
      </w:r>
      <w:r>
        <w:rPr>
          <w:rFonts w:hint="eastAsia" w:ascii="仿宋" w:hAnsi="仿宋" w:eastAsia="仿宋" w:cs="仿宋"/>
          <w:sz w:val="32"/>
          <w:szCs w:val="32"/>
        </w:rPr>
        <w:t>87.16</w:t>
      </w:r>
      <w:r>
        <w:rPr>
          <w:rFonts w:hint="eastAsia" w:ascii="仿宋" w:hAnsi="仿宋" w:eastAsia="仿宋" w:cs="仿宋"/>
          <w:bCs/>
          <w:kern w:val="0"/>
          <w:sz w:val="32"/>
          <w:szCs w:val="32"/>
        </w:rPr>
        <w:t>万元，其中，基本支出</w:t>
      </w:r>
      <w:r>
        <w:rPr>
          <w:rFonts w:hint="eastAsia" w:ascii="仿宋" w:hAnsi="仿宋" w:eastAsia="仿宋" w:cs="仿宋"/>
          <w:sz w:val="32"/>
          <w:szCs w:val="32"/>
        </w:rPr>
        <w:t>87.13</w:t>
      </w:r>
      <w:r>
        <w:rPr>
          <w:rFonts w:hint="eastAsia" w:ascii="仿宋" w:hAnsi="仿宋" w:eastAsia="仿宋" w:cs="仿宋"/>
          <w:bCs/>
          <w:kern w:val="0"/>
          <w:sz w:val="32"/>
          <w:szCs w:val="32"/>
        </w:rPr>
        <w:t>万元，项目支出</w:t>
      </w:r>
      <w:r>
        <w:rPr>
          <w:rFonts w:hint="eastAsia" w:ascii="仿宋" w:hAnsi="仿宋" w:eastAsia="仿宋" w:cs="仿宋"/>
          <w:sz w:val="32"/>
          <w:szCs w:val="32"/>
        </w:rPr>
        <w:t>0</w:t>
      </w:r>
      <w:r>
        <w:rPr>
          <w:rFonts w:hint="eastAsia" w:ascii="仿宋" w:hAnsi="仿宋" w:eastAsia="仿宋" w:cs="仿宋"/>
          <w:bCs/>
          <w:kern w:val="0"/>
          <w:sz w:val="32"/>
          <w:szCs w:val="32"/>
        </w:rPr>
        <w:t>万元，</w:t>
      </w:r>
      <w:r>
        <w:rPr>
          <w:rFonts w:hint="eastAsia" w:ascii="仿宋" w:hAnsi="仿宋" w:eastAsia="仿宋" w:cs="仿宋"/>
          <w:kern w:val="0"/>
          <w:sz w:val="32"/>
          <w:szCs w:val="32"/>
        </w:rPr>
        <w:t>详见文尾附表中单位预算公开表格的表22-2</w:t>
      </w:r>
      <w:r>
        <w:rPr>
          <w:rFonts w:hint="eastAsia" w:ascii="仿宋" w:hAnsi="仿宋" w:eastAsia="仿宋" w:cs="仿宋"/>
          <w:kern w:val="0"/>
          <w:sz w:val="32"/>
          <w:szCs w:val="32"/>
          <w:lang w:val="en-US" w:eastAsia="zh-CN"/>
        </w:rPr>
        <w:t>3</w:t>
      </w:r>
      <w:bookmarkStart w:id="0" w:name="_GoBack"/>
      <w:bookmarkEnd w:id="0"/>
      <w:r>
        <w:rPr>
          <w:rFonts w:hint="eastAsia" w:ascii="仿宋" w:hAnsi="仿宋" w:eastAsia="仿宋" w:cs="仿宋"/>
          <w:kern w:val="0"/>
          <w:sz w:val="32"/>
          <w:szCs w:val="32"/>
        </w:rPr>
        <w:t>。</w:t>
      </w:r>
    </w:p>
    <w:p w14:paraId="29043ED6">
      <w:pPr>
        <w:widowControl/>
        <w:spacing w:line="600" w:lineRule="exact"/>
        <w:ind w:firstLine="640" w:firstLineChars="200"/>
        <w:rPr>
          <w:rFonts w:hint="eastAsia" w:ascii="黑体" w:hAnsi="黑体" w:eastAsia="黑体" w:cs="黑体"/>
          <w:kern w:val="0"/>
          <w:sz w:val="32"/>
          <w:szCs w:val="32"/>
        </w:rPr>
      </w:pPr>
      <w:r>
        <w:rPr>
          <w:rFonts w:hint="eastAsia" w:ascii="黑体" w:hAnsi="黑体" w:eastAsia="黑体" w:cs="黑体"/>
          <w:kern w:val="0"/>
          <w:sz w:val="32"/>
          <w:szCs w:val="32"/>
        </w:rPr>
        <w:t>五、名词解释</w:t>
      </w:r>
    </w:p>
    <w:p w14:paraId="4ECB3B4A">
      <w:pPr>
        <w:widowControl/>
        <w:spacing w:line="600" w:lineRule="exact"/>
        <w:ind w:firstLine="643" w:firstLineChars="200"/>
        <w:rPr>
          <w:rFonts w:ascii="仿宋" w:hAnsi="仿宋" w:eastAsia="仿宋" w:cs="仿宋"/>
          <w:kern w:val="0"/>
          <w:sz w:val="32"/>
          <w:szCs w:val="32"/>
        </w:rPr>
      </w:pPr>
      <w:r>
        <w:rPr>
          <w:rFonts w:hint="eastAsia" w:ascii="仿宋" w:hAnsi="仿宋" w:eastAsia="仿宋" w:cs="仿宋"/>
          <w:b/>
          <w:bCs/>
          <w:kern w:val="0"/>
          <w:sz w:val="32"/>
          <w:szCs w:val="32"/>
        </w:rPr>
        <w:t>1、机关运行经费：</w:t>
      </w:r>
      <w:r>
        <w:rPr>
          <w:rFonts w:hint="eastAsia" w:ascii="仿宋" w:hAnsi="仿宋" w:eastAsia="仿宋" w:cs="仿宋"/>
          <w:kern w:val="0"/>
          <w:sz w:val="32"/>
          <w:szCs w:val="32"/>
        </w:rPr>
        <w:t>是指各单位的公用经费，包括办公及印刷费、邮电费、差旅费、会议费、福利费、日常维修费、专用资料及一般设备购置费、办公用房水电费、办公用房取暖费、办公用房物业管理费、公务用车运行维护费以及其他费用。</w:t>
      </w:r>
    </w:p>
    <w:p w14:paraId="372CE376">
      <w:pPr>
        <w:widowControl/>
        <w:spacing w:line="600" w:lineRule="exact"/>
        <w:ind w:firstLine="643" w:firstLineChars="200"/>
        <w:rPr>
          <w:rFonts w:ascii="仿宋" w:hAnsi="仿宋" w:eastAsia="仿宋" w:cs="仿宋"/>
          <w:kern w:val="0"/>
          <w:sz w:val="32"/>
          <w:szCs w:val="32"/>
        </w:rPr>
      </w:pPr>
      <w:r>
        <w:rPr>
          <w:rFonts w:hint="eastAsia" w:ascii="仿宋" w:hAnsi="仿宋" w:eastAsia="仿宋" w:cs="仿宋"/>
          <w:b/>
          <w:bCs/>
          <w:kern w:val="0"/>
          <w:sz w:val="32"/>
          <w:szCs w:val="32"/>
        </w:rPr>
        <w:t>2、“三公”经费：</w:t>
      </w:r>
      <w:r>
        <w:rPr>
          <w:rFonts w:hint="eastAsia" w:ascii="仿宋" w:hAnsi="仿宋" w:eastAsia="仿宋" w:cs="仿宋"/>
          <w:kern w:val="0"/>
          <w:sz w:val="32"/>
          <w:szCs w:val="32"/>
        </w:rPr>
        <w:t xml:space="preserve">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               </w:t>
      </w:r>
    </w:p>
    <w:p w14:paraId="11C0491B">
      <w:pPr>
        <w:widowControl/>
        <w:spacing w:line="600" w:lineRule="exact"/>
        <w:ind w:firstLine="640" w:firstLineChars="200"/>
        <w:jc w:val="center"/>
        <w:rPr>
          <w:rFonts w:ascii="仿宋" w:hAnsi="仿宋" w:eastAsia="仿宋" w:cs="仿宋"/>
          <w:kern w:val="0"/>
          <w:sz w:val="32"/>
          <w:szCs w:val="32"/>
        </w:rPr>
      </w:pPr>
      <w:r>
        <w:rPr>
          <w:rFonts w:hint="eastAsia" w:ascii="仿宋" w:hAnsi="仿宋" w:eastAsia="仿宋" w:cs="仿宋"/>
          <w:kern w:val="0"/>
          <w:sz w:val="32"/>
          <w:szCs w:val="32"/>
        </w:rPr>
        <w:br w:type="page"/>
      </w:r>
      <w:r>
        <w:rPr>
          <w:rFonts w:hint="eastAsia" w:ascii="方正小标宋简体" w:hAnsi="方正小标宋简体" w:eastAsia="方正小标宋简体" w:cs="方正小标宋简体"/>
          <w:kern w:val="0"/>
          <w:sz w:val="36"/>
          <w:szCs w:val="36"/>
        </w:rPr>
        <w:t>第二部分  单位预算公开表格</w:t>
      </w:r>
    </w:p>
    <w:p w14:paraId="506EA5EF">
      <w:pPr>
        <w:widowControl/>
        <w:jc w:val="center"/>
        <w:rPr>
          <w:rFonts w:hint="eastAsia" w:ascii="仿宋" w:hAnsi="仿宋" w:eastAsia="仿宋" w:cs="仿宋"/>
          <w:kern w:val="0"/>
          <w:sz w:val="32"/>
          <w:szCs w:val="32"/>
        </w:rPr>
      </w:pPr>
    </w:p>
    <w:p w14:paraId="5DFA99B5">
      <w:pPr>
        <w:widowControl/>
        <w:jc w:val="center"/>
        <w:rPr>
          <w:rFonts w:ascii="仿宋" w:hAnsi="仿宋" w:eastAsia="仿宋" w:cs="仿宋"/>
          <w:kern w:val="0"/>
          <w:sz w:val="32"/>
          <w:szCs w:val="32"/>
        </w:rPr>
      </w:pPr>
      <w:r>
        <w:rPr>
          <w:rFonts w:hint="eastAsia" w:ascii="仿宋" w:hAnsi="仿宋" w:eastAsia="仿宋" w:cs="仿宋"/>
          <w:kern w:val="0"/>
          <w:sz w:val="32"/>
          <w:szCs w:val="32"/>
        </w:rPr>
        <w:t>附件：岳阳县农业广播电视学校2023年度单位预算表</w:t>
      </w:r>
    </w:p>
    <w:p w14:paraId="112565E9">
      <w:pPr>
        <w:widowControl/>
        <w:spacing w:line="600" w:lineRule="exact"/>
        <w:ind w:firstLine="11520" w:firstLineChars="3600"/>
        <w:rPr>
          <w:rFonts w:ascii="仿宋" w:hAnsi="仿宋" w:eastAsia="仿宋" w:cs="仿宋"/>
          <w:kern w:val="0"/>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0276C29-CEE2-4F53-A1DE-F26182EA9B9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92330EC6-4E98-4093-8348-F67C06FA6515}"/>
  </w:font>
  <w:font w:name="方正小标宋简体">
    <w:panose1 w:val="02000000000000000000"/>
    <w:charset w:val="86"/>
    <w:family w:val="auto"/>
    <w:pitch w:val="default"/>
    <w:sig w:usb0="A00002BF" w:usb1="184F6CFA" w:usb2="00000012" w:usb3="00000000" w:csb0="00040001" w:csb1="00000000"/>
    <w:embedRegular r:id="rId3" w:fontKey="{AB47469F-9244-4EFE-8B42-DE1E68B9D43C}"/>
  </w:font>
  <w:font w:name="楷体_GB2312">
    <w:panose1 w:val="02010609030101010101"/>
    <w:charset w:val="86"/>
    <w:family w:val="auto"/>
    <w:pitch w:val="default"/>
    <w:sig w:usb0="00000001" w:usb1="080E0000" w:usb2="00000000" w:usb3="00000000" w:csb0="00040000" w:csb1="00000000"/>
    <w:embedRegular r:id="rId4" w:fontKey="{57DFF244-9A42-47ED-831E-E12E0845E6B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347CAE">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83C038">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EF0716">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AAA0F5">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C43D7B">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AB8398">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TrueTypeFonts/>
  <w:saveSubset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g2ZGYxNmQ1YmU5MGMzMTM5NzQ1NGI5OTg1NjRmYTYifQ=="/>
  </w:docVars>
  <w:rsids>
    <w:rsidRoot w:val="00CA5057"/>
    <w:rsid w:val="00001697"/>
    <w:rsid w:val="000034D6"/>
    <w:rsid w:val="0006270B"/>
    <w:rsid w:val="00065DA2"/>
    <w:rsid w:val="00117900"/>
    <w:rsid w:val="001336FC"/>
    <w:rsid w:val="00193395"/>
    <w:rsid w:val="001A0136"/>
    <w:rsid w:val="001A3382"/>
    <w:rsid w:val="001A3861"/>
    <w:rsid w:val="001A6377"/>
    <w:rsid w:val="001C6E63"/>
    <w:rsid w:val="001D154A"/>
    <w:rsid w:val="001F365A"/>
    <w:rsid w:val="00203B0A"/>
    <w:rsid w:val="0025517E"/>
    <w:rsid w:val="00270E85"/>
    <w:rsid w:val="002B0968"/>
    <w:rsid w:val="002C117B"/>
    <w:rsid w:val="002E75D0"/>
    <w:rsid w:val="002F5747"/>
    <w:rsid w:val="002F57F8"/>
    <w:rsid w:val="00344D3D"/>
    <w:rsid w:val="003457B4"/>
    <w:rsid w:val="00355284"/>
    <w:rsid w:val="003C0AE2"/>
    <w:rsid w:val="003C0E16"/>
    <w:rsid w:val="003C62F5"/>
    <w:rsid w:val="003E6642"/>
    <w:rsid w:val="00452611"/>
    <w:rsid w:val="00464A20"/>
    <w:rsid w:val="00466617"/>
    <w:rsid w:val="004711E9"/>
    <w:rsid w:val="00490880"/>
    <w:rsid w:val="0049696B"/>
    <w:rsid w:val="004A0D4C"/>
    <w:rsid w:val="004A798F"/>
    <w:rsid w:val="004B4F1A"/>
    <w:rsid w:val="004B766D"/>
    <w:rsid w:val="004D0879"/>
    <w:rsid w:val="004E302C"/>
    <w:rsid w:val="0054440F"/>
    <w:rsid w:val="005E6320"/>
    <w:rsid w:val="006137D9"/>
    <w:rsid w:val="00617392"/>
    <w:rsid w:val="00637664"/>
    <w:rsid w:val="00687143"/>
    <w:rsid w:val="00695750"/>
    <w:rsid w:val="006C1259"/>
    <w:rsid w:val="006E013D"/>
    <w:rsid w:val="006E335E"/>
    <w:rsid w:val="006F2FD2"/>
    <w:rsid w:val="00714685"/>
    <w:rsid w:val="00754296"/>
    <w:rsid w:val="00755471"/>
    <w:rsid w:val="007B0161"/>
    <w:rsid w:val="007C48A3"/>
    <w:rsid w:val="00812DE3"/>
    <w:rsid w:val="00832EBB"/>
    <w:rsid w:val="008459F5"/>
    <w:rsid w:val="008511BD"/>
    <w:rsid w:val="00854FCA"/>
    <w:rsid w:val="0085589C"/>
    <w:rsid w:val="008827C7"/>
    <w:rsid w:val="00893563"/>
    <w:rsid w:val="008974A0"/>
    <w:rsid w:val="008C1057"/>
    <w:rsid w:val="008E61DB"/>
    <w:rsid w:val="008E6571"/>
    <w:rsid w:val="009143CB"/>
    <w:rsid w:val="0093410B"/>
    <w:rsid w:val="00990520"/>
    <w:rsid w:val="00995AF1"/>
    <w:rsid w:val="009D1CA3"/>
    <w:rsid w:val="009D450C"/>
    <w:rsid w:val="009E5041"/>
    <w:rsid w:val="009E5895"/>
    <w:rsid w:val="009E7921"/>
    <w:rsid w:val="00A0350C"/>
    <w:rsid w:val="00A03C0E"/>
    <w:rsid w:val="00A867C6"/>
    <w:rsid w:val="00AA481C"/>
    <w:rsid w:val="00AB576D"/>
    <w:rsid w:val="00AB6861"/>
    <w:rsid w:val="00AC160E"/>
    <w:rsid w:val="00B0403C"/>
    <w:rsid w:val="00B21CBD"/>
    <w:rsid w:val="00B366B4"/>
    <w:rsid w:val="00B82665"/>
    <w:rsid w:val="00BC04D7"/>
    <w:rsid w:val="00BE4229"/>
    <w:rsid w:val="00BF5A08"/>
    <w:rsid w:val="00C36022"/>
    <w:rsid w:val="00C5316A"/>
    <w:rsid w:val="00CA5057"/>
    <w:rsid w:val="00CB1E6F"/>
    <w:rsid w:val="00CB5C8F"/>
    <w:rsid w:val="00CF2BA3"/>
    <w:rsid w:val="00D1730A"/>
    <w:rsid w:val="00D279D7"/>
    <w:rsid w:val="00D60DAB"/>
    <w:rsid w:val="00D75CFA"/>
    <w:rsid w:val="00D84D40"/>
    <w:rsid w:val="00D96317"/>
    <w:rsid w:val="00DB63BF"/>
    <w:rsid w:val="00DD2BA7"/>
    <w:rsid w:val="00DD573A"/>
    <w:rsid w:val="00E01BD5"/>
    <w:rsid w:val="00E179D0"/>
    <w:rsid w:val="00E24DC7"/>
    <w:rsid w:val="00E419D9"/>
    <w:rsid w:val="00E5547E"/>
    <w:rsid w:val="00E75085"/>
    <w:rsid w:val="00EA5C43"/>
    <w:rsid w:val="00EC052E"/>
    <w:rsid w:val="00F05F5B"/>
    <w:rsid w:val="00F06D7F"/>
    <w:rsid w:val="00F078E9"/>
    <w:rsid w:val="00F24836"/>
    <w:rsid w:val="00F36C19"/>
    <w:rsid w:val="00F672C2"/>
    <w:rsid w:val="00F74B02"/>
    <w:rsid w:val="00FB0434"/>
    <w:rsid w:val="00FB1B41"/>
    <w:rsid w:val="00FB3CC9"/>
    <w:rsid w:val="00FE2E8C"/>
    <w:rsid w:val="01085094"/>
    <w:rsid w:val="021C5B94"/>
    <w:rsid w:val="02DF562C"/>
    <w:rsid w:val="032D48E5"/>
    <w:rsid w:val="039837D0"/>
    <w:rsid w:val="04497920"/>
    <w:rsid w:val="069419C6"/>
    <w:rsid w:val="08281851"/>
    <w:rsid w:val="0AF15A72"/>
    <w:rsid w:val="0C0C6008"/>
    <w:rsid w:val="0C4F7AFC"/>
    <w:rsid w:val="0D5B6622"/>
    <w:rsid w:val="0E064421"/>
    <w:rsid w:val="0ED234CD"/>
    <w:rsid w:val="0F654CC7"/>
    <w:rsid w:val="0F9E0A26"/>
    <w:rsid w:val="10E26E59"/>
    <w:rsid w:val="15D9563A"/>
    <w:rsid w:val="17BF74E2"/>
    <w:rsid w:val="19420C90"/>
    <w:rsid w:val="19D5374E"/>
    <w:rsid w:val="1AC31CB7"/>
    <w:rsid w:val="1BEF6124"/>
    <w:rsid w:val="1F1F1226"/>
    <w:rsid w:val="23354C6F"/>
    <w:rsid w:val="26570D53"/>
    <w:rsid w:val="27D848B8"/>
    <w:rsid w:val="28F73780"/>
    <w:rsid w:val="2CDB483B"/>
    <w:rsid w:val="2FC40521"/>
    <w:rsid w:val="3405688C"/>
    <w:rsid w:val="34E11E02"/>
    <w:rsid w:val="358C5709"/>
    <w:rsid w:val="388764A3"/>
    <w:rsid w:val="3BC82B6A"/>
    <w:rsid w:val="3E4D3BDD"/>
    <w:rsid w:val="41BE7C82"/>
    <w:rsid w:val="41DA7DB9"/>
    <w:rsid w:val="42710726"/>
    <w:rsid w:val="447637E8"/>
    <w:rsid w:val="48C9414A"/>
    <w:rsid w:val="49EF4858"/>
    <w:rsid w:val="4AE9742D"/>
    <w:rsid w:val="4BA67C06"/>
    <w:rsid w:val="4CA46ED7"/>
    <w:rsid w:val="4D013E21"/>
    <w:rsid w:val="4D8D7228"/>
    <w:rsid w:val="4DDD2C7F"/>
    <w:rsid w:val="4F1826FF"/>
    <w:rsid w:val="506C2AB0"/>
    <w:rsid w:val="53344C63"/>
    <w:rsid w:val="55295806"/>
    <w:rsid w:val="55D3446A"/>
    <w:rsid w:val="593F63D3"/>
    <w:rsid w:val="5B423ECD"/>
    <w:rsid w:val="5CDA4DA9"/>
    <w:rsid w:val="62820F98"/>
    <w:rsid w:val="64035B71"/>
    <w:rsid w:val="64DB31B9"/>
    <w:rsid w:val="681842B0"/>
    <w:rsid w:val="6AE87D9C"/>
    <w:rsid w:val="6F8561D3"/>
    <w:rsid w:val="70271B5B"/>
    <w:rsid w:val="71AC0C24"/>
    <w:rsid w:val="773C67F0"/>
    <w:rsid w:val="7DFA5EB0"/>
    <w:rsid w:val="7E3E7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qFormat/>
    <w:uiPriority w:val="99"/>
    <w:pPr>
      <w:spacing w:before="120" w:after="200" w:line="276" w:lineRule="auto"/>
    </w:pPr>
    <w:rPr>
      <w:rFonts w:ascii="Arial" w:hAnsi="Arial"/>
      <w:sz w:val="24"/>
    </w:rPr>
  </w:style>
  <w:style w:type="paragraph" w:styleId="3">
    <w:name w:val="Body Text"/>
    <w:basedOn w:val="1"/>
    <w:link w:val="11"/>
    <w:qFormat/>
    <w:uiPriority w:val="0"/>
    <w:pPr>
      <w:spacing w:after="120"/>
    </w:pPr>
  </w:style>
  <w:style w:type="paragraph" w:styleId="4">
    <w:name w:val="Date"/>
    <w:basedOn w:val="1"/>
    <w:next w:val="1"/>
    <w:link w:val="12"/>
    <w:qFormat/>
    <w:uiPriority w:val="0"/>
    <w:pPr>
      <w:ind w:left="100" w:leftChars="2500"/>
    </w:pPr>
  </w:style>
  <w:style w:type="paragraph" w:styleId="5">
    <w:name w:val="Balloon Text"/>
    <w:basedOn w:val="1"/>
    <w:link w:val="13"/>
    <w:semiHidden/>
    <w:qFormat/>
    <w:uiPriority w:val="0"/>
    <w:rPr>
      <w:sz w:val="18"/>
      <w:szCs w:val="18"/>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jc w:val="left"/>
    </w:pPr>
    <w:rPr>
      <w:kern w:val="0"/>
      <w:sz w:val="24"/>
    </w:rPr>
  </w:style>
  <w:style w:type="character" w:customStyle="1" w:styleId="11">
    <w:name w:val="正文文本 Char"/>
    <w:basedOn w:val="10"/>
    <w:link w:val="3"/>
    <w:qFormat/>
    <w:locked/>
    <w:uiPriority w:val="0"/>
    <w:rPr>
      <w:rFonts w:eastAsia="宋体"/>
      <w:kern w:val="2"/>
      <w:sz w:val="21"/>
      <w:szCs w:val="21"/>
      <w:lang w:val="en-US" w:eastAsia="zh-CN" w:bidi="ar-SA"/>
    </w:rPr>
  </w:style>
  <w:style w:type="character" w:customStyle="1" w:styleId="12">
    <w:name w:val="日期 Char"/>
    <w:basedOn w:val="10"/>
    <w:link w:val="4"/>
    <w:qFormat/>
    <w:locked/>
    <w:uiPriority w:val="0"/>
    <w:rPr>
      <w:rFonts w:eastAsia="宋体"/>
      <w:kern w:val="2"/>
      <w:sz w:val="21"/>
      <w:szCs w:val="21"/>
      <w:lang w:val="en-US" w:eastAsia="zh-CN" w:bidi="ar-SA"/>
    </w:rPr>
  </w:style>
  <w:style w:type="character" w:customStyle="1" w:styleId="13">
    <w:name w:val="批注框文本 Char"/>
    <w:basedOn w:val="10"/>
    <w:link w:val="5"/>
    <w:qFormat/>
    <w:locked/>
    <w:uiPriority w:val="0"/>
    <w:rPr>
      <w:rFonts w:eastAsia="宋体"/>
      <w:kern w:val="2"/>
      <w:sz w:val="18"/>
      <w:szCs w:val="18"/>
      <w:lang w:val="en-US" w:eastAsia="zh-CN" w:bidi="ar-SA"/>
    </w:rPr>
  </w:style>
  <w:style w:type="character" w:customStyle="1" w:styleId="14">
    <w:name w:val="页脚 Char"/>
    <w:basedOn w:val="10"/>
    <w:link w:val="6"/>
    <w:qFormat/>
    <w:locked/>
    <w:uiPriority w:val="0"/>
    <w:rPr>
      <w:rFonts w:eastAsia="宋体"/>
      <w:kern w:val="2"/>
      <w:sz w:val="18"/>
      <w:szCs w:val="18"/>
      <w:lang w:val="en-US" w:eastAsia="zh-CN" w:bidi="ar-SA"/>
    </w:rPr>
  </w:style>
  <w:style w:type="character" w:customStyle="1" w:styleId="15">
    <w:name w:val="页眉 Char"/>
    <w:basedOn w:val="10"/>
    <w:link w:val="7"/>
    <w:qFormat/>
    <w:locked/>
    <w:uiPriority w:val="0"/>
    <w:rPr>
      <w:rFonts w:eastAsia="宋体"/>
      <w:kern w:val="2"/>
      <w:sz w:val="18"/>
      <w:szCs w:val="18"/>
      <w:lang w:val="en-US" w:eastAsia="zh-CN" w:bidi="ar-SA"/>
    </w:rPr>
  </w:style>
  <w:style w:type="paragraph" w:customStyle="1" w:styleId="16">
    <w:name w:val="表格内容"/>
    <w:basedOn w:val="3"/>
    <w:qFormat/>
    <w:uiPriority w:val="0"/>
    <w:pPr>
      <w:suppressLineNumbers/>
      <w:suppressAutoHyphens/>
      <w:jc w:val="left"/>
    </w:pPr>
    <w:rPr>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 Corporation</Company>
  <Pages>9</Pages>
  <Words>2234</Words>
  <Characters>2412</Characters>
  <Lines>17</Lines>
  <Paragraphs>5</Paragraphs>
  <TotalTime>7</TotalTime>
  <ScaleCrop>false</ScaleCrop>
  <LinksUpToDate>false</LinksUpToDate>
  <CharactersWithSpaces>2437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2018-08-09T00:21:00Z</dcterms:created>
  <dc:creator>周继恩 10.105.113.143</dc:creator>
  <cp:lastModifiedBy>小泽。</cp:lastModifiedBy>
  <cp:lastPrinted>2019-05-05T07:55:00Z</cp:lastPrinted>
  <dcterms:modified xsi:type="dcterms:W3CDTF">2024-07-17T07:13:58Z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D48782824F624736A7C1A543A9C8D266_13</vt:lpwstr>
  </property>
</Properties>
</file>