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DB12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自评报告</w:t>
      </w:r>
    </w:p>
    <w:p w14:paraId="6A2484BE"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75FDFA2"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以来，全县宣传思想文化战线在县委、县政府的坚强领导下，深入学习贯彻习近平文化思想和习近平总书记关于精神文明建设、意识形态等工作的重要论述，坚决贯彻落实党中央重大决策部署和省、市、县委工作要求，全县落实主体责任更加有力，主流思想舆论持续壮大，乡村移风易俗稳步向好，为全县经济社会高质量发展奠定了坚实的思想基础，创造了良好的人文环境。</w:t>
      </w:r>
    </w:p>
    <w:p w14:paraId="2FAF4331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一、工作目标</w:t>
      </w:r>
    </w:p>
    <w:p w14:paraId="5615F375">
      <w:pPr>
        <w:widowControl w:val="0"/>
        <w:kinsoku/>
        <w:autoSpaceDE/>
        <w:autoSpaceDN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2"/>
          <w:sz w:val="32"/>
          <w:szCs w:val="32"/>
          <w:lang w:eastAsia="zh-CN"/>
        </w:rPr>
        <w:t>年主要工作预期目标内容：</w:t>
      </w:r>
    </w:p>
    <w:p w14:paraId="3006EF84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/>
        </w:rPr>
        <w:t>深化拓展群众性精神文明系列创建；</w:t>
      </w:r>
    </w:p>
    <w:p w14:paraId="095681B1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2.开展移风易俗工作督查，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/>
        </w:rPr>
        <w:t>促进移风易俗常态长效；</w:t>
      </w:r>
    </w:p>
    <w:p w14:paraId="2F72772F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/>
        </w:rPr>
        <w:t>广泛开展文明实践志愿服务活动；</w:t>
      </w:r>
    </w:p>
    <w:p w14:paraId="4FB6F429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抓好省委第五巡视组意识形态（移风易俗）工作专项检查反馈问题的整改工作。</w:t>
      </w:r>
    </w:p>
    <w:p w14:paraId="0E28A672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5.定期提请县委常委会专题研究意识形态和移风易俗工作，举办全县意识形态业务培训班，定期分析研判意识形态领域形势。</w:t>
      </w:r>
    </w:p>
    <w:p w14:paraId="770C0DA9"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6.严格落实意识形态工作责任制，抓好党委（党组）理论学习中心组学习，不出现重大意识形态问题，完成上级部门的安排部署的工作和考核任务。</w:t>
      </w:r>
    </w:p>
    <w:p w14:paraId="2E902D92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二、工作做法及成效</w:t>
      </w:r>
    </w:p>
    <w:p w14:paraId="0C08E99D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坚持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高位推动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，统筹推进文明建设。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、县政府高度重视农村精神文明建设工作，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县委书记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、县长、县委副书记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亲自抓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，在三级干部会、半年度工作讲评会、文明创建工作部署会、推进会上多次强调此项工作。县委宣传部、</w:t>
      </w:r>
      <w:r>
        <w:rPr>
          <w:rFonts w:hint="eastAsia" w:ascii="仿宋_GB2312" w:hAnsi="仿宋_GB2312" w:eastAsia="仿宋_GB2312" w:cs="仿宋_GB2312"/>
          <w:sz w:val="32"/>
          <w:szCs w:val="32"/>
        </w:rPr>
        <w:t>县文明办下发了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2023年移风易俗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工作要点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单位按要求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制订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工作落实方案，召开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一次全体干部职工及所属单位、所辖区域负责人会，人人签订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规定了婚丧喜庆事宜原则、标准、措施，完善考核机制，将移风易俗纳入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党建责任制、文明创建等各项考评体系。坚持把文明村镇创建作为推动改善农村环境面貌，提升群众文明素养，引领社会风尚的有效途径。县文明办进一步健全文明村镇、文明家庭创建的申报、考核和管理等制度，定期开展创建工作业务培训，全县文明村镇创建工作逐步规范化、制度化。通过系列创建活动的开展，在全社会营造了向善向上、尊重传统、弘扬正能量的浓厚氛围。全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共创有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全国文明单位4个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全国文明村3个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省级以上文明单位、村镇、社区等13个。截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目前，我县文明村占比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62%，文明乡镇占比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62.5%，文明校园创建实现全覆盖。</w:t>
      </w:r>
    </w:p>
    <w:p w14:paraId="65B3A237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.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坚持弘扬新风</w:t>
      </w:r>
      <w:r>
        <w:rPr>
          <w:rFonts w:hint="eastAsia" w:ascii="仿宋" w:hAnsi="仿宋" w:eastAsia="仿宋"/>
          <w:b/>
          <w:sz w:val="32"/>
          <w:szCs w:val="32"/>
        </w:rPr>
        <w:t>，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大力推进</w:t>
      </w:r>
      <w:r>
        <w:rPr>
          <w:rFonts w:hint="eastAsia" w:ascii="仿宋" w:hAnsi="仿宋" w:eastAsia="仿宋"/>
          <w:b/>
          <w:sz w:val="32"/>
          <w:szCs w:val="32"/>
        </w:rPr>
        <w:t>移风易俗。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坚持力度不减、责任不松，深入开展宣传教育、倡议引导、立规明约、监督整治，建立健全长效机制，促进良好家风、淳朴民风、文明乡风的形成。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一是持续做好引导婚事新办、坚持丧事简办、倡导余事不办。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通过定规矩、破陋习、树新风，强化村民自治，各行政村（社区）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按程序建立健全“一约四会一队”群众自治组织及其章程，结合实际，界定事宜种类、宴请范围、宴请桌数、礼金标准、桌席标准、禁止事项、违约责任等内容，使其更具操作性。同时倡导各地积极开展集体送学、参军，使人情债“减负”，人情味更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年以来，劝导婚事新办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800余</w:t>
      </w:r>
      <w:r>
        <w:rPr>
          <w:rFonts w:hint="eastAsia" w:ascii="仿宋_GB2312" w:hAnsi="仿宋_GB2312" w:eastAsia="仿宋_GB2312" w:cs="仿宋_GB2312"/>
          <w:sz w:val="32"/>
          <w:szCs w:val="32"/>
        </w:rPr>
        <w:t>件、丧事简办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1000余</w:t>
      </w:r>
      <w:r>
        <w:rPr>
          <w:rFonts w:hint="eastAsia" w:ascii="仿宋_GB2312" w:hAnsi="仿宋_GB2312" w:eastAsia="仿宋_GB2312" w:cs="仿宋_GB2312"/>
          <w:sz w:val="32"/>
          <w:szCs w:val="32"/>
        </w:rPr>
        <w:t>件、余事不办3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</w:rPr>
        <w:t>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二是持续开展“五类人员”违规人情宴专项整治。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联合纪委监委</w:t>
      </w:r>
      <w:r>
        <w:rPr>
          <w:rFonts w:hint="eastAsia" w:ascii="仿宋_GB2312" w:hAnsi="仿宋_GB2312" w:eastAsia="仿宋_GB2312" w:cs="仿宋_GB2312"/>
          <w:sz w:val="32"/>
          <w:szCs w:val="32"/>
        </w:rPr>
        <w:t>出台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《全县开展“五类人员”违规人情宴专项整治》的方案，向全社会公开举报电话，对举报提供线索者进行奖励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</w:rPr>
        <w:t>重点查处“五类”人员操办或接受请托为他人操办，或参加非亲属操办的除婚丧以外的其他事宜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，对违规人情宴一律“一案三查”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“五类”人员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都签订了承诺书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</w:t>
      </w:r>
      <w:r>
        <w:rPr>
          <w:rFonts w:hint="eastAsia" w:ascii="仿宋_GB2312" w:hAnsi="仿宋_GB2312" w:eastAsia="仿宋_GB2312" w:cs="仿宋_GB2312"/>
          <w:sz w:val="32"/>
          <w:szCs w:val="32"/>
        </w:rPr>
        <w:t>县纪委监委、县市场监管局等单位组成专门暗访督查组，每季度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不定期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开展一次督查，重点查宾馆酒店、乡镇主要公路沿线和集镇等，既查违规人情宴举办者，也查参与者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，强化了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三是大力推进殡葬改革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了对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“三沿六区”整治力度，对“豪华墓”““活人墓”进行分类治理。按照省委巡视反馈的我县硬化大墓、“活人墓”整治方面问题和全市硬化大墓、“活人墓”整治“回头看”专项行动部署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我县对排查出的“活人墓”一律拆除，对硬化大墓分别采取“迁拆、埋、挡”的方式进行整治，在 2022 年整治 4031 座硬化大墓“活人墓”的基础上，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年全县共整治违建墓葬 801 座，其中拆除“活人墓”227座，整治已葬墓 574 座，全县主干公路、铁路两侧可视范围内已整治到位。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四是深入开展弘扬时代新风、培育“新风项目”、 践行“健康生活”三大文明行动。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积极开展先进典型选树推介，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选树了谢斌等一批新时代典型模范人物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3人获评“中国好人”，22人获评“湖南好人”，16人获评市级以上道德模范，《岳阳县“四处”着力，共筑“好人之城”》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《湖南宣传》刊发。</w:t>
      </w:r>
      <w:r>
        <w:rPr>
          <w:rFonts w:hint="eastAsia" w:ascii="仿宋_GB2312" w:hAnsi="仿宋_GB2312" w:eastAsia="仿宋_GB2312" w:cs="仿宋_GB2312"/>
          <w:sz w:val="32"/>
          <w:szCs w:val="32"/>
        </w:rPr>
        <w:t>广泛开展文明旅游、文明交通、诚信建设、文明餐桌、网络文明传播等文明实践活动，弘扬传统美德，传播正能量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切实加强对移风易俗的宣传教育引导和专项治理、考核执纪。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2023年12月27日，高标准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召开移风易俗工作推进会。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是加强村民自治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探索建立长效机制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完善村规民约、红白理事会、“红黑榜”等制度，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采取“积分制”+“红黑榜”+“文明积分超市”的措施，鼓励村民“争着干”，带动民风社风向上向善转变。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，配合县政协在</w:t>
      </w:r>
      <w:r>
        <w:rPr>
          <w:rFonts w:hint="eastAsia" w:ascii="仿宋_GB2312" w:hAnsi="仿宋_GB2312" w:eastAsia="仿宋_GB2312" w:cs="仿宋_GB2312"/>
          <w:sz w:val="32"/>
          <w:szCs w:val="32"/>
        </w:rPr>
        <w:t>黄沙街镇三和村再茂片、大明村山罗屋场，以及步仙镇、柏祥镇、新墙镇、荣家湾镇鹿角片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推进丧事简办助力文明创建现场工作调研走访会，为</w:t>
      </w:r>
      <w:r>
        <w:rPr>
          <w:rFonts w:hint="eastAsia" w:ascii="仿宋_GB2312" w:hAnsi="仿宋_GB2312" w:eastAsia="仿宋_GB2312" w:cs="仿宋_GB2312"/>
          <w:sz w:val="32"/>
          <w:szCs w:val="32"/>
        </w:rPr>
        <w:t>助力我县全国文明城市创建活动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及探索建立推进丧事简办长效机制提供了依据。</w:t>
      </w:r>
    </w:p>
    <w:p w14:paraId="064F6380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3.坚持群众主体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，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持续深化文明实践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全县15个文明实践所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196个文明实践站建设均按照“五有”标准实现全覆盖。县文明实践中心和各乡镇所站充分发挥志愿服务主体和主导作用，围绕实践科学理论、宣传宣讲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习近平新时代中国特色社会主义思想</w:t>
      </w:r>
      <w:r>
        <w:rPr>
          <w:rFonts w:hint="eastAsia" w:ascii="仿宋_GB2312" w:hAnsi="仿宋_GB2312" w:eastAsia="仿宋_GB2312" w:cs="仿宋_GB2312"/>
          <w:sz w:val="32"/>
          <w:szCs w:val="32"/>
        </w:rPr>
        <w:t>、帮扶弱势群体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助力乡村振兴等，组织开展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文明实践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</w:rPr>
        <w:t>余场次，募捐助学资金与物资400余万元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常态化志愿服务蔚然成风，文明实践日渐融入群众的日常生活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新墙镇获评全省新时代文明实践示范所，筻口镇“农家夜话”文明实践案例获评全省文明实践经典案例，《新湘评论》刊发我县理论文章《放大文明实践效应，全力赋能乡村振兴》。</w:t>
      </w:r>
    </w:p>
    <w:p w14:paraId="25A693D3">
      <w:pPr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4.坚持责任引领，认真抓好问题整改。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认真抓好了2022年省委第五巡视组意识形态工作专项检查反馈的22个问题整改工作和2023年省委第六巡视组反馈岳阳市涉我县移风易俗和意识形态工作问题，组织召开整改工作动员会、部署会、调度会4次，开展督查4次，与省委宣传部意识形态工作处对接3次，与市委宣传部对接6次，全面完成所有问题销号。</w:t>
      </w:r>
    </w:p>
    <w:p w14:paraId="56504FFC">
      <w:pPr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5.坚持从严从紧，切实落实各项制度。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请县委常委会专题研究意识形态工作2次，举办全县意识形态工作业务培训班，召开全县国家安全文化领域暨意识形态领域分析研判会，对全县所有乡镇和23家县直重点单位开展1次意识形态工作专项督查，结合县委巡察组织对27个县直单位和乡镇同步开展了意识形态工作专项检查。</w:t>
      </w:r>
    </w:p>
    <w:p w14:paraId="1A059AF8">
      <w:pPr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6.坚持提升质量，扎实推进理论工作。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排县委理论学习中心组开展集体（含扩大）学习12次，建立了全县“第一议题”学习工作提示和基层党组织理论学习中心组学习月报告制度，开展了1次“第一议题”和党委理论学习中心组制度落实情况专项督导，组织拍摄理论宣讲微视频《加力数字经济，推动高质量发展》，参与全市“与理有岳·新思想青年说”青年理论宣讲微视频大赛获评三等奖。</w:t>
      </w:r>
    </w:p>
    <w:p w14:paraId="3400802C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三、存在的问题及建议</w:t>
      </w:r>
    </w:p>
    <w:p w14:paraId="74188FB2">
      <w:pPr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仿宋_GB2312" w:hAnsi="Times New Roman" w:eastAsia="仿宋_GB2312" w:cs="Times New Roman"/>
          <w:sz w:val="32"/>
          <w:szCs w:val="32"/>
        </w:rPr>
        <w:t>年以来，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我县在</w:t>
      </w:r>
      <w:r>
        <w:rPr>
          <w:rFonts w:hint="default" w:ascii="仿宋_GB2312" w:hAnsi="Times New Roman" w:eastAsia="仿宋_GB2312" w:cs="Times New Roman"/>
          <w:sz w:val="32"/>
          <w:szCs w:val="32"/>
        </w:rPr>
        <w:t>意识形态工作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和移风易俗工作</w:t>
      </w:r>
      <w:r>
        <w:rPr>
          <w:rFonts w:hint="default" w:ascii="仿宋_GB2312" w:hAnsi="Times New Roman" w:eastAsia="仿宋_GB2312" w:cs="Times New Roman"/>
          <w:sz w:val="32"/>
          <w:szCs w:val="32"/>
        </w:rPr>
        <w:t>取得了一定的成绩，但还存在着一些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问题</w:t>
      </w:r>
      <w:r>
        <w:rPr>
          <w:rFonts w:hint="default" w:ascii="仿宋_GB2312" w:hAnsi="Times New Roman" w:eastAsia="仿宋_GB2312" w:cs="Times New Roman"/>
          <w:sz w:val="32"/>
          <w:szCs w:val="32"/>
        </w:rPr>
        <w:t>。</w:t>
      </w:r>
    </w:p>
    <w:p w14:paraId="2C0831B5">
      <w:pPr>
        <w:ind w:firstLine="643" w:firstLineChars="200"/>
        <w:rPr>
          <w:rFonts w:hint="default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一是</w:t>
      </w:r>
      <w:r>
        <w:rPr>
          <w:rFonts w:hint="eastAsia" w:ascii="楷体_GB2312" w:hAnsi="楷体_GB2312" w:eastAsia="楷体_GB2312" w:cs="楷体_GB2312"/>
          <w:b/>
          <w:bCs/>
          <w:snapToGrid/>
          <w:color w:val="000000"/>
          <w:kern w:val="2"/>
          <w:sz w:val="32"/>
          <w:szCs w:val="32"/>
          <w:lang w:val="en-US" w:eastAsia="zh-CN"/>
        </w:rPr>
        <w:t>部分干部对意识形态和移风易俗工作认识不足，对交办和下达任务缺乏主动性，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群众的思想观念与加快发展的形势不相适应</w:t>
      </w:r>
      <w:r>
        <w:rPr>
          <w:rFonts w:hint="eastAsia" w:ascii="楷体_GB2312" w:hAnsi="楷体_GB2312" w:eastAsia="楷体_GB2312" w:cs="楷体_GB2312"/>
          <w:snapToGrid/>
          <w:color w:val="000000"/>
          <w:kern w:val="2"/>
          <w:sz w:val="32"/>
          <w:szCs w:val="32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下一步将</w:t>
      </w:r>
      <w:r>
        <w:rPr>
          <w:rFonts w:hint="default" w:ascii="仿宋_GB2312" w:hAnsi="Times New Roman" w:eastAsia="仿宋_GB2312" w:cs="Times New Roman"/>
          <w:sz w:val="32"/>
          <w:szCs w:val="32"/>
        </w:rPr>
        <w:t>进一步抓好已有的文化阵地建设，积极探索政府主导、群众参与、社会共建模式，结合乡村振兴战略，让主流意识形态在群众中落地生根，引领群众摒除陋习，转变思想观念，推动党的方针政策在基层落到实处。</w:t>
      </w:r>
    </w:p>
    <w:p w14:paraId="4F9CF4BC">
      <w:pPr>
        <w:ind w:firstLine="643" w:firstLineChars="200"/>
        <w:rPr>
          <w:rFonts w:hint="default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县文明办</w:t>
      </w: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/>
        </w:rPr>
        <w:t>人员力量不够，理教办为单人股室。基层工作人员变动频繁，业务水平不均衡，落实相关工作不够有力。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下一步将</w:t>
      </w:r>
      <w:r>
        <w:rPr>
          <w:rFonts w:hint="default" w:ascii="仿宋_GB2312" w:hAnsi="Times New Roman" w:eastAsia="仿宋_GB2312" w:cs="Times New Roman"/>
          <w:sz w:val="32"/>
          <w:szCs w:val="32"/>
        </w:rPr>
        <w:t>加强意识形态领域干部队伍建设。全面加强结构合理、数量足够、素质较高适应宣传思想工作要求的干部队伍建设，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加强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工作人员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业务学习，提升业务水平，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定期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开展业务培训，</w:t>
      </w:r>
      <w:r>
        <w:rPr>
          <w:rFonts w:hint="default" w:ascii="仿宋_GB2312" w:hAnsi="Times New Roman" w:eastAsia="仿宋_GB2312" w:cs="Times New Roman"/>
          <w:sz w:val="32"/>
          <w:szCs w:val="32"/>
        </w:rPr>
        <w:t>将工作进一步分解，将责任进一步细化，调动多方力量共同做好意识形态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和移风易俗</w:t>
      </w:r>
      <w:r>
        <w:rPr>
          <w:rFonts w:hint="default" w:ascii="仿宋_GB2312" w:hAnsi="Times New Roman" w:eastAsia="仿宋_GB2312" w:cs="Times New Roman"/>
          <w:sz w:val="32"/>
          <w:szCs w:val="32"/>
        </w:rPr>
        <w:t>工作，形成党委统一领导、部门共同参与、齐抓共管的良好氛围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仿宋_GB2312" w:hAnsi="Times New Roman" w:eastAsia="仿宋_GB2312" w:cs="Times New Roman"/>
          <w:sz w:val="32"/>
          <w:szCs w:val="32"/>
        </w:rPr>
        <w:t>确保形成工作合力。</w:t>
      </w:r>
    </w:p>
    <w:p w14:paraId="03423773">
      <w:pPr>
        <w:ind w:firstLine="643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eastAsia="zh-CN"/>
        </w:rPr>
        <w:t>三是意识形态和移风易俗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工作任务重，工作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经费投入有限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下一步我们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将</w:t>
      </w:r>
      <w:r>
        <w:rPr>
          <w:rFonts w:hint="eastAsia" w:ascii="仿宋_GB2312" w:hAnsi="Times New Roman" w:eastAsia="仿宋_GB2312" w:cs="Times New Roman"/>
          <w:sz w:val="32"/>
          <w:szCs w:val="32"/>
        </w:rPr>
        <w:t>会继续加大工作力度，督促各级，特别是镇村两级加大执行落实力度，继续深化落实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意识形态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主体责任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推动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移风易俗工作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迈进更高层次。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CD0BC3-80E9-4EF1-BC58-6DB117AFB1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706B5B2-FA50-47F5-919B-35A65E2E2F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79DCD53-5499-4596-862D-BF1B204F7F1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78178F5-DA64-4700-A20E-125D031D49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35BEC4C-B106-4376-9631-F8DFF30B13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ZjQ3OGZiM2VhMTYwYzY3MzEzNzViZTZjMDcwYWQifQ=="/>
  </w:docVars>
  <w:rsids>
    <w:rsidRoot w:val="4CB24EF9"/>
    <w:rsid w:val="242B21D7"/>
    <w:rsid w:val="39FC5BB1"/>
    <w:rsid w:val="4CB24EF9"/>
    <w:rsid w:val="4DFB75D1"/>
    <w:rsid w:val="716C2A3F"/>
    <w:rsid w:val="7738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3306</Words>
  <Characters>3399</Characters>
  <Lines>0</Lines>
  <Paragraphs>0</Paragraphs>
  <TotalTime>5</TotalTime>
  <ScaleCrop>false</ScaleCrop>
  <LinksUpToDate>false</LinksUpToDate>
  <CharactersWithSpaces>3408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2024-06-21T09:06:00Z</dcterms:created>
  <dc:creator>致青春</dc:creator>
  <cp:lastModifiedBy>Mr.li</cp:lastModifiedBy>
  <dcterms:modified xsi:type="dcterms:W3CDTF">2024-06-25T02:08:14Z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D9AD35C3EFF2465CA37ED4950C959454_13</vt:lpwstr>
  </property>
</Properties>
</file>