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DB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岳阳县农村公路养护中心2023年度</w:t>
      </w:r>
    </w:p>
    <w:p w14:paraId="7ABD0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单位预算</w:t>
      </w:r>
    </w:p>
    <w:p w14:paraId="0AD33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目 录</w:t>
      </w:r>
    </w:p>
    <w:p w14:paraId="1CE05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2023年单位预算说明</w:t>
      </w:r>
    </w:p>
    <w:p w14:paraId="58190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单位预算公开表格</w:t>
      </w:r>
    </w:p>
    <w:p w14:paraId="71D3C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1、收支总表</w:t>
      </w:r>
    </w:p>
    <w:p w14:paraId="05D89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2、收入总表</w:t>
      </w:r>
    </w:p>
    <w:p w14:paraId="6FBB4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3、支出总表</w:t>
      </w:r>
    </w:p>
    <w:p w14:paraId="46F4D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4、支出预算分类汇总表（按政府预算经济分类）</w:t>
      </w:r>
    </w:p>
    <w:p w14:paraId="43DF4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5、支出预算分类汇总表（按部门预算经济分类）</w:t>
      </w:r>
    </w:p>
    <w:p w14:paraId="58567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6、财政拨款收支总表</w:t>
      </w:r>
    </w:p>
    <w:p w14:paraId="08D0E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7、一般公共预算支出表</w:t>
      </w:r>
    </w:p>
    <w:p w14:paraId="77790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8、一般公共预算基本支出表</w:t>
      </w:r>
    </w:p>
    <w:p w14:paraId="755CC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9</w:t>
      </w:r>
      <w:r>
        <w:rPr>
          <w:rFonts w:hint="eastAsia" w:ascii="微软雅黑" w:hAnsi="微软雅黑" w:eastAsia="微软雅黑" w:cs="微软雅黑"/>
          <w:i w:val="0"/>
          <w:iCs w:val="0"/>
          <w:caps w:val="0"/>
          <w:color w:val="333333"/>
          <w:spacing w:val="0"/>
          <w:sz w:val="24"/>
          <w:szCs w:val="24"/>
          <w:shd w:val="clear" w:fill="FFFFFF"/>
        </w:rPr>
        <w:t>、一般公共预算基本支出表-人员经费（工资福利支出）（按政府预算经济分类）</w:t>
      </w:r>
    </w:p>
    <w:p w14:paraId="6ED98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10</w:t>
      </w:r>
      <w:r>
        <w:rPr>
          <w:rFonts w:hint="eastAsia" w:ascii="微软雅黑" w:hAnsi="微软雅黑" w:eastAsia="微软雅黑" w:cs="微软雅黑"/>
          <w:i w:val="0"/>
          <w:iCs w:val="0"/>
          <w:caps w:val="0"/>
          <w:color w:val="333333"/>
          <w:spacing w:val="0"/>
          <w:sz w:val="24"/>
          <w:szCs w:val="24"/>
          <w:shd w:val="clear" w:fill="FFFFFF"/>
        </w:rPr>
        <w:t>、一般公共预算基本支出表-人员经费（工资福利支出）（按部门预算经济分类）</w:t>
      </w:r>
    </w:p>
    <w:p w14:paraId="16541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rPr>
        <w:t>、一般公共预算基本支出表-人员经费（对个人和家庭的补助）（按政府预算经济分类）</w:t>
      </w:r>
    </w:p>
    <w:p w14:paraId="74881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、一般公共预算基本支出表-人员经费（对个人和家庭的补助）（按部门预算经济分类）</w:t>
      </w:r>
    </w:p>
    <w:p w14:paraId="14C87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hint="eastAsia" w:ascii="微软雅黑" w:hAnsi="微软雅黑" w:eastAsia="微软雅黑" w:cs="微软雅黑"/>
          <w:i w:val="0"/>
          <w:iCs w:val="0"/>
          <w:caps w:val="0"/>
          <w:color w:val="333333"/>
          <w:spacing w:val="0"/>
          <w:sz w:val="24"/>
          <w:szCs w:val="24"/>
          <w:shd w:val="clear" w:fill="FFFFFF"/>
        </w:rPr>
        <w:t>、一般公共预算基本支出表-公用经费（商品和服务支出）（按政府预算经济分类）</w:t>
      </w:r>
    </w:p>
    <w:p w14:paraId="373EB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微软雅黑" w:hAnsi="微软雅黑" w:eastAsia="微软雅黑" w:cs="微软雅黑"/>
          <w:i w:val="0"/>
          <w:iCs w:val="0"/>
          <w:caps w:val="0"/>
          <w:color w:val="333333"/>
          <w:spacing w:val="0"/>
          <w:sz w:val="24"/>
          <w:szCs w:val="24"/>
          <w:shd w:val="clear" w:fill="FFFFFF"/>
        </w:rPr>
        <w:t>、一般公共预算基本支出表-公用经费（商品和服务支出）（按部门预算经济分类）</w:t>
      </w:r>
    </w:p>
    <w:p w14:paraId="4B938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、一般公共预算“三公”经费支出表</w:t>
      </w:r>
    </w:p>
    <w:p w14:paraId="7FB1C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eastAsia" w:ascii="微软雅黑" w:hAnsi="微软雅黑" w:eastAsia="微软雅黑" w:cs="微软雅黑"/>
          <w:i w:val="0"/>
          <w:iCs w:val="0"/>
          <w:caps w:val="0"/>
          <w:color w:val="333333"/>
          <w:spacing w:val="0"/>
          <w:sz w:val="24"/>
          <w:szCs w:val="24"/>
          <w:shd w:val="clear" w:fill="FFFFFF"/>
        </w:rPr>
        <w:t>、政府性基金预算支出表</w:t>
      </w:r>
    </w:p>
    <w:p w14:paraId="6EC84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rPr>
        <w:t>、政府性基金预算支出分类汇总表（按政府预算经济分类）</w:t>
      </w:r>
    </w:p>
    <w:p w14:paraId="13C41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8</w:t>
      </w:r>
      <w:r>
        <w:rPr>
          <w:rFonts w:hint="eastAsia" w:ascii="微软雅黑" w:hAnsi="微软雅黑" w:eastAsia="微软雅黑" w:cs="微软雅黑"/>
          <w:i w:val="0"/>
          <w:iCs w:val="0"/>
          <w:caps w:val="0"/>
          <w:color w:val="333333"/>
          <w:spacing w:val="0"/>
          <w:sz w:val="24"/>
          <w:szCs w:val="24"/>
          <w:shd w:val="clear" w:fill="FFFFFF"/>
        </w:rPr>
        <w:t>、政府性基金预算支出分类汇总表（按部门预算经济分类）</w:t>
      </w:r>
    </w:p>
    <w:p w14:paraId="0E3A7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w:t>
      </w:r>
      <w:r>
        <w:rPr>
          <w:rFonts w:hint="eastAsia" w:ascii="微软雅黑" w:hAnsi="微软雅黑" w:eastAsia="微软雅黑" w:cs="微软雅黑"/>
          <w:i w:val="0"/>
          <w:iCs w:val="0"/>
          <w:caps w:val="0"/>
          <w:color w:val="333333"/>
          <w:spacing w:val="0"/>
          <w:sz w:val="24"/>
          <w:szCs w:val="24"/>
          <w:shd w:val="clear" w:fill="FFFFFF"/>
          <w:lang w:val="en-US" w:eastAsia="zh-CN"/>
        </w:rPr>
        <w:t>9</w:t>
      </w:r>
      <w:r>
        <w:rPr>
          <w:rFonts w:hint="eastAsia" w:ascii="微软雅黑" w:hAnsi="微软雅黑" w:eastAsia="微软雅黑" w:cs="微软雅黑"/>
          <w:i w:val="0"/>
          <w:iCs w:val="0"/>
          <w:caps w:val="0"/>
          <w:color w:val="333333"/>
          <w:spacing w:val="0"/>
          <w:sz w:val="24"/>
          <w:szCs w:val="24"/>
          <w:shd w:val="clear" w:fill="FFFFFF"/>
        </w:rPr>
        <w:t>、国有资本经营预算支出表</w:t>
      </w:r>
    </w:p>
    <w:p w14:paraId="2E6F9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20</w:t>
      </w:r>
      <w:r>
        <w:rPr>
          <w:rFonts w:hint="eastAsia" w:ascii="微软雅黑" w:hAnsi="微软雅黑" w:eastAsia="微软雅黑" w:cs="微软雅黑"/>
          <w:i w:val="0"/>
          <w:iCs w:val="0"/>
          <w:caps w:val="0"/>
          <w:color w:val="333333"/>
          <w:spacing w:val="0"/>
          <w:sz w:val="24"/>
          <w:szCs w:val="24"/>
          <w:shd w:val="clear" w:fill="FFFFFF"/>
        </w:rPr>
        <w:t>、财政专户管理资金预算支出表</w:t>
      </w:r>
    </w:p>
    <w:p w14:paraId="0FBED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rPr>
        <w:t>、专项资金预算汇总表</w:t>
      </w:r>
    </w:p>
    <w:p w14:paraId="23D73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、项目支出绩效目标表</w:t>
      </w:r>
    </w:p>
    <w:p w14:paraId="71A38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w:t>
      </w: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hint="eastAsia" w:ascii="微软雅黑" w:hAnsi="微软雅黑" w:eastAsia="微软雅黑" w:cs="微软雅黑"/>
          <w:i w:val="0"/>
          <w:iCs w:val="0"/>
          <w:caps w:val="0"/>
          <w:color w:val="333333"/>
          <w:spacing w:val="0"/>
          <w:sz w:val="24"/>
          <w:szCs w:val="24"/>
          <w:shd w:val="clear" w:fill="FFFFFF"/>
        </w:rPr>
        <w:t>、部门整体支出绩效目标表</w:t>
      </w:r>
    </w:p>
    <w:p w14:paraId="6337C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注：以上单位预算公开报表中，空表表示本单位无相关收支情况。</w:t>
      </w:r>
    </w:p>
    <w:p w14:paraId="4995F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2023年部门预算说明</w:t>
      </w:r>
    </w:p>
    <w:p w14:paraId="04C0E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一、单位基本概况</w:t>
      </w:r>
    </w:p>
    <w:p w14:paraId="08453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（一）职能职责</w:t>
      </w:r>
    </w:p>
    <w:p w14:paraId="75B5F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1、宣传贯彻执行国家有关农村公路管关的法律法规，具体负责全县农村公路养护工作的管理。</w:t>
      </w:r>
    </w:p>
    <w:p w14:paraId="6BD4E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2、制订年度养护计划并按计划执行。</w:t>
      </w:r>
    </w:p>
    <w:p w14:paraId="6922B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3、加强农村公路养护巡检，制订养护目标责任，建立健全养护管理规章制度，完善管关体系。</w:t>
      </w:r>
    </w:p>
    <w:p w14:paraId="3F192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4、加强养护资金管理，实行专款专用，安全合理使用养护资金，确保农村公路养护工作正常有序开展。</w:t>
      </w:r>
    </w:p>
    <w:p w14:paraId="09E7E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5、强化公路保护意识，加强路况巡查和安全管理，及时抢修损坏严重的管养路段，保障公路畅通。</w:t>
      </w:r>
    </w:p>
    <w:p w14:paraId="23BC9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6、完成县局交办的其他工作任务。</w:t>
      </w:r>
    </w:p>
    <w:p w14:paraId="60D2C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（二）机构设置</w:t>
      </w:r>
    </w:p>
    <w:p w14:paraId="5212F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岳阳县农村公路养护中心设下列内设机构：办公室、财务股、工程股、养护股、工会。本单位没有所属二级机构，因此本年度部门预算仅为本级单位预算。</w:t>
      </w:r>
    </w:p>
    <w:p w14:paraId="170DB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二、单位收支总体情况</w:t>
      </w:r>
    </w:p>
    <w:p w14:paraId="577B8B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（一）收入预算</w:t>
      </w:r>
    </w:p>
    <w:p w14:paraId="6D5EA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包括一般公共预算、政府性基金、国有资本经营预算等财政拨款收入，以及经营收入、事业收入等单位资金。2023年本单位收入预算1,734.42万元，其中，一般公共预算拨款346.72万元，政府性基金预算拨款0万元，国有资本经营预算拨款0万元，财政专户管理资金0万元，上级补助收入0万元，事业单位经营收入0万元，上年结转1,387.70万元。本单位2023年没有纳入专户管理的非税收入拨款收入，也没有使用国有资本经营预算收入和纳入专户管理的非税收入拨款安排的支出，所以公开的附件</w:t>
      </w:r>
      <w:r>
        <w:rPr>
          <w:rFonts w:hint="eastAsia" w:ascii="微软雅黑" w:hAnsi="微软雅黑" w:eastAsia="微软雅黑" w:cs="微软雅黑"/>
          <w:i w:val="0"/>
          <w:iCs w:val="0"/>
          <w:caps w:val="0"/>
          <w:color w:val="333333"/>
          <w:spacing w:val="0"/>
          <w:sz w:val="24"/>
          <w:szCs w:val="24"/>
          <w:shd w:val="clear" w:fill="FFFFFF"/>
          <w:lang w:val="en-US" w:eastAsia="zh-CN"/>
        </w:rPr>
        <w:t>19</w:t>
      </w:r>
      <w:r>
        <w:rPr>
          <w:rFonts w:hint="eastAsia" w:ascii="微软雅黑" w:hAnsi="微软雅黑" w:eastAsia="微软雅黑" w:cs="微软雅黑"/>
          <w:i w:val="0"/>
          <w:iCs w:val="0"/>
          <w:caps w:val="0"/>
          <w:color w:val="333333"/>
          <w:spacing w:val="0"/>
          <w:sz w:val="24"/>
          <w:szCs w:val="24"/>
          <w:shd w:val="clear" w:fill="FFFFFF"/>
        </w:rPr>
        <w:t>（国有资本经营预算）、</w:t>
      </w:r>
      <w:r>
        <w:rPr>
          <w:rFonts w:hint="eastAsia" w:ascii="微软雅黑" w:hAnsi="微软雅黑" w:eastAsia="微软雅黑" w:cs="微软雅黑"/>
          <w:i w:val="0"/>
          <w:iCs w:val="0"/>
          <w:caps w:val="0"/>
          <w:color w:val="333333"/>
          <w:spacing w:val="0"/>
          <w:sz w:val="24"/>
          <w:szCs w:val="24"/>
          <w:shd w:val="clear" w:fill="FFFFFF"/>
          <w:lang w:val="en-US" w:eastAsia="zh-CN"/>
        </w:rPr>
        <w:t>20</w:t>
      </w:r>
      <w:r>
        <w:rPr>
          <w:rFonts w:hint="eastAsia" w:ascii="微软雅黑" w:hAnsi="微软雅黑" w:eastAsia="微软雅黑" w:cs="微软雅黑"/>
          <w:i w:val="0"/>
          <w:iCs w:val="0"/>
          <w:caps w:val="0"/>
          <w:color w:val="333333"/>
          <w:spacing w:val="0"/>
          <w:sz w:val="24"/>
          <w:szCs w:val="24"/>
          <w:shd w:val="clear" w:fill="FFFFFF"/>
        </w:rPr>
        <w:t>表（财政专户管理资金预算）均为空。收入较去年增加1405.17万元，主要是因为本年度将上年结转收入纳入了单位预算公开范围。</w:t>
      </w:r>
    </w:p>
    <w:p w14:paraId="1EB14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（二）支出预算</w:t>
      </w:r>
    </w:p>
    <w:p w14:paraId="43783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2023年本单位支出预算1,734.42万元，其中，一般公共服务支出8.23万元，社会保障和就业支出22.37万元，卫生健康支出12.50万元，城乡社区支出631.10万元，交通运输支出1,044.42万元，住房保障支出15.79万元。支出较去年增加1405.17万元，其中基本支出减少84.84万元，项目支出增加1,489.91万元。其中基本支出较上年减少主要是因为部分人员经费今年以项目支出预算编制下达，项目支出增加主要是因为本年度将上年结转资金安排的支出纳入了单位预算公开范围。</w:t>
      </w:r>
    </w:p>
    <w:p w14:paraId="5C616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20E96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三、一般公共预算拨款支出</w:t>
      </w:r>
    </w:p>
    <w:p w14:paraId="0A4B9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2023年本单位一般公共预算拨款支出预算1,103.32万元，其中，一般公共服务支出8.23万元，占0.75%；社会保障和就业22.37万元，占2.03%；卫生健康支出12.50万元，占1.13%；交通运输支出1,044.42万元，占94.66%；住房保障支出15.79万元，占1.43%。具体安排情况如下：</w:t>
      </w:r>
    </w:p>
    <w:p w14:paraId="3D7EF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基本支出：2023年基本支出年初预算数为244.51万元，是指为保障单位机构正常运转、完成日常工作任务而发生的各项支出，包括用于基本工资、津贴补贴等人员经费以及办公费、印刷费、水电费、差旅费等日常公用经费。</w:t>
      </w:r>
    </w:p>
    <w:p w14:paraId="32772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项目支出：2023年项目支出年初预算数为858.81万元，是指单位为完成特定行政工作任务或事业发展目标而发生的支出，包括有关业务工作经费、运行维护经费等。其中：业务工作经费支出858.81万元，主要用于农村公路维修与养护等方面；运行维护经费0万元。</w:t>
      </w:r>
    </w:p>
    <w:p w14:paraId="36089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四、政府性基金预算支出</w:t>
      </w:r>
    </w:p>
    <w:p w14:paraId="36081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2023年政府性基金预算拨款支出预算631.10万元，其中，城乡社区支出631.10万元，占100%。</w:t>
      </w:r>
    </w:p>
    <w:p w14:paraId="6A978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五、其他重要事项的情况说明</w:t>
      </w:r>
    </w:p>
    <w:p w14:paraId="06AB3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（一）机关运行经费</w:t>
      </w:r>
    </w:p>
    <w:p w14:paraId="075D9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本单位2023年机关运行经费当年一般公共预算拨款25.08万元，比上一年增加8.88万元，增加54.81%。主要原因是：本年度我单位根据财政部门要求调整规范了公用经费预算编制口径。</w:t>
      </w:r>
    </w:p>
    <w:p w14:paraId="3FFBB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（二）“三公”经费预算</w:t>
      </w:r>
    </w:p>
    <w:p w14:paraId="62444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本单位2023年“三公”经费预算数2万元，其中，公务接待费2万元，因公出国（境）费0 万元，公务用车购置及运行费0万元（其中，公务用车购置费0 万元，公务用车运行费0万元）。比上一年增加0.65万元，增加48.15%，主要原因是本年度规范了公务接待费统计口径。</w:t>
      </w:r>
    </w:p>
    <w:p w14:paraId="30B42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（三）一般性支出情况</w:t>
      </w:r>
    </w:p>
    <w:p w14:paraId="61CA0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本单位2023年培训费预算1万元，拟开展3次培训，人数10人，内容为干部职工业务能力晋升培训；2023年度本单位未计划安排会议、未计划举办节庆、晚会、论坛、赛事活动。</w:t>
      </w:r>
    </w:p>
    <w:p w14:paraId="35ACF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16245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2023年度本单位未安排政府采购预算。</w:t>
      </w:r>
    </w:p>
    <w:p w14:paraId="28185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（五）国有资产占用使用及新增资产配置情况</w:t>
      </w:r>
    </w:p>
    <w:p w14:paraId="224B7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截至上一年12月底，本单位共有车辆0辆，其中领导干部用车0辆，一般公务用车0辆，其他用车0辆。单位价值50万元以上通用设备0台，单位价值100万元以上专用设备0台。</w:t>
      </w:r>
    </w:p>
    <w:p w14:paraId="0308A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2023年度本单位未计划处置或新增车辆、设备等。</w:t>
      </w:r>
    </w:p>
    <w:p w14:paraId="61704A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（六）预算绩效目标说明</w:t>
      </w:r>
    </w:p>
    <w:p w14:paraId="3499C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本单位所有支出实行绩效目标管理。纳入2023年单位整体支出绩效目标的金额为1,734.42万元，其中，基本支出244.513万元，项目支出1489.91万元，详见文尾附表中单位预算公开表格的表2</w:t>
      </w:r>
      <w:r>
        <w:rPr>
          <w:rFonts w:hint="eastAsia" w:ascii="微软雅黑" w:hAnsi="微软雅黑" w:eastAsia="微软雅黑" w:cs="微软雅黑"/>
          <w:i w:val="0"/>
          <w:iCs w:val="0"/>
          <w:caps w:val="0"/>
          <w:color w:val="333333"/>
          <w:spacing w:val="0"/>
          <w:sz w:val="24"/>
          <w:szCs w:val="24"/>
          <w:shd w:val="clear" w:fill="FFFFFF"/>
          <w:lang w:val="en-US" w:eastAsia="zh-CN"/>
        </w:rPr>
        <w:t>2</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-23。</w:t>
      </w:r>
    </w:p>
    <w:p w14:paraId="247D0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七、名词解释</w:t>
      </w:r>
    </w:p>
    <w:p w14:paraId="42A11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1B542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AE8C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单位预算公开表格</w:t>
      </w:r>
    </w:p>
    <w:p w14:paraId="237B55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68B32D5E"/>
    <w:rsid w:val="1265225F"/>
    <w:rsid w:val="293E406D"/>
    <w:rsid w:val="68B32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2587</Words>
  <Characters>2856</Characters>
  <Lines>0</Lines>
  <Paragraphs>0</Paragraphs>
  <TotalTime>3</TotalTime>
  <ScaleCrop>false</ScaleCrop>
  <LinksUpToDate>false</LinksUpToDate>
  <CharactersWithSpaces>2863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2024-07-01T08:34:00Z</dcterms:created>
  <dc:creator>Administrator</dc:creator>
  <cp:lastModifiedBy>小泽。</cp:lastModifiedBy>
  <dcterms:modified xsi:type="dcterms:W3CDTF">2024-07-18T05:27:30Z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8395AAA994154C05A7AFEC33E8943820_11</vt:lpwstr>
  </property>
</Properties>
</file>