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5DC7">
      <w:pPr>
        <w:pStyle w:val="4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附件1</w:t>
      </w:r>
    </w:p>
    <w:p w14:paraId="0E7072B6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 w14:paraId="63C44CD3">
      <w:pPr>
        <w:ind w:firstLine="420"/>
        <w:jc w:val="center"/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tbl>
      <w:tblPr>
        <w:tblStyle w:val="9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14D49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8DF7D9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财政供养人员情况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人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9D299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57C34E0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707E3657">
            <w:pPr>
              <w:ind w:firstLine="630" w:firstLineChars="3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控制率</w:t>
            </w:r>
          </w:p>
        </w:tc>
      </w:tr>
      <w:tr w14:paraId="4924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225037E9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B347BA">
            <w:pPr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3</w:t>
            </w:r>
          </w:p>
        </w:tc>
        <w:tc>
          <w:tcPr>
            <w:tcW w:w="2039" w:type="dxa"/>
            <w:gridSpan w:val="2"/>
            <w:vAlign w:val="center"/>
          </w:tcPr>
          <w:p w14:paraId="24114E22">
            <w:pPr>
              <w:ind w:firstLine="420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554EEC3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100%</w:t>
            </w:r>
          </w:p>
        </w:tc>
      </w:tr>
      <w:tr w14:paraId="5641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B956CA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经费控制情况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72B4C1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C82F80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739B64A7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</w:rPr>
              <w:t>年决算数</w:t>
            </w:r>
          </w:p>
        </w:tc>
      </w:tr>
      <w:tr w14:paraId="15FA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30CE97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274831CF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5882665A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0.20</w:t>
            </w:r>
          </w:p>
        </w:tc>
        <w:tc>
          <w:tcPr>
            <w:tcW w:w="1983" w:type="dxa"/>
            <w:gridSpan w:val="2"/>
            <w:vAlign w:val="center"/>
          </w:tcPr>
          <w:p w14:paraId="4AD3487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7832B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0CDAA0F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1BDB4CE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111FFCD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1983" w:type="dxa"/>
            <w:gridSpan w:val="2"/>
            <w:vAlign w:val="center"/>
          </w:tcPr>
          <w:p w14:paraId="21D9C8D8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65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68FAC55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468ABB5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A3CC026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A16E71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A41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8D93BF5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40BB579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EA9FFE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91B44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DC2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0C305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34349DC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27B4E96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1D887C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934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49BE084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7679A064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1278FCB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0.20</w:t>
            </w:r>
          </w:p>
        </w:tc>
        <w:tc>
          <w:tcPr>
            <w:tcW w:w="1983" w:type="dxa"/>
            <w:gridSpan w:val="2"/>
            <w:vAlign w:val="center"/>
          </w:tcPr>
          <w:p w14:paraId="6F7FB19D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</w:tr>
      <w:tr w14:paraId="497E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4B5ADCB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7C325349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26.94</w:t>
            </w:r>
          </w:p>
        </w:tc>
        <w:tc>
          <w:tcPr>
            <w:tcW w:w="2039" w:type="dxa"/>
            <w:gridSpan w:val="2"/>
            <w:vAlign w:val="center"/>
          </w:tcPr>
          <w:p w14:paraId="7DBAA9EB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  <w:tc>
          <w:tcPr>
            <w:tcW w:w="1983" w:type="dxa"/>
            <w:gridSpan w:val="2"/>
            <w:vAlign w:val="center"/>
          </w:tcPr>
          <w:p w14:paraId="154CE585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</w:tr>
      <w:tr w14:paraId="3F4B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E6E9E13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免费开放</w:t>
            </w:r>
          </w:p>
        </w:tc>
        <w:tc>
          <w:tcPr>
            <w:tcW w:w="2116" w:type="dxa"/>
            <w:gridSpan w:val="2"/>
            <w:vAlign w:val="center"/>
          </w:tcPr>
          <w:p w14:paraId="52D5D66F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26.94</w:t>
            </w:r>
          </w:p>
        </w:tc>
        <w:tc>
          <w:tcPr>
            <w:tcW w:w="2039" w:type="dxa"/>
            <w:gridSpan w:val="2"/>
            <w:vAlign w:val="center"/>
          </w:tcPr>
          <w:p w14:paraId="1B90B9C1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  <w:tc>
          <w:tcPr>
            <w:tcW w:w="1983" w:type="dxa"/>
            <w:gridSpan w:val="2"/>
            <w:vAlign w:val="center"/>
          </w:tcPr>
          <w:p w14:paraId="43249F68">
            <w:pPr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7.42</w:t>
            </w:r>
          </w:p>
        </w:tc>
      </w:tr>
      <w:tr w14:paraId="49B28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3B2A51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9F399FD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6DA551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BBAFA3B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357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7B2AA59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4CB677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CD38CD9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3E971D5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</w:tr>
      <w:tr w14:paraId="44C15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E7F6947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7421A77C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18.07</w:t>
            </w:r>
          </w:p>
        </w:tc>
        <w:tc>
          <w:tcPr>
            <w:tcW w:w="2039" w:type="dxa"/>
            <w:gridSpan w:val="2"/>
            <w:vAlign w:val="center"/>
          </w:tcPr>
          <w:p w14:paraId="2086C6B2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54.59</w:t>
            </w:r>
          </w:p>
        </w:tc>
        <w:tc>
          <w:tcPr>
            <w:tcW w:w="1983" w:type="dxa"/>
            <w:gridSpan w:val="2"/>
            <w:vAlign w:val="center"/>
          </w:tcPr>
          <w:p w14:paraId="1B0CE9FC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49.37</w:t>
            </w:r>
          </w:p>
        </w:tc>
      </w:tr>
      <w:tr w14:paraId="2059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376725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4C2C628E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5.28</w:t>
            </w:r>
          </w:p>
        </w:tc>
        <w:tc>
          <w:tcPr>
            <w:tcW w:w="2039" w:type="dxa"/>
            <w:gridSpan w:val="2"/>
            <w:vAlign w:val="center"/>
          </w:tcPr>
          <w:p w14:paraId="33BAC2A1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13.98</w:t>
            </w:r>
          </w:p>
        </w:tc>
        <w:tc>
          <w:tcPr>
            <w:tcW w:w="1983" w:type="dxa"/>
            <w:gridSpan w:val="2"/>
            <w:vAlign w:val="center"/>
          </w:tcPr>
          <w:p w14:paraId="54BE601A">
            <w:pPr>
              <w:tabs>
                <w:tab w:val="left" w:pos="673"/>
              </w:tabs>
              <w:ind w:firstLine="840" w:firstLineChars="400"/>
              <w:jc w:val="left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13.98</w:t>
            </w:r>
          </w:p>
        </w:tc>
      </w:tr>
      <w:tr w14:paraId="2BE9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5EBFE063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5E49CD99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2.25</w:t>
            </w:r>
          </w:p>
        </w:tc>
        <w:tc>
          <w:tcPr>
            <w:tcW w:w="2039" w:type="dxa"/>
            <w:gridSpan w:val="2"/>
            <w:vAlign w:val="center"/>
          </w:tcPr>
          <w:p w14:paraId="0CD51B8C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1.40</w:t>
            </w:r>
          </w:p>
        </w:tc>
        <w:tc>
          <w:tcPr>
            <w:tcW w:w="1983" w:type="dxa"/>
            <w:gridSpan w:val="2"/>
            <w:vAlign w:val="center"/>
          </w:tcPr>
          <w:p w14:paraId="06B6C957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1.40</w:t>
            </w:r>
          </w:p>
        </w:tc>
      </w:tr>
      <w:tr w14:paraId="1C458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B5636EE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792E365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vAlign w:val="center"/>
          </w:tcPr>
          <w:p w14:paraId="6920CEDE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0.05</w:t>
            </w:r>
          </w:p>
        </w:tc>
        <w:tc>
          <w:tcPr>
            <w:tcW w:w="1983" w:type="dxa"/>
            <w:gridSpan w:val="2"/>
            <w:vAlign w:val="center"/>
          </w:tcPr>
          <w:p w14:paraId="61DE1AD2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0.05</w:t>
            </w:r>
          </w:p>
        </w:tc>
      </w:tr>
      <w:tr w14:paraId="66FF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CE84CF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4EDF5F4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10.00</w:t>
            </w:r>
          </w:p>
        </w:tc>
        <w:tc>
          <w:tcPr>
            <w:tcW w:w="2039" w:type="dxa"/>
            <w:gridSpan w:val="2"/>
            <w:vAlign w:val="center"/>
          </w:tcPr>
          <w:p w14:paraId="524934C6">
            <w:pPr>
              <w:ind w:firstLine="42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12.18</w:t>
            </w:r>
          </w:p>
        </w:tc>
        <w:tc>
          <w:tcPr>
            <w:tcW w:w="1983" w:type="dxa"/>
            <w:gridSpan w:val="2"/>
            <w:vAlign w:val="center"/>
          </w:tcPr>
          <w:p w14:paraId="1243B56A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12.18</w:t>
            </w:r>
          </w:p>
        </w:tc>
      </w:tr>
      <w:tr w14:paraId="02230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68F31393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45B10617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FC02E0F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87CA4C0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</w:tc>
      </w:tr>
      <w:tr w14:paraId="2B869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4601355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</w:p>
          <w:p w14:paraId="4BA20703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楼堂馆所控制情况</w:t>
            </w:r>
          </w:p>
          <w:p w14:paraId="4320179D">
            <w:pPr>
              <w:ind w:firstLine="420"/>
              <w:jc w:val="center"/>
              <w:rPr>
                <w:rFonts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61B920BC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批复规模</w:t>
            </w:r>
            <w:r>
              <w:rPr>
                <w:rFonts w:hint="eastAsia" w:ascii="仿宋_GB2312" w:eastAsia="仿宋_GB2312"/>
                <w:color w:val="000000"/>
              </w:rPr>
              <w:t xml:space="preserve"> (m</w:t>
            </w:r>
            <w:r>
              <w:rPr>
                <w:rFonts w:hint="eastAsia" w:eastAsia="仿宋_GB2312"/>
                <w:color w:val="000000"/>
              </w:rPr>
              <w:t>²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58" w:type="dxa"/>
            <w:vAlign w:val="center"/>
          </w:tcPr>
          <w:p w14:paraId="5D2DDDE8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实际规模</w:t>
            </w:r>
            <w:r>
              <w:rPr>
                <w:rFonts w:hint="eastAsia" w:ascii="仿宋_GB2312" w:eastAsia="仿宋_GB2312"/>
                <w:color w:val="000000"/>
              </w:rPr>
              <w:t>(m</w:t>
            </w:r>
            <w:r>
              <w:rPr>
                <w:rFonts w:hint="eastAsia" w:eastAsia="仿宋_GB2312"/>
                <w:color w:val="000000"/>
              </w:rPr>
              <w:t>²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60" w:type="dxa"/>
            <w:vAlign w:val="center"/>
          </w:tcPr>
          <w:p w14:paraId="3504679C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7389D461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预算投资</w:t>
            </w:r>
          </w:p>
          <w:p w14:paraId="57DA06F8">
            <w:pPr>
              <w:ind w:firstLine="42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1039" w:type="dxa"/>
            <w:vAlign w:val="center"/>
          </w:tcPr>
          <w:p w14:paraId="7D166B01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实际投资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</w:rPr>
              <w:t>万元</w:t>
            </w:r>
            <w:r>
              <w:rPr>
                <w:rFonts w:hint="eastAsia" w:ascii="仿宋_GB2312" w:eastAsia="仿宋_GB2312"/>
                <w:color w:val="000000"/>
              </w:rPr>
              <w:t>)</w:t>
            </w:r>
          </w:p>
        </w:tc>
        <w:tc>
          <w:tcPr>
            <w:tcW w:w="944" w:type="dxa"/>
            <w:vAlign w:val="center"/>
          </w:tcPr>
          <w:p w14:paraId="0244A2CB">
            <w:pPr>
              <w:ind w:firstLine="420"/>
              <w:rPr>
                <w:rFonts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资概控</w:t>
            </w:r>
          </w:p>
          <w:p w14:paraId="7CD870C5">
            <w:pPr>
              <w:ind w:firstLine="42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制率</w:t>
            </w:r>
          </w:p>
        </w:tc>
      </w:tr>
      <w:tr w14:paraId="5F48B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</w:tcPr>
          <w:p w14:paraId="5A863E7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</w:tcPr>
          <w:p w14:paraId="01AE0E4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58" w:type="dxa"/>
          </w:tcPr>
          <w:p w14:paraId="44BBF9B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60" w:type="dxa"/>
          </w:tcPr>
          <w:p w14:paraId="1EA3CEC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79" w:type="dxa"/>
          </w:tcPr>
          <w:p w14:paraId="2FE9F1C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39" w:type="dxa"/>
          </w:tcPr>
          <w:p w14:paraId="5FF813DD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944" w:type="dxa"/>
          </w:tcPr>
          <w:p w14:paraId="263FC3C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--</w:t>
            </w:r>
          </w:p>
        </w:tc>
      </w:tr>
      <w:tr w14:paraId="66AE8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</w:tcPr>
          <w:p w14:paraId="19FB43DE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14:paraId="69AFF607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  <w:t>1.提高政治站位。各部门把厉行节约、反对铺张浪费作为一项政治任务。2.压实主体责任。各部门严格落实主体责任，单位主要负责人要亲自研究部署，根据重点任务清单，逐项梳理研判。3.强化监督问责。严格执行财经法律法规和规章制度，强化资金全过程监督</w:t>
            </w:r>
          </w:p>
        </w:tc>
      </w:tr>
    </w:tbl>
    <w:p w14:paraId="32656237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6191B58D">
      <w:pPr>
        <w:pStyle w:val="2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>联系电话：            单位负责人签字：</w:t>
      </w:r>
    </w:p>
    <w:p w14:paraId="51CCCF00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3" w:type="default"/>
          <w:footerReference r:id="rId4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8599CE6">
      <w:pPr>
        <w:spacing w:before="117" w:line="219" w:lineRule="auto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附件2</w:t>
      </w:r>
    </w:p>
    <w:p w14:paraId="6BFDCE24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14:paraId="470576B9">
      <w:pPr>
        <w:spacing w:line="237" w:lineRule="exact"/>
        <w:ind w:firstLine="420"/>
        <w:rPr>
          <w:lang w:eastAsia="zh-CN"/>
        </w:rPr>
      </w:pPr>
    </w:p>
    <w:tbl>
      <w:tblPr>
        <w:tblStyle w:val="9"/>
        <w:tblW w:w="9969" w:type="dxa"/>
        <w:tblInd w:w="-6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069"/>
        <w:gridCol w:w="1029"/>
        <w:gridCol w:w="1261"/>
        <w:gridCol w:w="1527"/>
        <w:gridCol w:w="1200"/>
        <w:gridCol w:w="527"/>
        <w:gridCol w:w="869"/>
        <w:gridCol w:w="1536"/>
      </w:tblGrid>
      <w:tr w14:paraId="5D70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1" w:type="dxa"/>
            <w:vAlign w:val="center"/>
          </w:tcPr>
          <w:p w14:paraId="01E8BE9F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108ACD0E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9018" w:type="dxa"/>
            <w:gridSpan w:val="8"/>
            <w:vAlign w:val="center"/>
          </w:tcPr>
          <w:p w14:paraId="6D41E65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岳阳县美术馆</w:t>
            </w:r>
          </w:p>
        </w:tc>
      </w:tr>
      <w:tr w14:paraId="6C25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14:paraId="3F3B07C8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0138675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1A42BB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1" w:type="dxa"/>
            <w:vAlign w:val="center"/>
          </w:tcPr>
          <w:p w14:paraId="097056D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527" w:type="dxa"/>
            <w:vAlign w:val="center"/>
          </w:tcPr>
          <w:p w14:paraId="7B3F513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00" w:type="dxa"/>
            <w:vAlign w:val="center"/>
          </w:tcPr>
          <w:p w14:paraId="597E5EE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527" w:type="dxa"/>
            <w:vAlign w:val="center"/>
          </w:tcPr>
          <w:p w14:paraId="0C0F463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30C2497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536" w:type="dxa"/>
            <w:vAlign w:val="center"/>
          </w:tcPr>
          <w:p w14:paraId="22E488E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1D8E8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694A44B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A31F6F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61" w:type="dxa"/>
            <w:vAlign w:val="center"/>
          </w:tcPr>
          <w:p w14:paraId="0090586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30.11</w:t>
            </w:r>
          </w:p>
        </w:tc>
        <w:tc>
          <w:tcPr>
            <w:tcW w:w="1527" w:type="dxa"/>
            <w:vAlign w:val="center"/>
          </w:tcPr>
          <w:p w14:paraId="5B9C7DA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96.65</w:t>
            </w:r>
          </w:p>
        </w:tc>
        <w:tc>
          <w:tcPr>
            <w:tcW w:w="1200" w:type="dxa"/>
            <w:vAlign w:val="center"/>
          </w:tcPr>
          <w:p w14:paraId="056D60E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91.44</w:t>
            </w:r>
          </w:p>
        </w:tc>
        <w:tc>
          <w:tcPr>
            <w:tcW w:w="527" w:type="dxa"/>
            <w:vAlign w:val="center"/>
          </w:tcPr>
          <w:p w14:paraId="566FFA1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9" w:type="dxa"/>
            <w:vAlign w:val="center"/>
          </w:tcPr>
          <w:p w14:paraId="02AFCF25">
            <w:pPr>
              <w:ind w:firstLine="21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94.00%</w:t>
            </w:r>
          </w:p>
        </w:tc>
        <w:tc>
          <w:tcPr>
            <w:tcW w:w="1536" w:type="dxa"/>
            <w:vAlign w:val="center"/>
          </w:tcPr>
          <w:p w14:paraId="26C450AF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9.4</w:t>
            </w:r>
          </w:p>
        </w:tc>
      </w:tr>
      <w:tr w14:paraId="0BC18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123E5E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2D135358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132" w:type="dxa"/>
            <w:gridSpan w:val="4"/>
            <w:vAlign w:val="center"/>
          </w:tcPr>
          <w:p w14:paraId="26646A8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5EE38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529F232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5C35883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43.25</w:t>
            </w:r>
          </w:p>
        </w:tc>
        <w:tc>
          <w:tcPr>
            <w:tcW w:w="4132" w:type="dxa"/>
            <w:gridSpan w:val="4"/>
            <w:vAlign w:val="center"/>
          </w:tcPr>
          <w:p w14:paraId="7D4C7724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84.02</w:t>
            </w:r>
          </w:p>
        </w:tc>
      </w:tr>
      <w:tr w14:paraId="37B6E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69A908D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38DFAE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</w:p>
        </w:tc>
        <w:tc>
          <w:tcPr>
            <w:tcW w:w="4132" w:type="dxa"/>
            <w:gridSpan w:val="4"/>
            <w:vAlign w:val="center"/>
          </w:tcPr>
          <w:p w14:paraId="54BD38BF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7.42</w:t>
            </w:r>
          </w:p>
        </w:tc>
      </w:tr>
      <w:tr w14:paraId="67E6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vAlign w:val="center"/>
          </w:tcPr>
          <w:p w14:paraId="1ED5A2E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77CDA9D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</w:p>
        </w:tc>
        <w:tc>
          <w:tcPr>
            <w:tcW w:w="4132" w:type="dxa"/>
            <w:gridSpan w:val="4"/>
            <w:vAlign w:val="center"/>
          </w:tcPr>
          <w:p w14:paraId="692DF9E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33A2C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 w14:paraId="12D628C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1CBB0D50">
            <w:pPr>
              <w:ind w:firstLine="42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53.40</w:t>
            </w:r>
          </w:p>
        </w:tc>
        <w:tc>
          <w:tcPr>
            <w:tcW w:w="4132" w:type="dxa"/>
            <w:gridSpan w:val="4"/>
            <w:vAlign w:val="center"/>
          </w:tcPr>
          <w:p w14:paraId="48C702D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5BCB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14:paraId="43B13B9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4886" w:type="dxa"/>
            <w:gridSpan w:val="4"/>
            <w:vAlign w:val="center"/>
          </w:tcPr>
          <w:p w14:paraId="3D0DC2D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32" w:type="dxa"/>
            <w:gridSpan w:val="4"/>
            <w:vAlign w:val="center"/>
          </w:tcPr>
          <w:p w14:paraId="0050668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6E66F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 w14:paraId="56C4BDA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86" w:type="dxa"/>
            <w:gridSpan w:val="4"/>
            <w:vAlign w:val="center"/>
          </w:tcPr>
          <w:p w14:paraId="3919B911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目标一：美术作品创作</w:t>
            </w:r>
          </w:p>
          <w:p w14:paraId="5D57F240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目标二：美术作品推广</w:t>
            </w:r>
          </w:p>
          <w:p w14:paraId="214455E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目标三：美术作品人才培养</w:t>
            </w:r>
          </w:p>
        </w:tc>
        <w:tc>
          <w:tcPr>
            <w:tcW w:w="4132" w:type="dxa"/>
            <w:gridSpan w:val="4"/>
            <w:vAlign w:val="center"/>
          </w:tcPr>
          <w:p w14:paraId="6983837C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全年举办大型美术展5次，“玉兔迎春、幸福巴陵”迎春展、“文旅赋能、艺美巴陵”岳阳县非遗传承产品展暨“长乐杯”当代艺术作品展、“牢记殷殷嘱托.守护好一江碧水”2023年改善生态环境专项民主监督美术书法摄影作品展等。美术作品推广600份，其中获得省级优秀作品15份，市级优秀作品30份。组织我县艺术爱好者参与专业比赛和艺术讲座，并获得个人省市级奖项。基本达成年度总体目标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</w:tr>
      <w:tr w14:paraId="0B647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5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01572D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509497E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 w14:paraId="48C7B4E0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019F50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61" w:type="dxa"/>
            <w:vAlign w:val="center"/>
          </w:tcPr>
          <w:p w14:paraId="6A32801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527" w:type="dxa"/>
            <w:vAlign w:val="center"/>
          </w:tcPr>
          <w:p w14:paraId="1D9734B1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00" w:type="dxa"/>
            <w:vAlign w:val="center"/>
          </w:tcPr>
          <w:p w14:paraId="5ED2556D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527" w:type="dxa"/>
            <w:vAlign w:val="center"/>
          </w:tcPr>
          <w:p w14:paraId="5FF4D0F6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20D2A3AC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536" w:type="dxa"/>
            <w:vAlign w:val="center"/>
          </w:tcPr>
          <w:p w14:paraId="25961DF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1605D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236E3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C4D8AB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5198F2E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256A2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61" w:type="dxa"/>
            <w:vAlign w:val="center"/>
          </w:tcPr>
          <w:p w14:paraId="5C591CD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展览数量</w:t>
            </w:r>
          </w:p>
        </w:tc>
        <w:tc>
          <w:tcPr>
            <w:tcW w:w="1527" w:type="dxa"/>
            <w:vAlign w:val="center"/>
          </w:tcPr>
          <w:p w14:paraId="394592D8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2B683E50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527" w:type="dxa"/>
            <w:vAlign w:val="center"/>
          </w:tcPr>
          <w:p w14:paraId="12D1A66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</w:t>
            </w:r>
          </w:p>
        </w:tc>
        <w:tc>
          <w:tcPr>
            <w:tcW w:w="869" w:type="dxa"/>
            <w:vAlign w:val="center"/>
          </w:tcPr>
          <w:p w14:paraId="6246F52E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</w:t>
            </w:r>
          </w:p>
        </w:tc>
        <w:tc>
          <w:tcPr>
            <w:tcW w:w="1536" w:type="dxa"/>
            <w:vAlign w:val="center"/>
          </w:tcPr>
          <w:p w14:paraId="04CDB85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12ED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7B026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0834AE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7F6F7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61" w:type="dxa"/>
            <w:vAlign w:val="center"/>
          </w:tcPr>
          <w:p w14:paraId="3EB85E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展览事故</w:t>
            </w:r>
          </w:p>
        </w:tc>
        <w:tc>
          <w:tcPr>
            <w:tcW w:w="1527" w:type="dxa"/>
            <w:vAlign w:val="center"/>
          </w:tcPr>
          <w:p w14:paraId="06EFD9B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零事故</w:t>
            </w:r>
          </w:p>
        </w:tc>
        <w:tc>
          <w:tcPr>
            <w:tcW w:w="1200" w:type="dxa"/>
            <w:vAlign w:val="center"/>
          </w:tcPr>
          <w:p w14:paraId="73D6185B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全年零事故</w:t>
            </w:r>
          </w:p>
        </w:tc>
        <w:tc>
          <w:tcPr>
            <w:tcW w:w="527" w:type="dxa"/>
            <w:vAlign w:val="center"/>
          </w:tcPr>
          <w:p w14:paraId="396C61D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</w:t>
            </w:r>
          </w:p>
        </w:tc>
        <w:tc>
          <w:tcPr>
            <w:tcW w:w="869" w:type="dxa"/>
            <w:vAlign w:val="center"/>
          </w:tcPr>
          <w:p w14:paraId="0D79826F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</w:t>
            </w:r>
          </w:p>
        </w:tc>
        <w:tc>
          <w:tcPr>
            <w:tcW w:w="1536" w:type="dxa"/>
            <w:vAlign w:val="center"/>
          </w:tcPr>
          <w:p w14:paraId="22F36BE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C152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B3836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86A2B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1AA714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61" w:type="dxa"/>
            <w:vAlign w:val="center"/>
          </w:tcPr>
          <w:p w14:paraId="60FDB98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展览完成及时率</w:t>
            </w:r>
          </w:p>
        </w:tc>
        <w:tc>
          <w:tcPr>
            <w:tcW w:w="1527" w:type="dxa"/>
            <w:vAlign w:val="center"/>
          </w:tcPr>
          <w:p w14:paraId="7CE06A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按预期时间及时完成</w:t>
            </w:r>
          </w:p>
        </w:tc>
        <w:tc>
          <w:tcPr>
            <w:tcW w:w="1200" w:type="dxa"/>
            <w:vAlign w:val="center"/>
          </w:tcPr>
          <w:p w14:paraId="26FF95A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基本完成各类展览</w:t>
            </w:r>
          </w:p>
        </w:tc>
        <w:tc>
          <w:tcPr>
            <w:tcW w:w="527" w:type="dxa"/>
            <w:vAlign w:val="center"/>
          </w:tcPr>
          <w:p w14:paraId="5D33645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F24B32A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2ECE112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D073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52831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C5A4C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23A44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61" w:type="dxa"/>
            <w:vAlign w:val="center"/>
          </w:tcPr>
          <w:p w14:paraId="7E5CF31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整体支出</w:t>
            </w:r>
          </w:p>
        </w:tc>
        <w:tc>
          <w:tcPr>
            <w:tcW w:w="1527" w:type="dxa"/>
            <w:vAlign w:val="center"/>
          </w:tcPr>
          <w:p w14:paraId="1AA5AF3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≤</w:t>
            </w:r>
            <w:r>
              <w:rPr>
                <w:rFonts w:hint="eastAsia" w:ascii="仿宋_GB2312" w:eastAsia="仿宋_GB2312"/>
                <w:lang w:val="en-US" w:eastAsia="zh-CN"/>
              </w:rPr>
              <w:t>96.65万元</w:t>
            </w:r>
          </w:p>
        </w:tc>
        <w:tc>
          <w:tcPr>
            <w:tcW w:w="1200" w:type="dxa"/>
            <w:vAlign w:val="center"/>
          </w:tcPr>
          <w:p w14:paraId="7ACEACB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91.44万元</w:t>
            </w:r>
          </w:p>
        </w:tc>
        <w:tc>
          <w:tcPr>
            <w:tcW w:w="527" w:type="dxa"/>
            <w:vAlign w:val="center"/>
          </w:tcPr>
          <w:p w14:paraId="20E4F80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EED4CBA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374381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26C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31F46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8FF610B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27E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61" w:type="dxa"/>
            <w:vAlign w:val="center"/>
          </w:tcPr>
          <w:p w14:paraId="15749BB3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527" w:type="dxa"/>
            <w:vAlign w:val="center"/>
          </w:tcPr>
          <w:p w14:paraId="7AC25F9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Align w:val="center"/>
          </w:tcPr>
          <w:p w14:paraId="581AC8C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27" w:type="dxa"/>
            <w:vAlign w:val="center"/>
          </w:tcPr>
          <w:p w14:paraId="283B80C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156D6BE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6" w:type="dxa"/>
            <w:vAlign w:val="center"/>
          </w:tcPr>
          <w:p w14:paraId="6F66B6C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BFC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EB489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EE8120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4508988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61" w:type="dxa"/>
            <w:vAlign w:val="center"/>
          </w:tcPr>
          <w:p w14:paraId="1A4DCAD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社会审美能力</w:t>
            </w:r>
          </w:p>
        </w:tc>
        <w:tc>
          <w:tcPr>
            <w:tcW w:w="1527" w:type="dxa"/>
            <w:vAlign w:val="center"/>
          </w:tcPr>
          <w:p w14:paraId="13AA23BF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提升</w:t>
            </w:r>
          </w:p>
        </w:tc>
        <w:tc>
          <w:tcPr>
            <w:tcW w:w="1200" w:type="dxa"/>
            <w:vAlign w:val="center"/>
          </w:tcPr>
          <w:p w14:paraId="2BCA88D9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提升</w:t>
            </w:r>
          </w:p>
        </w:tc>
        <w:tc>
          <w:tcPr>
            <w:tcW w:w="527" w:type="dxa"/>
            <w:vAlign w:val="center"/>
          </w:tcPr>
          <w:p w14:paraId="288436D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FB902FC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4023243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12D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D65F9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51D4F7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65052BF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61" w:type="dxa"/>
            <w:vAlign w:val="center"/>
          </w:tcPr>
          <w:p w14:paraId="405F52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呼吁群众爱护环境、守护一江碧水</w:t>
            </w:r>
          </w:p>
        </w:tc>
        <w:tc>
          <w:tcPr>
            <w:tcW w:w="1527" w:type="dxa"/>
            <w:vAlign w:val="center"/>
          </w:tcPr>
          <w:p w14:paraId="63DD4404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提升</w:t>
            </w:r>
          </w:p>
        </w:tc>
        <w:tc>
          <w:tcPr>
            <w:tcW w:w="1200" w:type="dxa"/>
            <w:vAlign w:val="center"/>
          </w:tcPr>
          <w:p w14:paraId="437BF6BD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提升</w:t>
            </w:r>
          </w:p>
        </w:tc>
        <w:tc>
          <w:tcPr>
            <w:tcW w:w="527" w:type="dxa"/>
            <w:vAlign w:val="center"/>
          </w:tcPr>
          <w:p w14:paraId="274B503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12F9198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45B3AAA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08B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440CF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E9DC1C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5922249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261" w:type="dxa"/>
            <w:vAlign w:val="center"/>
          </w:tcPr>
          <w:p w14:paraId="3DFDB28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社会艺术氛围</w:t>
            </w:r>
          </w:p>
        </w:tc>
        <w:tc>
          <w:tcPr>
            <w:tcW w:w="1527" w:type="dxa"/>
            <w:vAlign w:val="center"/>
          </w:tcPr>
          <w:p w14:paraId="45282D6C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提升</w:t>
            </w:r>
          </w:p>
        </w:tc>
        <w:tc>
          <w:tcPr>
            <w:tcW w:w="1200" w:type="dxa"/>
            <w:vAlign w:val="center"/>
          </w:tcPr>
          <w:p w14:paraId="442BF8E0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提升</w:t>
            </w:r>
          </w:p>
        </w:tc>
        <w:tc>
          <w:tcPr>
            <w:tcW w:w="527" w:type="dxa"/>
            <w:vAlign w:val="center"/>
          </w:tcPr>
          <w:p w14:paraId="7F8E7BF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37E0911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7580780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C96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D5BA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65A634A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2511A60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00D05FA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61" w:type="dxa"/>
            <w:vAlign w:val="center"/>
          </w:tcPr>
          <w:p w14:paraId="3907147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群众满意度</w:t>
            </w:r>
          </w:p>
        </w:tc>
        <w:tc>
          <w:tcPr>
            <w:tcW w:w="1527" w:type="dxa"/>
            <w:vAlign w:val="center"/>
          </w:tcPr>
          <w:p w14:paraId="697B5B1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</w:t>
            </w:r>
            <w:r>
              <w:rPr>
                <w:rFonts w:hint="eastAsia" w:ascii="仿宋_GB2312" w:eastAsia="仿宋_GB2312"/>
                <w:lang w:val="en-US" w:eastAsia="zh-CN"/>
              </w:rPr>
              <w:t>98%</w:t>
            </w:r>
          </w:p>
        </w:tc>
        <w:tc>
          <w:tcPr>
            <w:tcW w:w="1200" w:type="dxa"/>
            <w:vAlign w:val="center"/>
          </w:tcPr>
          <w:p w14:paraId="5160652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98%</w:t>
            </w:r>
          </w:p>
        </w:tc>
        <w:tc>
          <w:tcPr>
            <w:tcW w:w="527" w:type="dxa"/>
            <w:vAlign w:val="center"/>
          </w:tcPr>
          <w:p w14:paraId="612C0FF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DCF0F47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5D57E9B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AE1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7" w:type="dxa"/>
            <w:gridSpan w:val="6"/>
            <w:vAlign w:val="center"/>
          </w:tcPr>
          <w:p w14:paraId="3639BBA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527" w:type="dxa"/>
            <w:vAlign w:val="center"/>
          </w:tcPr>
          <w:p w14:paraId="6DF7C7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869" w:type="dxa"/>
            <w:vAlign w:val="center"/>
          </w:tcPr>
          <w:p w14:paraId="519A6F0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99.4</w:t>
            </w:r>
          </w:p>
        </w:tc>
        <w:tc>
          <w:tcPr>
            <w:tcW w:w="1536" w:type="dxa"/>
            <w:vAlign w:val="center"/>
          </w:tcPr>
          <w:p w14:paraId="7743A3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2152039D">
      <w:pPr>
        <w:pStyle w:val="2"/>
        <w:spacing w:before="293" w:line="236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填表人：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填报日期：         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  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   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单位负责人签字：</w:t>
      </w:r>
      <w:r>
        <w:rPr>
          <w:rFonts w:ascii="仿宋_GB2312" w:hAnsi="宋体" w:eastAsia="仿宋_GB2312" w:cs="宋体"/>
          <w:lang w:eastAsia="zh-CN"/>
        </w:rPr>
        <w:t xml:space="preserve"> </w:t>
      </w:r>
    </w:p>
    <w:p w14:paraId="548F4A88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DE73ECA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D89697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94E3A86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9276D80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27F82DD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84C516F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7B5B5E5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A932CB7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BA95F1C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258D100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FDAC906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93DD338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A823B40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25F8DC75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174FA5D">
      <w:pPr>
        <w:pStyle w:val="2"/>
        <w:spacing w:before="293" w:line="236" w:lineRule="auto"/>
        <w:ind w:firstLine="552"/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B533CA0">
      <w:pPr>
        <w:pStyle w:val="2"/>
        <w:spacing w:before="293" w:line="236" w:lineRule="auto"/>
        <w:ind w:firstLine="552"/>
        <w:rPr>
          <w:rFonts w:ascii="仿宋_GB2312" w:hAnsi="宋体" w:eastAsia="仿宋_GB2312" w:cs="宋体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附件3</w:t>
      </w:r>
    </w:p>
    <w:p w14:paraId="11AA26F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19CFD249">
      <w:pPr>
        <w:spacing w:line="95" w:lineRule="exact"/>
        <w:ind w:firstLine="42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620F6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C9F6C3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D520AF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免费开放</w:t>
            </w:r>
          </w:p>
        </w:tc>
      </w:tr>
      <w:tr w14:paraId="4ED7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22225140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54F02BB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099" w:type="dxa"/>
            <w:vAlign w:val="center"/>
          </w:tcPr>
          <w:p w14:paraId="4403D835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58E23DA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岳阳县美术馆</w:t>
            </w:r>
          </w:p>
        </w:tc>
      </w:tr>
      <w:tr w14:paraId="25372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044B31C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C526AA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C3413B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710D313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14:paraId="3062956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14:paraId="2E7B598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FBFB49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60D6804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57C74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0A98F3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522853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3D144CD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08087A1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7.42</w:t>
            </w:r>
          </w:p>
        </w:tc>
        <w:tc>
          <w:tcPr>
            <w:tcW w:w="1099" w:type="dxa"/>
            <w:vAlign w:val="center"/>
          </w:tcPr>
          <w:p w14:paraId="3A43DC72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7.42</w:t>
            </w:r>
          </w:p>
        </w:tc>
        <w:tc>
          <w:tcPr>
            <w:tcW w:w="809" w:type="dxa"/>
            <w:vAlign w:val="center"/>
          </w:tcPr>
          <w:p w14:paraId="0169B171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D50F7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108A2F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68112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FA365B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F0097F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043283E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3848544C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6A1F3137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809" w:type="dxa"/>
            <w:vAlign w:val="center"/>
          </w:tcPr>
          <w:p w14:paraId="06979DB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D312EB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39C703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7972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214615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2154C0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7E1BC59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234A2141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6967F075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809" w:type="dxa"/>
            <w:vAlign w:val="center"/>
          </w:tcPr>
          <w:p w14:paraId="35CBC83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DFB732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93F923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73AB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125FDC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5EADA2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0C900AB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0.00</w:t>
            </w:r>
          </w:p>
        </w:tc>
        <w:tc>
          <w:tcPr>
            <w:tcW w:w="1099" w:type="dxa"/>
            <w:vAlign w:val="center"/>
          </w:tcPr>
          <w:p w14:paraId="6D29B84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7.42</w:t>
            </w:r>
          </w:p>
        </w:tc>
        <w:tc>
          <w:tcPr>
            <w:tcW w:w="1099" w:type="dxa"/>
            <w:vAlign w:val="center"/>
          </w:tcPr>
          <w:p w14:paraId="623E78F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7.42</w:t>
            </w:r>
          </w:p>
        </w:tc>
        <w:tc>
          <w:tcPr>
            <w:tcW w:w="809" w:type="dxa"/>
            <w:vAlign w:val="center"/>
          </w:tcPr>
          <w:p w14:paraId="7CE3A906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D5E18CB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2947617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</w:t>
            </w:r>
          </w:p>
        </w:tc>
      </w:tr>
      <w:tr w14:paraId="2E05B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C2A7270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07C6496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84E485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2710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B57FEA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1633D25F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全年预算申请到位和下达数量在98％以上；　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社会效益、经济效益和社会公众满意度达到预期目标。</w:t>
            </w:r>
          </w:p>
        </w:tc>
        <w:tc>
          <w:tcPr>
            <w:tcW w:w="4140" w:type="dxa"/>
            <w:gridSpan w:val="4"/>
            <w:vAlign w:val="center"/>
          </w:tcPr>
          <w:p w14:paraId="22AD0215">
            <w:pPr>
              <w:jc w:val="both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1.全年预算申请到位和下达数量为100%；2.社会效益、经济效益和社会公众满意度达到预期目标。</w:t>
            </w:r>
          </w:p>
        </w:tc>
      </w:tr>
      <w:tr w14:paraId="2274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7F93E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  <w:p w14:paraId="758E5B8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3CF0741C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578035CA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76758C76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2050B4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171FD44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FB139E2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5497964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4A82D229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740F9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F19FF8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30E6C3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131E66DA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2C8D4C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745DC87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举办展览次数</w:t>
            </w:r>
          </w:p>
        </w:tc>
        <w:tc>
          <w:tcPr>
            <w:tcW w:w="1099" w:type="dxa"/>
            <w:vAlign w:val="center"/>
          </w:tcPr>
          <w:p w14:paraId="42044445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全年完成2次美术作品展</w:t>
            </w:r>
          </w:p>
        </w:tc>
        <w:tc>
          <w:tcPr>
            <w:tcW w:w="1099" w:type="dxa"/>
            <w:vAlign w:val="center"/>
          </w:tcPr>
          <w:p w14:paraId="5164435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2次</w:t>
            </w:r>
          </w:p>
        </w:tc>
        <w:tc>
          <w:tcPr>
            <w:tcW w:w="809" w:type="dxa"/>
            <w:vAlign w:val="center"/>
          </w:tcPr>
          <w:p w14:paraId="2603D2C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4D4B10C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3B51F5C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7CE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5DCDCB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4CFA4A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C46317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6FAC1A1E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参展作品数</w:t>
            </w:r>
          </w:p>
        </w:tc>
        <w:tc>
          <w:tcPr>
            <w:tcW w:w="1099" w:type="dxa"/>
            <w:vAlign w:val="center"/>
          </w:tcPr>
          <w:p w14:paraId="3D9699D6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年度参展作品500份以上</w:t>
            </w:r>
          </w:p>
        </w:tc>
        <w:tc>
          <w:tcPr>
            <w:tcW w:w="1099" w:type="dxa"/>
            <w:vAlign w:val="center"/>
          </w:tcPr>
          <w:p w14:paraId="44BF2FE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600份</w:t>
            </w:r>
          </w:p>
        </w:tc>
        <w:tc>
          <w:tcPr>
            <w:tcW w:w="809" w:type="dxa"/>
            <w:vAlign w:val="center"/>
          </w:tcPr>
          <w:p w14:paraId="5D9B6857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626226F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74E0E78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15F2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C438F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AAF792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D71480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45BE414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高质量</w:t>
            </w:r>
          </w:p>
        </w:tc>
        <w:tc>
          <w:tcPr>
            <w:tcW w:w="1099" w:type="dxa"/>
            <w:vAlign w:val="center"/>
          </w:tcPr>
          <w:p w14:paraId="04F489B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收集高质量代表性作品参展</w:t>
            </w:r>
          </w:p>
        </w:tc>
        <w:tc>
          <w:tcPr>
            <w:tcW w:w="1099" w:type="dxa"/>
            <w:vAlign w:val="center"/>
          </w:tcPr>
          <w:p w14:paraId="6A83F285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72B1BFF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2B61769E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4C186E3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1B7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7EEED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8EF429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5273B0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039E2608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优秀率</w:t>
            </w:r>
          </w:p>
        </w:tc>
        <w:tc>
          <w:tcPr>
            <w:tcW w:w="1099" w:type="dxa"/>
            <w:vAlign w:val="center"/>
          </w:tcPr>
          <w:p w14:paraId="4632E968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评选出年度优秀作品</w:t>
            </w:r>
          </w:p>
        </w:tc>
        <w:tc>
          <w:tcPr>
            <w:tcW w:w="1099" w:type="dxa"/>
            <w:vAlign w:val="center"/>
          </w:tcPr>
          <w:p w14:paraId="1F5F3FB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99%</w:t>
            </w:r>
          </w:p>
        </w:tc>
        <w:tc>
          <w:tcPr>
            <w:tcW w:w="809" w:type="dxa"/>
            <w:vAlign w:val="center"/>
          </w:tcPr>
          <w:p w14:paraId="6762134E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849" w:type="dxa"/>
            <w:vAlign w:val="center"/>
          </w:tcPr>
          <w:p w14:paraId="13DC9B3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10</w:t>
            </w:r>
          </w:p>
        </w:tc>
        <w:tc>
          <w:tcPr>
            <w:tcW w:w="1383" w:type="dxa"/>
            <w:vAlign w:val="center"/>
          </w:tcPr>
          <w:p w14:paraId="59804DB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764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001D8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CD65A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D73B86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1A5267E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及时性</w:t>
            </w:r>
          </w:p>
        </w:tc>
        <w:tc>
          <w:tcPr>
            <w:tcW w:w="1099" w:type="dxa"/>
            <w:vAlign w:val="center"/>
          </w:tcPr>
          <w:p w14:paraId="4FD6EFA8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2023年9月完成美术作品展一次</w:t>
            </w:r>
          </w:p>
        </w:tc>
        <w:tc>
          <w:tcPr>
            <w:tcW w:w="1099" w:type="dxa"/>
            <w:vAlign w:val="center"/>
          </w:tcPr>
          <w:p w14:paraId="0153684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及时完成</w:t>
            </w:r>
          </w:p>
        </w:tc>
        <w:tc>
          <w:tcPr>
            <w:tcW w:w="809" w:type="dxa"/>
            <w:vAlign w:val="center"/>
          </w:tcPr>
          <w:p w14:paraId="0AF1A52C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452027C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32D459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CDF4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C6A39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E1D731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0F7CDF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2AD63826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及时性</w:t>
            </w:r>
          </w:p>
        </w:tc>
        <w:tc>
          <w:tcPr>
            <w:tcW w:w="1099" w:type="dxa"/>
            <w:vAlign w:val="center"/>
          </w:tcPr>
          <w:p w14:paraId="0648813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2023年12月完成美术作品展一次</w:t>
            </w:r>
          </w:p>
        </w:tc>
        <w:tc>
          <w:tcPr>
            <w:tcW w:w="1099" w:type="dxa"/>
            <w:vAlign w:val="center"/>
          </w:tcPr>
          <w:p w14:paraId="31FF5D2A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及时完成</w:t>
            </w:r>
          </w:p>
        </w:tc>
        <w:tc>
          <w:tcPr>
            <w:tcW w:w="809" w:type="dxa"/>
            <w:vAlign w:val="center"/>
          </w:tcPr>
          <w:p w14:paraId="54F4F5AE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9AFE5AD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1383E1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E31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DAB5B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0EF4A2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140A96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7BD0100F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及时性</w:t>
            </w:r>
          </w:p>
        </w:tc>
        <w:tc>
          <w:tcPr>
            <w:tcW w:w="1099" w:type="dxa"/>
            <w:vAlign w:val="center"/>
          </w:tcPr>
          <w:p w14:paraId="467D762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2023年内完成免费开放展厅维护</w:t>
            </w:r>
          </w:p>
        </w:tc>
        <w:tc>
          <w:tcPr>
            <w:tcW w:w="1099" w:type="dxa"/>
            <w:vAlign w:val="center"/>
          </w:tcPr>
          <w:p w14:paraId="1F0C5416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及时完成</w:t>
            </w:r>
          </w:p>
        </w:tc>
        <w:tc>
          <w:tcPr>
            <w:tcW w:w="809" w:type="dxa"/>
            <w:vAlign w:val="center"/>
          </w:tcPr>
          <w:p w14:paraId="17E62102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38B16CD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C03B94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6CBF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1D449D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12CB1D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10B048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7C07C1F7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展出成本</w:t>
            </w:r>
          </w:p>
        </w:tc>
        <w:tc>
          <w:tcPr>
            <w:tcW w:w="1099" w:type="dxa"/>
            <w:vAlign w:val="center"/>
          </w:tcPr>
          <w:p w14:paraId="091D338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展出成本控制在7.42万元内</w:t>
            </w:r>
          </w:p>
        </w:tc>
        <w:tc>
          <w:tcPr>
            <w:tcW w:w="1099" w:type="dxa"/>
            <w:vAlign w:val="center"/>
          </w:tcPr>
          <w:p w14:paraId="30692DC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7.42万元</w:t>
            </w:r>
          </w:p>
        </w:tc>
        <w:tc>
          <w:tcPr>
            <w:tcW w:w="809" w:type="dxa"/>
            <w:vAlign w:val="center"/>
          </w:tcPr>
          <w:p w14:paraId="27701674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5EAE232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620E48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EF7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EF8ED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6A194E8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66B9575C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3FE1183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27A8B13F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促进经济</w:t>
            </w:r>
          </w:p>
        </w:tc>
        <w:tc>
          <w:tcPr>
            <w:tcW w:w="1099" w:type="dxa"/>
            <w:vAlign w:val="center"/>
          </w:tcPr>
          <w:p w14:paraId="648F6A8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促进县域内美术行业经济发展</w:t>
            </w:r>
          </w:p>
        </w:tc>
        <w:tc>
          <w:tcPr>
            <w:tcW w:w="1099" w:type="dxa"/>
            <w:vAlign w:val="center"/>
          </w:tcPr>
          <w:p w14:paraId="4981082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基本达成预期指标</w:t>
            </w:r>
          </w:p>
        </w:tc>
        <w:tc>
          <w:tcPr>
            <w:tcW w:w="809" w:type="dxa"/>
            <w:vAlign w:val="center"/>
          </w:tcPr>
          <w:p w14:paraId="3E2A00AC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5BE7CBD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C9E0DB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E75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6635A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23C0FA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B60078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48568B6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</w:t>
            </w:r>
          </w:p>
        </w:tc>
        <w:tc>
          <w:tcPr>
            <w:tcW w:w="1099" w:type="dxa"/>
            <w:vAlign w:val="center"/>
          </w:tcPr>
          <w:p w14:paraId="2422AF1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提升县域内民众审美观念和审美意识</w:t>
            </w:r>
          </w:p>
        </w:tc>
        <w:tc>
          <w:tcPr>
            <w:tcW w:w="1099" w:type="dxa"/>
            <w:vAlign w:val="center"/>
          </w:tcPr>
          <w:p w14:paraId="14C6371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基本达成预期指标</w:t>
            </w:r>
          </w:p>
        </w:tc>
        <w:tc>
          <w:tcPr>
            <w:tcW w:w="809" w:type="dxa"/>
            <w:vAlign w:val="center"/>
          </w:tcPr>
          <w:p w14:paraId="23B2A754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50907E95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97F556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9BB0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C06802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BD7B17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8E07B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017B021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</w:t>
            </w:r>
          </w:p>
        </w:tc>
        <w:tc>
          <w:tcPr>
            <w:tcW w:w="1099" w:type="dxa"/>
            <w:vAlign w:val="center"/>
          </w:tcPr>
          <w:p w14:paraId="1FE476A4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通过展示宣传激发中小学生美术兴趣、爱好</w:t>
            </w:r>
          </w:p>
        </w:tc>
        <w:tc>
          <w:tcPr>
            <w:tcW w:w="1099" w:type="dxa"/>
            <w:vAlign w:val="center"/>
          </w:tcPr>
          <w:p w14:paraId="4ABC8567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</w:rPr>
              <w:t>基本达成预期指标</w:t>
            </w:r>
          </w:p>
        </w:tc>
        <w:tc>
          <w:tcPr>
            <w:tcW w:w="809" w:type="dxa"/>
            <w:vAlign w:val="center"/>
          </w:tcPr>
          <w:p w14:paraId="7955BD48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9FC5793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D8928B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3DC0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4F9D2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E6611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1BDD28D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55F4E8E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生态环保效益</w:t>
            </w:r>
          </w:p>
        </w:tc>
        <w:tc>
          <w:tcPr>
            <w:tcW w:w="1099" w:type="dxa"/>
            <w:vAlign w:val="center"/>
          </w:tcPr>
          <w:p w14:paraId="072E34AF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采用美术作品对绿色环保理念的宣传</w:t>
            </w:r>
          </w:p>
        </w:tc>
        <w:tc>
          <w:tcPr>
            <w:tcW w:w="1099" w:type="dxa"/>
            <w:vAlign w:val="center"/>
          </w:tcPr>
          <w:p w14:paraId="624CE8EA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98%</w:t>
            </w:r>
          </w:p>
        </w:tc>
        <w:tc>
          <w:tcPr>
            <w:tcW w:w="809" w:type="dxa"/>
            <w:vAlign w:val="center"/>
          </w:tcPr>
          <w:p w14:paraId="348F7C6A">
            <w:pPr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E6A086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83" w:type="dxa"/>
            <w:vAlign w:val="center"/>
          </w:tcPr>
          <w:p w14:paraId="7824800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A16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1468B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A085B3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8B292F4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53806ED1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持续影响性</w:t>
            </w:r>
          </w:p>
        </w:tc>
        <w:tc>
          <w:tcPr>
            <w:tcW w:w="1099" w:type="dxa"/>
            <w:vAlign w:val="center"/>
          </w:tcPr>
          <w:p w14:paraId="20512B4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持续影响</w:t>
            </w:r>
          </w:p>
        </w:tc>
        <w:tc>
          <w:tcPr>
            <w:tcW w:w="1099" w:type="dxa"/>
            <w:vAlign w:val="center"/>
          </w:tcPr>
          <w:p w14:paraId="31B6A4B4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98%</w:t>
            </w:r>
          </w:p>
        </w:tc>
        <w:tc>
          <w:tcPr>
            <w:tcW w:w="809" w:type="dxa"/>
            <w:vAlign w:val="center"/>
          </w:tcPr>
          <w:p w14:paraId="593361CD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BC277D3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1AA1F63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02E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9E403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587A7FB9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049057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0804C493">
            <w:pPr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满意度</w:t>
            </w:r>
          </w:p>
        </w:tc>
        <w:tc>
          <w:tcPr>
            <w:tcW w:w="1099" w:type="dxa"/>
            <w:vAlign w:val="center"/>
          </w:tcPr>
          <w:p w14:paraId="2C3E3A9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民众满意度95%以上</w:t>
            </w:r>
          </w:p>
        </w:tc>
        <w:tc>
          <w:tcPr>
            <w:tcW w:w="1099" w:type="dxa"/>
            <w:vAlign w:val="center"/>
          </w:tcPr>
          <w:p w14:paraId="178F329D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98%</w:t>
            </w:r>
          </w:p>
        </w:tc>
        <w:tc>
          <w:tcPr>
            <w:tcW w:w="809" w:type="dxa"/>
            <w:vAlign w:val="center"/>
          </w:tcPr>
          <w:p w14:paraId="56774FDC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F49CE56">
            <w:pPr>
              <w:jc w:val="center"/>
              <w:rPr>
                <w:rFonts w:hint="eastAsia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4C1E3A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21B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01E4EF8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809" w:type="dxa"/>
            <w:vAlign w:val="center"/>
          </w:tcPr>
          <w:p w14:paraId="68D79AA1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25521952">
            <w:pPr>
              <w:jc w:val="center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7DA0FDE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4FEC41B8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48D477CB">
      <w:pPr>
        <w:rPr>
          <w:rFonts w:hint="eastAsia" w:ascii="仿宋_GB2312" w:hAnsi="宋体" w:eastAsia="仿宋_GB2312" w:cs="宋体"/>
          <w:lang w:eastAsia="zh-CN"/>
        </w:r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单位负责人签字：</w:t>
      </w:r>
      <w:bookmarkStart w:id="0" w:name="_GoBack"/>
      <w:bookmarkEnd w:id="0"/>
    </w:p>
    <w:p w14:paraId="4079F132">
      <w:pPr>
        <w:bidi w:val="0"/>
        <w:rPr>
          <w:rFonts w:hint="eastAsia"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0A7F36F1">
      <w:pPr>
        <w:bidi w:val="0"/>
        <w:rPr>
          <w:rFonts w:hint="eastAsia"/>
          <w:lang w:val="en-US" w:eastAsia="zh-CN"/>
        </w:rPr>
      </w:pPr>
    </w:p>
    <w:p w14:paraId="5DD452BD">
      <w:pPr>
        <w:bidi w:val="0"/>
        <w:rPr>
          <w:rFonts w:hint="eastAsia"/>
          <w:lang w:val="en-US" w:eastAsia="zh-CN"/>
        </w:rPr>
      </w:pPr>
    </w:p>
    <w:p w14:paraId="45D8A222">
      <w:pPr>
        <w:bidi w:val="0"/>
        <w:rPr>
          <w:rFonts w:hint="eastAsia"/>
          <w:lang w:val="en-US" w:eastAsia="zh-CN"/>
        </w:rPr>
      </w:pPr>
    </w:p>
    <w:p w14:paraId="6F1BF0E5">
      <w:pPr>
        <w:bidi w:val="0"/>
        <w:rPr>
          <w:rFonts w:hint="eastAsia"/>
          <w:lang w:val="en-US" w:eastAsia="zh-CN"/>
        </w:rPr>
      </w:pPr>
    </w:p>
    <w:p w14:paraId="2AE0E083">
      <w:pPr>
        <w:bidi w:val="0"/>
        <w:rPr>
          <w:rFonts w:hint="eastAsia"/>
          <w:lang w:val="en-US" w:eastAsia="zh-CN"/>
        </w:rPr>
      </w:pPr>
    </w:p>
    <w:p w14:paraId="1C1E1CAE">
      <w:pPr>
        <w:bidi w:val="0"/>
        <w:rPr>
          <w:rFonts w:hint="eastAsia"/>
          <w:lang w:val="en-US" w:eastAsia="zh-CN"/>
        </w:rPr>
      </w:pPr>
    </w:p>
    <w:p w14:paraId="66E264C8">
      <w:pPr>
        <w:bidi w:val="0"/>
        <w:rPr>
          <w:rFonts w:hint="eastAsia"/>
          <w:lang w:val="en-US" w:eastAsia="zh-CN"/>
        </w:rPr>
      </w:pPr>
    </w:p>
    <w:p w14:paraId="7D0CC128">
      <w:pPr>
        <w:bidi w:val="0"/>
        <w:rPr>
          <w:rFonts w:hint="eastAsia"/>
          <w:lang w:val="en-US" w:eastAsia="zh-CN"/>
        </w:rPr>
      </w:pPr>
    </w:p>
    <w:p w14:paraId="43C6BE9E">
      <w:pPr>
        <w:bidi w:val="0"/>
        <w:rPr>
          <w:rFonts w:hint="eastAsia"/>
          <w:lang w:val="en-US" w:eastAsia="zh-CN"/>
        </w:rPr>
      </w:pPr>
    </w:p>
    <w:p w14:paraId="4BC0719D">
      <w:pPr>
        <w:bidi w:val="0"/>
        <w:jc w:val="left"/>
        <w:rPr>
          <w:rFonts w:hint="eastAsia"/>
          <w:lang w:val="en-US" w:eastAsia="zh-CN"/>
        </w:rPr>
        <w:sectPr>
          <w:footerReference r:id="rId5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</w:p>
    <w:p w14:paraId="224F879A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6"/>
          <w:szCs w:val="46"/>
          <w:lang w:eastAsia="zh-CN"/>
        </w:rPr>
        <w:t>岳阳县美术馆2023年度整体支出绩效自评报告</w:t>
      </w:r>
    </w:p>
    <w:p w14:paraId="10946EB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24"/>
          <w:lang w:eastAsia="zh-CN"/>
        </w:rPr>
      </w:pPr>
    </w:p>
    <w:p w14:paraId="389ABD61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部门（单位）基本情况</w:t>
      </w:r>
    </w:p>
    <w:p w14:paraId="549EF48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宋体"/>
          <w:snapToGrid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napToGrid/>
          <w:color w:val="000000"/>
          <w:kern w:val="0"/>
          <w:sz w:val="28"/>
          <w:szCs w:val="28"/>
          <w:lang w:eastAsia="zh-CN"/>
        </w:rPr>
        <w:t>1、机构设置</w:t>
      </w:r>
    </w:p>
    <w:p w14:paraId="65506C0B">
      <w:pPr>
        <w:pStyle w:val="14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岳阳县美术馆为副科级行政支持类事业单位，隶属县文化局二级机构。在编在岗职工2人，退休1人。内设有2个股室：业务股、财务股。</w:t>
      </w:r>
    </w:p>
    <w:p w14:paraId="294C4E8A">
      <w:pPr>
        <w:pStyle w:val="14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08712D48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1.贯彻落实党的路线、方针、政策和有关文化、美术馆、藏品的法律、法规，把握好美术馆服务社会的公益性原则。</w:t>
      </w:r>
    </w:p>
    <w:p w14:paraId="3C17543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2、全面主持全馆行政、业务和党务工作。研究制订并组织实施市美术馆事业发展规划、年度及阶段性工作计划，加强对全过程的督查、控制、协调工作。</w:t>
      </w:r>
    </w:p>
    <w:p w14:paraId="4718B8D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3、负责对本馆全体工作人员的工作安排、考核、评比、聘任和调动等工作。</w:t>
      </w:r>
    </w:p>
    <w:p w14:paraId="6CB7939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4、按时按质完成市局和有关部门、上级临时下达的各项工作任务，服从和维护大局利益。</w:t>
      </w:r>
    </w:p>
    <w:p w14:paraId="21DE8255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5、组织开展各类艺术作品展览和学术研究活动。</w:t>
      </w:r>
    </w:p>
    <w:p w14:paraId="3A0AEF0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6、加强对外宣传，做好馆际交流活动。</w:t>
      </w:r>
    </w:p>
    <w:p w14:paraId="282E8E5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7、抓好本单位人才队伍建设，通过引进人才、组织岗位培训等各种形式，提高干部职工队伍的整体素质。</w:t>
      </w:r>
    </w:p>
    <w:p w14:paraId="6A697BA6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8、加强财务、资产、消防安全和安全生产、卫生、综治等各项内部管理，建立科学、规范的工作秩序。</w:t>
      </w:r>
    </w:p>
    <w:p w14:paraId="23A1C74B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9、实行馆长全面负责制和领导班子及职工大会集体议事制度。</w:t>
      </w:r>
    </w:p>
    <w:p w14:paraId="35F1BFD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二、一般公共预算支出情况</w:t>
      </w:r>
    </w:p>
    <w:p w14:paraId="52DE141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（一）基本支出情况</w:t>
      </w:r>
    </w:p>
    <w:p w14:paraId="0266359F">
      <w:pPr>
        <w:pStyle w:val="14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基本支出84.02万元，其中：人员经费34.64万元，主要包括基本工资、津贴补贴、绩效工资、机关事业单位基本养老保险缴费、职工基本医疗保险缴费、公务员医疗补助缴费、其他社会保障缴费、住房公积金；公用经费49.38万元，主要包括办公费、印刷费、水费、邮电费、差旅费、维修费、租赁费、培训费、专用材料费、劳务费、委托业务费、工会经费、其他交通费用、其他商品和服务支出。</w:t>
      </w:r>
    </w:p>
    <w:p w14:paraId="51ABF4F8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项目支出情况</w:t>
      </w:r>
    </w:p>
    <w:p w14:paraId="5324DAE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Cs/>
          <w:snapToGrid/>
          <w:kern w:val="2"/>
          <w:sz w:val="28"/>
          <w:szCs w:val="28"/>
          <w:lang w:eastAsia="zh-CN"/>
        </w:rPr>
        <w:t>2023年财政安排我单位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eastAsia="zh-CN"/>
        </w:rPr>
        <w:t>组织开展各类艺术作品展览和学术研究活动，加强对外宣传，做好馆际交流等活动专项资金7.42万元。</w:t>
      </w:r>
      <w:r>
        <w:rPr>
          <w:rFonts w:hint="eastAsia" w:ascii="仿宋" w:hAnsi="仿宋" w:eastAsia="仿宋" w:cs="仿宋_GB2312"/>
          <w:bCs/>
          <w:snapToGrid/>
          <w:kern w:val="2"/>
          <w:sz w:val="28"/>
          <w:szCs w:val="28"/>
          <w:lang w:eastAsia="zh-CN"/>
        </w:rPr>
        <w:t>我单位实际发生项目支出7.42万元。</w:t>
      </w:r>
    </w:p>
    <w:p w14:paraId="12368D95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项目资金实际使用情况分析</w:t>
      </w:r>
    </w:p>
    <w:p w14:paraId="515AB1C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2023年度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中央财政支持免费开放项目</w:t>
      </w: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，我单位组织开展以下专项活动：1.名家讲堂陈毅华书法讲座公共文化美育活动，2.文旅赋能艺美巴陵非遗传承产品展、暨长乐杯彭丕当代艺术作品展，3.“匠心筑梦·艺润心田”展览进基层活动，4.“牢记殷殷嘱托守护好一江碧水”美术书法摄影作品展览活动。完成2023年中央财政支持免费开放项目工作任务。</w:t>
      </w:r>
    </w:p>
    <w:p w14:paraId="061EB412"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项目资金管理情况分析</w:t>
      </w:r>
    </w:p>
    <w:p w14:paraId="1F00F5C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本单位项目资金严格按照资金用途开支，实行专帐专户管理，项目实施资金发放进行公开公示，项目验收，完工结算等邀请专业部门进行专项审计，开展项目绩效评价，确保资金充分发挥效益。</w:t>
      </w:r>
    </w:p>
    <w:p w14:paraId="2488E8A5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三、政府性基金预算支出情况</w:t>
      </w:r>
    </w:p>
    <w:p w14:paraId="6285991D">
      <w:pPr>
        <w:widowControl w:val="0"/>
        <w:kinsoku/>
        <w:autoSpaceDE/>
        <w:autoSpaceDN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>无。</w:t>
      </w:r>
    </w:p>
    <w:p w14:paraId="670B6A22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四、国有资本经营预算支出情况</w:t>
      </w:r>
    </w:p>
    <w:p w14:paraId="5CFDF40A">
      <w:pPr>
        <w:widowControl w:val="0"/>
        <w:kinsoku/>
        <w:autoSpaceDE/>
        <w:autoSpaceDN/>
        <w:adjustRightInd/>
        <w:snapToGrid/>
        <w:spacing w:line="560" w:lineRule="exact"/>
        <w:ind w:left="420" w:leftChars="200"/>
        <w:jc w:val="both"/>
        <w:textAlignment w:val="auto"/>
        <w:rPr>
          <w:rFonts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无。</w:t>
      </w:r>
    </w:p>
    <w:p w14:paraId="0A9893B4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 xml:space="preserve">五、社会保险基金预算支出情况 </w:t>
      </w:r>
    </w:p>
    <w:p w14:paraId="7ADDB0C9">
      <w:pPr>
        <w:widowControl w:val="0"/>
        <w:kinsoku/>
        <w:autoSpaceDE/>
        <w:autoSpaceDN/>
        <w:adjustRightInd/>
        <w:snapToGrid/>
        <w:spacing w:line="560" w:lineRule="exact"/>
        <w:ind w:left="420" w:leftChars="200"/>
        <w:jc w:val="both"/>
        <w:textAlignment w:val="auto"/>
        <w:rPr>
          <w:rFonts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无。</w:t>
      </w:r>
    </w:p>
    <w:p w14:paraId="32CB397E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六、部门（单位）整体支出绩效情况</w:t>
      </w:r>
    </w:p>
    <w:p w14:paraId="00B42B21">
      <w:pPr>
        <w:pStyle w:val="14"/>
        <w:ind w:firstLine="56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2023年度支出总计91.44万元，其中基本支出84.02万元，主要用于人员工资、福利、社会保障缴费及办公室公用支出等，项目支出7.42万元，主要为2023年中央财政支持免费开放项目建设等开支。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</w:t>
      </w:r>
      <w:r>
        <w:rPr>
          <w:rFonts w:hint="eastAsia" w:ascii="仿宋" w:hAnsi="仿宋" w:eastAsia="仿宋" w:cs="仿宋_GB2312"/>
          <w:bCs/>
          <w:sz w:val="28"/>
          <w:szCs w:val="28"/>
        </w:rPr>
        <w:t>施，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提升了业内人士的艺术知识，增强了县域内民众的审美意识。涌现出一批优秀美术作品。对非遗艺术传承起到保护，同时增强了民众的环保意识。</w:t>
      </w:r>
    </w:p>
    <w:p w14:paraId="6BF3AD6C">
      <w:pPr>
        <w:pStyle w:val="14"/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七、存在的主要问题及原因分析</w:t>
      </w:r>
    </w:p>
    <w:p w14:paraId="24A809C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1、资金使用方面</w:t>
      </w:r>
    </w:p>
    <w:p w14:paraId="4013660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虽在专项资金管理上我们制订了《免费开放专项资金管理办法》，由于资金量少且分散，在执行和使用过程中程序过于复杂，管理条款过于繁锁，导致资金在拨付上不太及时，使用上不太规范，示范效益不明显。  </w:t>
      </w:r>
    </w:p>
    <w:p w14:paraId="2C3085E2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2、展览活动方面</w:t>
      </w:r>
    </w:p>
    <w:p w14:paraId="6027950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因专项资金量有限，展览活动开展次数较少，专业知识讲座偏少。</w:t>
      </w:r>
    </w:p>
    <w:p w14:paraId="391C7322">
      <w:pPr>
        <w:widowControl w:val="0"/>
        <w:numPr>
          <w:ilvl w:val="0"/>
          <w:numId w:val="4"/>
        </w:numPr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下一步改进措施</w:t>
      </w:r>
    </w:p>
    <w:p w14:paraId="2490F69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>加大各类美术作品展览投入，广泛收集各领域优秀美术作品，增加名师专业知识讲座，引导民众审美意识，进一步提升环保观念。</w:t>
      </w:r>
    </w:p>
    <w:p w14:paraId="38B7DBDF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九、部门整体支出绩效自评结果拟应用和公开情况</w:t>
      </w:r>
    </w:p>
    <w:p w14:paraId="378E8717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我单位部分整体支出绩效自评报告已在政府门户网站公开。</w:t>
      </w:r>
    </w:p>
    <w:p w14:paraId="199EE30F">
      <w:pPr>
        <w:widowControl w:val="0"/>
        <w:kinsoku/>
        <w:autoSpaceDE/>
        <w:autoSpaceDN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bCs/>
          <w:snapToGrid/>
          <w:kern w:val="2"/>
          <w:sz w:val="28"/>
          <w:szCs w:val="28"/>
          <w:lang w:eastAsia="zh-CN"/>
        </w:rPr>
        <w:t>十、其他需要说明的情况</w:t>
      </w:r>
    </w:p>
    <w:p w14:paraId="119C02D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无</w:t>
      </w:r>
    </w:p>
    <w:p w14:paraId="6C001C4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8"/>
          <w:szCs w:val="28"/>
          <w:lang w:eastAsia="zh-CN"/>
        </w:rPr>
        <w:t xml:space="preserve">                                      2024年5月12日</w:t>
      </w:r>
    </w:p>
    <w:p w14:paraId="0C761D5B">
      <w:pPr>
        <w:widowControl w:val="0"/>
        <w:kinsoku/>
        <w:autoSpaceDE/>
        <w:autoSpaceDN/>
        <w:adjustRightInd w:val="0"/>
        <w:snapToGrid w:val="0"/>
        <w:spacing w:line="200" w:lineRule="exact"/>
        <w:contextualSpacing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</w:p>
    <w:p w14:paraId="02BE8118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6" w:type="default"/>
      <w:footerReference r:id="rId7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7E9D0AC-9086-4782-8E17-2DFEA09DFD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2E3D03-CB7D-4AAA-A49B-8324A1F174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3C98D5-385C-4E8A-8297-687DC8B371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83166ED-A7C0-4100-A670-A4A8CE072F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E34F300-F8AF-407B-AB44-E91DE989A30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DC66939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37976CC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03AEA12"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325D312">
    <w:pPr>
      <w:pStyle w:val="4"/>
      <w:rPr>
        <w:rFonts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141"/>
      <w:docPartObj>
        <w:docPartGallery w:val="autotext"/>
      </w:docPartObj>
    </w:sdtPr>
    <w:sdtEndPr>
      <w:rPr>
        <w:rFonts w:hint="eastAsia" w:asciiTheme="minorEastAsia" w:hAnsiTheme="minorEastAsia" w:eastAsiaTheme="minorEastAsia"/>
        <w:sz w:val="28"/>
        <w:szCs w:val="28"/>
      </w:rPr>
    </w:sdtEndPr>
    <w:sdtContent>
      <w:p w14:paraId="515118FD">
        <w:pPr>
          <w:pStyle w:val="4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3195040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03D3">
    <w:pPr>
      <w:framePr w:wrap="around" w:vAnchor="text" w:hAnchor="margin" w:xAlign="outside" w:y="1"/>
      <w:widowControl w:val="0"/>
      <w:snapToGrid w:val="0"/>
      <w:jc w:val="left"/>
      <w:rPr>
        <w:rStyle w:val="8"/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</w:pPr>
    <w:r>
      <w:rPr>
        <w:rStyle w:val="8"/>
        <w:rFonts w:hint="eastAsia"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separate"/>
    </w:r>
    <w:r>
      <w:rPr>
        <w:rStyle w:val="8"/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t>4</w:t>
    </w:r>
    <w:r>
      <w:rPr>
        <w:rFonts w:ascii="Times New Roman" w:hAnsi="Times New Roman" w:eastAsia="宋体" w:cs="Times New Roman"/>
        <w:kern w:val="0"/>
        <w:sz w:val="24"/>
        <w:szCs w:val="24"/>
        <w:lang w:val="en-US" w:eastAsia="zh-CN" w:bidi="ar-SA"/>
      </w:rPr>
      <w:fldChar w:fldCharType="end"/>
    </w:r>
    <w:r>
      <w:rPr>
        <w:rStyle w:val="8"/>
        <w:rFonts w:hint="eastAsia"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 —</w:t>
    </w:r>
  </w:p>
  <w:p w14:paraId="00F20DFD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D274">
    <w:pPr>
      <w:framePr w:wrap="around" w:vAnchor="text" w:hAnchor="margin" w:xAlign="outside" w:y="1"/>
      <w:widowControl w:val="0"/>
      <w:snapToGrid w:val="0"/>
      <w:jc w:val="left"/>
      <w:rPr>
        <w:rStyle w:val="8"/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Style w:val="8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vanish/>
        <w:kern w:val="0"/>
        <w:sz w:val="18"/>
        <w:szCs w:val="1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  <w:p w14:paraId="7A3D7959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984C32"/>
    <w:multiLevelType w:val="singleLevel"/>
    <w:tmpl w:val="DD984C32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1E2C0BF"/>
    <w:multiLevelType w:val="singleLevel"/>
    <w:tmpl w:val="21E2C0B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0F2365"/>
    <w:rsid w:val="000012B6"/>
    <w:rsid w:val="00071B35"/>
    <w:rsid w:val="000727C6"/>
    <w:rsid w:val="000C6CFE"/>
    <w:rsid w:val="000F2365"/>
    <w:rsid w:val="000F4247"/>
    <w:rsid w:val="0011599C"/>
    <w:rsid w:val="0017207F"/>
    <w:rsid w:val="001B36C3"/>
    <w:rsid w:val="002246E5"/>
    <w:rsid w:val="00225925"/>
    <w:rsid w:val="002535F3"/>
    <w:rsid w:val="00294388"/>
    <w:rsid w:val="0032277A"/>
    <w:rsid w:val="00332410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2D81"/>
    <w:rsid w:val="008721A1"/>
    <w:rsid w:val="00890C0E"/>
    <w:rsid w:val="008E128E"/>
    <w:rsid w:val="008E657E"/>
    <w:rsid w:val="00912D49"/>
    <w:rsid w:val="0097670A"/>
    <w:rsid w:val="00A00A84"/>
    <w:rsid w:val="00A13F9A"/>
    <w:rsid w:val="00A22183"/>
    <w:rsid w:val="00AB359B"/>
    <w:rsid w:val="00C12207"/>
    <w:rsid w:val="00D70A3F"/>
    <w:rsid w:val="00E17218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FFF5EEC"/>
    <w:rsid w:val="303E2FDA"/>
    <w:rsid w:val="33EC7B9C"/>
    <w:rsid w:val="35134303"/>
    <w:rsid w:val="3555038B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page number"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7"/>
    <w:link w:val="4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2430</Words>
  <Characters>2531</Characters>
  <Lines>42</Lines>
  <Paragraphs>11</Paragraphs>
  <TotalTime>0</TotalTime>
  <ScaleCrop>false</ScaleCrop>
  <LinksUpToDate>false</LinksUpToDate>
  <CharactersWithSpaces>2671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悬剑</cp:lastModifiedBy>
  <cp:lastPrinted>2024-04-02T01:43:00Z</cp:lastPrinted>
  <dcterms:modified xsi:type="dcterms:W3CDTF">2024-07-18T02:03:30Z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2052-12.1.0.17147</vt:lpwstr>
  </property>
  <property fmtid="{D5CDD505-2E9C-101B-9397-08002B2CF9AE}" pid="6" name="ICV">
    <vt:lpwstr>1CCDFE1ED7364F988F8E13DC51ED1505_13</vt:lpwstr>
  </property>
</Properties>
</file>