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8AF85">
      <w:pPr>
        <w:adjustRightInd w:val="0"/>
        <w:snapToGrid w:val="0"/>
        <w:jc w:val="center"/>
        <w:rPr>
          <w:rFonts w:ascii="Times New Roman" w:hAnsi="Times New Roman" w:eastAsia="楷体" w:cs="Times New Roman"/>
          <w:bCs/>
          <w:color w:val="auto"/>
          <w:sz w:val="72"/>
          <w:szCs w:val="72"/>
        </w:rPr>
      </w:pPr>
    </w:p>
    <w:p w14:paraId="785590B6">
      <w:pPr>
        <w:adjustRightInd w:val="0"/>
        <w:snapToGrid w:val="0"/>
        <w:jc w:val="center"/>
        <w:outlineLvl w:val="0"/>
        <w:rPr>
          <w:rFonts w:ascii="Times New Roman" w:hAnsi="Times New Roman" w:eastAsia="楷体" w:cs="Times New Roman"/>
          <w:bCs/>
          <w:color w:val="auto"/>
          <w:sz w:val="72"/>
          <w:szCs w:val="72"/>
        </w:rPr>
      </w:pPr>
      <w:bookmarkStart w:id="0" w:name="_Toc4610"/>
      <w:r>
        <w:rPr>
          <w:rFonts w:ascii="Times New Roman" w:hAnsi="Times New Roman" w:eastAsia="楷体" w:cs="Times New Roman"/>
          <w:bCs/>
          <w:color w:val="auto"/>
          <w:sz w:val="72"/>
          <w:szCs w:val="72"/>
        </w:rPr>
        <w:t>建设项目环境影响报告表</w:t>
      </w:r>
      <w:bookmarkEnd w:id="0"/>
    </w:p>
    <w:p w14:paraId="43A758CF">
      <w:pPr>
        <w:adjustRightInd w:val="0"/>
        <w:snapToGrid w:val="0"/>
        <w:spacing w:beforeLines="80"/>
        <w:jc w:val="center"/>
        <w:rPr>
          <w:rFonts w:ascii="Times New Roman" w:hAnsi="Times New Roman" w:eastAsia="楷体" w:cs="Times New Roman"/>
          <w:bCs/>
          <w:color w:val="auto"/>
          <w:sz w:val="48"/>
          <w:szCs w:val="48"/>
        </w:rPr>
      </w:pPr>
      <w:r>
        <w:rPr>
          <w:rFonts w:ascii="Times New Roman" w:hAnsi="Times New Roman" w:eastAsia="楷体" w:cs="Times New Roman"/>
          <w:bCs/>
          <w:color w:val="auto"/>
          <w:sz w:val="48"/>
          <w:szCs w:val="48"/>
        </w:rPr>
        <w:t>（污染影响类）</w:t>
      </w:r>
    </w:p>
    <w:p w14:paraId="33EFA04A">
      <w:pPr>
        <w:spacing w:line="360" w:lineRule="auto"/>
        <w:jc w:val="center"/>
        <w:rPr>
          <w:rFonts w:ascii="Times New Roman" w:hAnsi="Times New Roman" w:eastAsia="宋体" w:cs="Times New Roman"/>
          <w:color w:val="auto"/>
          <w:sz w:val="24"/>
          <w:szCs w:val="24"/>
        </w:rPr>
      </w:pPr>
    </w:p>
    <w:p w14:paraId="6FFABF75">
      <w:pPr>
        <w:spacing w:line="360" w:lineRule="auto"/>
        <w:jc w:val="center"/>
        <w:rPr>
          <w:rFonts w:ascii="Times New Roman" w:hAnsi="Times New Roman" w:eastAsia="宋体" w:cs="Times New Roman"/>
          <w:color w:val="auto"/>
          <w:sz w:val="24"/>
          <w:szCs w:val="24"/>
        </w:rPr>
      </w:pPr>
    </w:p>
    <w:p w14:paraId="38F5F251">
      <w:pPr>
        <w:spacing w:line="360" w:lineRule="auto"/>
        <w:jc w:val="center"/>
        <w:rPr>
          <w:rFonts w:ascii="Times New Roman" w:hAnsi="Times New Roman" w:eastAsia="宋体" w:cs="Times New Roman"/>
          <w:color w:val="auto"/>
          <w:sz w:val="24"/>
          <w:szCs w:val="24"/>
        </w:rPr>
      </w:pPr>
    </w:p>
    <w:p w14:paraId="054D9C0B">
      <w:pPr>
        <w:spacing w:line="360" w:lineRule="auto"/>
        <w:jc w:val="center"/>
        <w:rPr>
          <w:rFonts w:ascii="Times New Roman" w:hAnsi="Times New Roman" w:eastAsia="宋体" w:cs="Times New Roman"/>
          <w:color w:val="auto"/>
          <w:sz w:val="24"/>
          <w:szCs w:val="24"/>
        </w:rPr>
      </w:pPr>
    </w:p>
    <w:p w14:paraId="0C4F26D1">
      <w:pPr>
        <w:spacing w:line="360" w:lineRule="auto"/>
        <w:jc w:val="center"/>
        <w:rPr>
          <w:rFonts w:ascii="Times New Roman" w:hAnsi="Times New Roman" w:eastAsia="宋体" w:cs="Times New Roman"/>
          <w:color w:val="auto"/>
          <w:sz w:val="24"/>
          <w:szCs w:val="24"/>
        </w:rPr>
      </w:pPr>
    </w:p>
    <w:p w14:paraId="211ADC31">
      <w:pPr>
        <w:spacing w:line="360" w:lineRule="auto"/>
        <w:jc w:val="center"/>
        <w:rPr>
          <w:rFonts w:ascii="Times New Roman" w:hAnsi="Times New Roman" w:eastAsia="宋体" w:cs="Times New Roman"/>
          <w:color w:val="auto"/>
          <w:sz w:val="24"/>
          <w:szCs w:val="24"/>
        </w:rPr>
      </w:pPr>
    </w:p>
    <w:p w14:paraId="5F6D4CD3">
      <w:pPr>
        <w:spacing w:line="360" w:lineRule="auto"/>
        <w:jc w:val="center"/>
        <w:rPr>
          <w:rFonts w:ascii="Times New Roman" w:hAnsi="Times New Roman" w:eastAsia="宋体" w:cs="Times New Roman"/>
          <w:color w:val="auto"/>
          <w:sz w:val="24"/>
          <w:szCs w:val="24"/>
        </w:rPr>
      </w:pPr>
    </w:p>
    <w:p w14:paraId="09F5E56D">
      <w:pPr>
        <w:spacing w:line="360" w:lineRule="auto"/>
        <w:jc w:val="center"/>
        <w:rPr>
          <w:rFonts w:ascii="Times New Roman" w:hAnsi="Times New Roman" w:eastAsia="宋体" w:cs="Times New Roman"/>
          <w:color w:val="auto"/>
          <w:sz w:val="24"/>
          <w:szCs w:val="24"/>
        </w:rPr>
      </w:pPr>
    </w:p>
    <w:tbl>
      <w:tblPr>
        <w:tblStyle w:val="27"/>
        <w:tblW w:w="45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35"/>
        <w:gridCol w:w="5019"/>
      </w:tblGrid>
      <w:tr w14:paraId="5F9DC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135" w:type="dxa"/>
            <w:tcBorders>
              <w:tl2br w:val="nil"/>
              <w:tr2bl w:val="nil"/>
            </w:tcBorders>
            <w:vAlign w:val="center"/>
          </w:tcPr>
          <w:p w14:paraId="79E3C35F">
            <w:pPr>
              <w:spacing w:line="360" w:lineRule="auto"/>
              <w:jc w:val="distribute"/>
              <w:rPr>
                <w:rFonts w:hint="eastAsia" w:ascii="仿宋" w:hAnsi="仿宋" w:eastAsia="仿宋" w:cs="仿宋"/>
                <w:b/>
                <w:bCs/>
                <w:color w:val="auto"/>
                <w:sz w:val="24"/>
                <w:szCs w:val="24"/>
                <w:vertAlign w:val="baseline"/>
              </w:rPr>
            </w:pPr>
            <w:r>
              <w:rPr>
                <w:rFonts w:hint="eastAsia" w:ascii="仿宋" w:hAnsi="仿宋" w:eastAsia="仿宋" w:cs="仿宋"/>
                <w:b/>
                <w:bCs/>
                <w:color w:val="auto"/>
                <w:sz w:val="32"/>
                <w:szCs w:val="32"/>
              </w:rPr>
              <w:t>项目名称：</w:t>
            </w:r>
          </w:p>
        </w:tc>
        <w:tc>
          <w:tcPr>
            <w:tcW w:w="5019" w:type="dxa"/>
            <w:tcBorders>
              <w:tl2br w:val="nil"/>
              <w:tr2bl w:val="nil"/>
            </w:tcBorders>
            <w:vAlign w:val="center"/>
          </w:tcPr>
          <w:p w14:paraId="78D15FE1">
            <w:pPr>
              <w:adjustRightInd w:val="0"/>
              <w:snapToGrid w:val="0"/>
              <w:spacing w:line="240" w:lineRule="auto"/>
              <w:jc w:val="distribute"/>
              <w:rPr>
                <w:rFonts w:hint="eastAsia" w:ascii="仿宋" w:hAnsi="仿宋" w:eastAsia="仿宋" w:cs="仿宋"/>
                <w:b/>
                <w:bCs/>
                <w:color w:val="auto"/>
                <w:sz w:val="32"/>
                <w:szCs w:val="32"/>
                <w:u w:val="single"/>
                <w:lang w:val="en-US" w:eastAsia="zh-CN"/>
              </w:rPr>
            </w:pPr>
            <w:r>
              <w:rPr>
                <w:rFonts w:hint="eastAsia" w:ascii="仿宋" w:hAnsi="仿宋" w:eastAsia="仿宋" w:cs="仿宋"/>
                <w:b/>
                <w:bCs/>
                <w:color w:val="auto"/>
                <w:sz w:val="32"/>
                <w:szCs w:val="32"/>
                <w:u w:val="single"/>
                <w:lang w:val="en-US" w:eastAsia="zh-CN"/>
              </w:rPr>
              <w:t>建材混凝土搅拌站建设项目</w:t>
            </w:r>
          </w:p>
          <w:p w14:paraId="65FBF53A">
            <w:pPr>
              <w:adjustRightInd w:val="0"/>
              <w:snapToGrid w:val="0"/>
              <w:spacing w:line="240" w:lineRule="auto"/>
              <w:jc w:val="distribute"/>
              <w:rPr>
                <w:rFonts w:hint="eastAsia" w:ascii="仿宋" w:hAnsi="仿宋" w:eastAsia="仿宋" w:cs="仿宋"/>
                <w:b/>
                <w:bCs/>
                <w:color w:val="auto"/>
                <w:sz w:val="24"/>
                <w:szCs w:val="24"/>
                <w:vertAlign w:val="baseline"/>
              </w:rPr>
            </w:pPr>
            <w:r>
              <w:rPr>
                <w:rFonts w:hint="eastAsia" w:ascii="仿宋" w:hAnsi="仿宋" w:eastAsia="仿宋" w:cs="仿宋"/>
                <w:b/>
                <w:bCs/>
                <w:color w:val="auto"/>
                <w:sz w:val="32"/>
                <w:szCs w:val="32"/>
                <w:u w:val="single"/>
                <w:lang w:val="en-US" w:eastAsia="zh-CN"/>
              </w:rPr>
              <w:t>（年生产商品混凝土60万</w:t>
            </w:r>
            <w:r>
              <w:rPr>
                <w:rFonts w:hint="eastAsia" w:ascii="仿宋" w:hAnsi="仿宋" w:eastAsia="仿宋" w:cs="仿宋"/>
                <w:b/>
                <w:bCs/>
                <w:color w:val="auto"/>
                <w:sz w:val="32"/>
                <w:szCs w:val="32"/>
                <w:u w:val="single"/>
                <w:vertAlign w:val="baseline"/>
                <w:lang w:val="en-US" w:eastAsia="zh-CN"/>
              </w:rPr>
              <w:t>m</w:t>
            </w:r>
            <w:r>
              <w:rPr>
                <w:rFonts w:hint="eastAsia" w:ascii="仿宋" w:hAnsi="仿宋" w:eastAsia="仿宋" w:cs="仿宋"/>
                <w:b/>
                <w:bCs/>
                <w:color w:val="auto"/>
                <w:sz w:val="32"/>
                <w:szCs w:val="32"/>
                <w:u w:val="single"/>
                <w:vertAlign w:val="superscript"/>
                <w:lang w:val="en-US" w:eastAsia="zh-CN"/>
              </w:rPr>
              <w:t>3</w:t>
            </w:r>
            <w:r>
              <w:rPr>
                <w:rFonts w:hint="eastAsia" w:ascii="仿宋" w:hAnsi="仿宋" w:eastAsia="仿宋" w:cs="仿宋"/>
                <w:b/>
                <w:bCs/>
                <w:color w:val="auto"/>
                <w:sz w:val="32"/>
                <w:szCs w:val="32"/>
                <w:u w:val="single"/>
                <w:lang w:val="en-US" w:eastAsia="zh-CN"/>
              </w:rPr>
              <w:t>）</w:t>
            </w:r>
          </w:p>
        </w:tc>
      </w:tr>
      <w:tr w14:paraId="16F24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135" w:type="dxa"/>
            <w:tcBorders>
              <w:tl2br w:val="nil"/>
              <w:tr2bl w:val="nil"/>
            </w:tcBorders>
            <w:vAlign w:val="bottom"/>
          </w:tcPr>
          <w:p w14:paraId="10636178">
            <w:pPr>
              <w:spacing w:line="360" w:lineRule="auto"/>
              <w:jc w:val="distribute"/>
              <w:rPr>
                <w:rFonts w:hint="eastAsia" w:ascii="仿宋" w:hAnsi="仿宋" w:eastAsia="仿宋" w:cs="仿宋"/>
                <w:b/>
                <w:bCs/>
                <w:color w:val="auto"/>
                <w:sz w:val="24"/>
                <w:szCs w:val="24"/>
                <w:vertAlign w:val="baseline"/>
              </w:rPr>
            </w:pPr>
            <w:r>
              <w:rPr>
                <w:rFonts w:hint="eastAsia" w:ascii="仿宋" w:hAnsi="仿宋" w:eastAsia="仿宋" w:cs="仿宋"/>
                <w:b/>
                <w:bCs/>
                <w:color w:val="auto"/>
                <w:sz w:val="32"/>
                <w:szCs w:val="32"/>
              </w:rPr>
              <w:t>建设单位（</w:t>
            </w:r>
            <w:r>
              <w:rPr>
                <w:rFonts w:hint="eastAsia" w:ascii="仿宋" w:hAnsi="仿宋" w:eastAsia="仿宋" w:cs="仿宋"/>
                <w:b/>
                <w:bCs/>
                <w:color w:val="auto"/>
                <w:sz w:val="32"/>
                <w:szCs w:val="32"/>
                <w:lang w:val="en-US" w:eastAsia="zh-CN"/>
              </w:rPr>
              <w:t>盖章）：</w:t>
            </w:r>
          </w:p>
        </w:tc>
        <w:tc>
          <w:tcPr>
            <w:tcW w:w="5019" w:type="dxa"/>
            <w:tcBorders>
              <w:tl2br w:val="nil"/>
              <w:tr2bl w:val="nil"/>
            </w:tcBorders>
            <w:vAlign w:val="bottom"/>
          </w:tcPr>
          <w:p w14:paraId="6049FA5C">
            <w:pPr>
              <w:spacing w:line="360" w:lineRule="auto"/>
              <w:jc w:val="distribute"/>
              <w:rPr>
                <w:rFonts w:hint="eastAsia" w:ascii="仿宋" w:hAnsi="仿宋" w:eastAsia="仿宋" w:cs="仿宋"/>
                <w:b/>
                <w:bCs/>
                <w:color w:val="auto"/>
                <w:sz w:val="24"/>
                <w:szCs w:val="24"/>
                <w:vertAlign w:val="baseline"/>
              </w:rPr>
            </w:pPr>
            <w:r>
              <w:rPr>
                <w:rFonts w:hint="eastAsia" w:ascii="仿宋" w:hAnsi="仿宋" w:eastAsia="仿宋" w:cs="仿宋"/>
                <w:b/>
                <w:bCs/>
                <w:color w:val="auto"/>
                <w:sz w:val="32"/>
                <w:szCs w:val="32"/>
                <w:u w:val="single"/>
                <w:lang w:val="en-US" w:eastAsia="zh-CN"/>
              </w:rPr>
              <w:t>湖南茂源建材有限公司</w:t>
            </w:r>
          </w:p>
        </w:tc>
      </w:tr>
      <w:tr w14:paraId="3D0F6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135" w:type="dxa"/>
            <w:tcBorders>
              <w:tl2br w:val="nil"/>
              <w:tr2bl w:val="nil"/>
            </w:tcBorders>
            <w:vAlign w:val="bottom"/>
          </w:tcPr>
          <w:p w14:paraId="33094110">
            <w:pPr>
              <w:spacing w:line="360" w:lineRule="auto"/>
              <w:jc w:val="distribute"/>
              <w:rPr>
                <w:rFonts w:hint="eastAsia" w:ascii="仿宋" w:hAnsi="仿宋" w:eastAsia="仿宋" w:cs="仿宋"/>
                <w:b/>
                <w:bCs/>
                <w:color w:val="auto"/>
                <w:sz w:val="24"/>
                <w:szCs w:val="24"/>
                <w:vertAlign w:val="baseline"/>
              </w:rPr>
            </w:pPr>
            <w:r>
              <w:rPr>
                <w:rFonts w:hint="eastAsia" w:ascii="仿宋" w:hAnsi="仿宋" w:eastAsia="仿宋" w:cs="仿宋"/>
                <w:b/>
                <w:bCs/>
                <w:color w:val="auto"/>
                <w:sz w:val="32"/>
                <w:szCs w:val="32"/>
              </w:rPr>
              <w:t>编制日期：</w:t>
            </w:r>
          </w:p>
        </w:tc>
        <w:tc>
          <w:tcPr>
            <w:tcW w:w="5019" w:type="dxa"/>
            <w:tcBorders>
              <w:tl2br w:val="nil"/>
              <w:tr2bl w:val="nil"/>
            </w:tcBorders>
            <w:vAlign w:val="bottom"/>
          </w:tcPr>
          <w:p w14:paraId="021B8050">
            <w:pPr>
              <w:spacing w:line="360" w:lineRule="auto"/>
              <w:jc w:val="distribute"/>
              <w:rPr>
                <w:rFonts w:hint="eastAsia" w:ascii="仿宋" w:hAnsi="仿宋" w:eastAsia="仿宋" w:cs="仿宋"/>
                <w:b/>
                <w:bCs/>
                <w:color w:val="auto"/>
                <w:sz w:val="24"/>
                <w:szCs w:val="24"/>
                <w:vertAlign w:val="baseline"/>
              </w:rPr>
            </w:pPr>
            <w:r>
              <w:rPr>
                <w:rFonts w:hint="eastAsia" w:ascii="仿宋" w:hAnsi="仿宋" w:eastAsia="仿宋" w:cs="仿宋"/>
                <w:b/>
                <w:bCs/>
                <w:color w:val="auto"/>
                <w:sz w:val="32"/>
                <w:szCs w:val="32"/>
                <w:u w:val="single"/>
                <w:lang w:val="en-US" w:eastAsia="zh-CN"/>
              </w:rPr>
              <w:t>二〇二四年五月</w:t>
            </w:r>
          </w:p>
        </w:tc>
      </w:tr>
    </w:tbl>
    <w:p w14:paraId="0FE26D6D">
      <w:pPr>
        <w:adjustRightInd w:val="0"/>
        <w:snapToGrid w:val="0"/>
        <w:spacing w:line="360" w:lineRule="auto"/>
        <w:jc w:val="center"/>
        <w:rPr>
          <w:rFonts w:ascii="Times New Roman" w:hAnsi="Times New Roman" w:eastAsia="宋体" w:cs="Times New Roman"/>
          <w:color w:val="auto"/>
          <w:sz w:val="24"/>
          <w:szCs w:val="24"/>
          <w:u w:val="single"/>
        </w:rPr>
      </w:pPr>
    </w:p>
    <w:p w14:paraId="430B33CC">
      <w:pPr>
        <w:spacing w:line="360" w:lineRule="auto"/>
        <w:jc w:val="center"/>
        <w:rPr>
          <w:rFonts w:ascii="Times New Roman" w:hAnsi="Times New Roman" w:eastAsia="宋体" w:cs="Times New Roman"/>
          <w:color w:val="auto"/>
          <w:sz w:val="24"/>
          <w:szCs w:val="24"/>
        </w:rPr>
      </w:pPr>
    </w:p>
    <w:p w14:paraId="6BB662F7">
      <w:pPr>
        <w:spacing w:line="360" w:lineRule="auto"/>
        <w:jc w:val="center"/>
        <w:rPr>
          <w:rFonts w:ascii="Times New Roman" w:hAnsi="Times New Roman" w:eastAsia="宋体" w:cs="Times New Roman"/>
          <w:color w:val="auto"/>
          <w:sz w:val="24"/>
          <w:szCs w:val="24"/>
        </w:rPr>
      </w:pPr>
    </w:p>
    <w:p w14:paraId="050FB151">
      <w:pPr>
        <w:spacing w:line="360" w:lineRule="auto"/>
        <w:jc w:val="center"/>
        <w:rPr>
          <w:rFonts w:ascii="Times New Roman" w:hAnsi="Times New Roman" w:eastAsia="宋体" w:cs="Times New Roman"/>
          <w:color w:val="auto"/>
          <w:sz w:val="24"/>
          <w:szCs w:val="24"/>
        </w:rPr>
      </w:pPr>
    </w:p>
    <w:p w14:paraId="73F85586">
      <w:pPr>
        <w:spacing w:line="360" w:lineRule="auto"/>
        <w:jc w:val="center"/>
        <w:rPr>
          <w:rFonts w:ascii="Times New Roman" w:hAnsi="Times New Roman" w:eastAsia="宋体" w:cs="Times New Roman"/>
          <w:color w:val="auto"/>
          <w:sz w:val="24"/>
          <w:szCs w:val="24"/>
        </w:rPr>
      </w:pPr>
    </w:p>
    <w:p w14:paraId="2CF5D476">
      <w:pPr>
        <w:adjustRightInd w:val="0"/>
        <w:snapToGrid w:val="0"/>
        <w:spacing w:line="360" w:lineRule="auto"/>
        <w:jc w:val="center"/>
        <w:rPr>
          <w:rFonts w:ascii="Times New Roman" w:hAnsi="Times New Roman" w:eastAsia="宋体" w:cs="Times New Roman"/>
          <w:color w:val="auto"/>
          <w:sz w:val="24"/>
          <w:szCs w:val="24"/>
          <w:u w:val="single"/>
        </w:rPr>
      </w:pPr>
    </w:p>
    <w:p w14:paraId="75CF3B78">
      <w:pPr>
        <w:adjustRightInd w:val="0"/>
        <w:snapToGrid w:val="0"/>
        <w:spacing w:line="360" w:lineRule="auto"/>
        <w:jc w:val="left"/>
        <w:rPr>
          <w:rFonts w:ascii="Times New Roman" w:hAnsi="Times New Roman" w:eastAsia="宋体" w:cs="Times New Roman"/>
          <w:b/>
          <w:bCs/>
          <w:color w:val="auto"/>
          <w:sz w:val="28"/>
          <w:szCs w:val="28"/>
        </w:rPr>
      </w:pPr>
      <w:bookmarkStart w:id="1" w:name="_Toc3881"/>
      <w:r>
        <w:rPr>
          <w:rFonts w:ascii="Times New Roman" w:hAnsi="Times New Roman" w:eastAsia="楷体" w:cs="Times New Roman"/>
          <w:color w:val="auto"/>
          <w:sz w:val="36"/>
          <w:szCs w:val="36"/>
        </w:rPr>
        <w:t>中华人民共和国生态环境部制</w:t>
      </w:r>
      <w:bookmarkEnd w:id="1"/>
    </w:p>
    <w:p w14:paraId="7697181B">
      <w:pP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br w:type="page"/>
      </w:r>
    </w:p>
    <w:p w14:paraId="283B0478">
      <w:pPr>
        <w:pStyle w:val="31"/>
        <w:ind w:left="0" w:leftChars="0" w:firstLine="0" w:firstLineChars="0"/>
      </w:pPr>
    </w:p>
    <w:p w14:paraId="42A46E6B">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rPr>
      </w:pPr>
    </w:p>
    <w:sdt>
      <w:sdtPr>
        <w:rPr>
          <w:rFonts w:ascii="宋体" w:hAnsi="宋体" w:eastAsia="宋体" w:cstheme="minorBidi"/>
          <w:b/>
          <w:bCs/>
          <w:color w:val="auto"/>
          <w:kern w:val="2"/>
          <w:sz w:val="24"/>
          <w:szCs w:val="24"/>
          <w:lang w:val="en-US" w:eastAsia="zh-CN" w:bidi="ar-SA"/>
        </w:rPr>
        <w:id w:val="147476536"/>
        <w15:color w:val="DBDBDB"/>
        <w:docPartObj>
          <w:docPartGallery w:val="Table of Contents"/>
          <w:docPartUnique/>
        </w:docPartObj>
      </w:sdtPr>
      <w:sdtEndPr>
        <w:rPr>
          <w:rFonts w:hint="default" w:ascii="Times New Roman" w:hAnsi="Times New Roman" w:eastAsia="宋体" w:cs="Times New Roman"/>
          <w:b/>
          <w:bCs/>
          <w:color w:val="auto"/>
          <w:kern w:val="2"/>
          <w:sz w:val="24"/>
          <w:szCs w:val="24"/>
          <w:lang w:val="en-US" w:eastAsia="zh-CN" w:bidi="ar-SA"/>
        </w:rPr>
      </w:sdtEndPr>
      <w:sdtContent>
        <w:p w14:paraId="5C1CA6EF">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8"/>
              <w:szCs w:val="28"/>
            </w:rPr>
            <w:t>目</w:t>
          </w:r>
          <w:r>
            <w:rPr>
              <w:rFonts w:hint="eastAsia"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rPr>
            <w:t>录</w:t>
          </w:r>
        </w:p>
        <w:p w14:paraId="2B63234A">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14:paraId="6FCF2760">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_Toc32307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_Toc32307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75006CF">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_Toc14085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_Toc14085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B4BBDDF">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_Toc3693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_Toc3693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4305036">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_Toc1935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89F4BC9">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_Toc20297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_Toc20297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D66817C">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_Toc2859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_Toc2859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8444196">
          <w:pPr>
            <w:pStyle w:val="112"/>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_Toc22793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snapToGrid w:val="0"/>
              <w:color w:val="auto"/>
              <w:sz w:val="24"/>
              <w:szCs w:val="24"/>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_Toc22793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6DE45B8">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end"/>
          </w:r>
        </w:p>
      </w:sdtContent>
    </w:sdt>
    <w:p w14:paraId="1A48C6E3">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p>
    <w:p w14:paraId="45F52C0B">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环评委托书</w:t>
      </w:r>
    </w:p>
    <w:p w14:paraId="531BA4C9">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附件2  建设单位营业执照</w:t>
      </w:r>
    </w:p>
    <w:p w14:paraId="0361F58C">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附件3  项目备案文件</w:t>
      </w:r>
    </w:p>
    <w:p w14:paraId="149EEC74">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eastAsia"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sz w:val="24"/>
          <w:szCs w:val="24"/>
          <w:lang w:val="en-US" w:eastAsia="zh-CN"/>
        </w:rPr>
        <w:t xml:space="preserve">附件4  </w:t>
      </w:r>
      <w:r>
        <w:rPr>
          <w:rFonts w:hint="eastAsia" w:ascii="Times New Roman" w:hAnsi="Times New Roman" w:eastAsia="宋体" w:cs="Times New Roman"/>
          <w:color w:val="auto"/>
          <w:kern w:val="0"/>
          <w:sz w:val="24"/>
          <w:szCs w:val="24"/>
          <w:u w:val="none"/>
          <w:lang w:val="en-US" w:eastAsia="zh-CN"/>
        </w:rPr>
        <w:t>《关于变更岳阳县凌云混凝土搅拌站建设主体的复函》</w:t>
      </w:r>
    </w:p>
    <w:p w14:paraId="3680C3E7">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附件5</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《岳阳市预拌商品混凝土专项规划（2023-2027）》相关内容</w:t>
      </w:r>
    </w:p>
    <w:p w14:paraId="614B284E">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eastAsia"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kern w:val="0"/>
          <w:sz w:val="24"/>
          <w:szCs w:val="24"/>
          <w:u w:val="none"/>
          <w:lang w:val="en-US" w:eastAsia="zh-CN"/>
        </w:rPr>
        <w:t>《关于</w:t>
      </w:r>
      <w:r>
        <w:rPr>
          <w:rFonts w:hint="eastAsia" w:ascii="Times New Roman" w:hAnsi="Times New Roman" w:eastAsia="宋体" w:cs="Times New Roman"/>
          <w:color w:val="auto"/>
          <w:kern w:val="0"/>
          <w:sz w:val="24"/>
          <w:szCs w:val="24"/>
          <w:u w:val="none"/>
        </w:rPr>
        <w:t>岳阳县凌云混凝土有限公司迁建商品混凝土搅拌站</w:t>
      </w:r>
      <w:r>
        <w:rPr>
          <w:rFonts w:hint="eastAsia" w:ascii="Times New Roman" w:hAnsi="Times New Roman" w:eastAsia="宋体" w:cs="Times New Roman"/>
          <w:color w:val="auto"/>
          <w:kern w:val="0"/>
          <w:sz w:val="24"/>
          <w:szCs w:val="24"/>
          <w:u w:val="none"/>
          <w:lang w:val="en-US" w:eastAsia="zh-CN"/>
        </w:rPr>
        <w:t>的复函（</w:t>
      </w:r>
      <w:r>
        <w:rPr>
          <w:rFonts w:hint="eastAsia" w:ascii="Times New Roman" w:hAnsi="Times New Roman" w:eastAsia="宋体" w:cs="Times New Roman"/>
          <w:color w:val="auto"/>
          <w:kern w:val="0"/>
          <w:sz w:val="24"/>
          <w:szCs w:val="24"/>
          <w:u w:val="none"/>
        </w:rPr>
        <w:t>岳建函〔2023】63</w:t>
      </w:r>
      <w:r>
        <w:rPr>
          <w:rFonts w:hint="eastAsia" w:ascii="Times New Roman" w:hAnsi="Times New Roman" w:eastAsia="宋体" w:cs="Times New Roman"/>
          <w:color w:val="auto"/>
          <w:kern w:val="0"/>
          <w:sz w:val="24"/>
          <w:szCs w:val="24"/>
          <w:u w:val="none"/>
          <w:lang w:val="en-US" w:eastAsia="zh-CN"/>
        </w:rPr>
        <w:t>号）》</w:t>
      </w:r>
    </w:p>
    <w:p w14:paraId="321B2DD1">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kern w:val="0"/>
          <w:sz w:val="24"/>
          <w:szCs w:val="28"/>
          <w:highlight w:val="none"/>
          <w:u w:val="none"/>
          <w:lang w:val="en-US" w:eastAsia="zh-CN"/>
        </w:rPr>
        <w:t>岳阳县自然资源局不动产权证（湘（2024）岳阳县不动产权第0000631号）</w:t>
      </w:r>
    </w:p>
    <w:p w14:paraId="176DBDDB">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p>
    <w:p w14:paraId="6451C5C3">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p>
    <w:p w14:paraId="1ADC2835">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w:t>
      </w:r>
    </w:p>
    <w:p w14:paraId="0CAAF156">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附图1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地理位置图</w:t>
      </w:r>
    </w:p>
    <w:p w14:paraId="2A90E1B5">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 xml:space="preserve">2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环境敏感保护目标</w:t>
      </w:r>
    </w:p>
    <w:p w14:paraId="16BC42B9">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项目平面布置</w:t>
      </w:r>
      <w:r>
        <w:rPr>
          <w:rFonts w:hint="default" w:ascii="Times New Roman" w:hAnsi="Times New Roman" w:eastAsia="宋体" w:cs="Times New Roman"/>
          <w:color w:val="auto"/>
          <w:sz w:val="24"/>
          <w:szCs w:val="24"/>
        </w:rPr>
        <w:t>图</w:t>
      </w:r>
    </w:p>
    <w:p w14:paraId="79F0175B">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rPr>
      </w:pPr>
    </w:p>
    <w:p w14:paraId="44241C58">
      <w:pPr>
        <w:pStyle w:val="22"/>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auto"/>
          <w:sz w:val="24"/>
          <w:szCs w:val="24"/>
        </w:rPr>
      </w:pPr>
    </w:p>
    <w:p w14:paraId="75108AB7">
      <w:pPr>
        <w:pStyle w:val="23"/>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default" w:ascii="Times New Roman" w:hAnsi="Times New Roman" w:eastAsia="宋体" w:cs="Times New Roman"/>
          <w:b/>
          <w:bCs/>
          <w:snapToGrid w:val="0"/>
          <w:color w:val="auto"/>
          <w:sz w:val="24"/>
          <w:szCs w:val="24"/>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sectPr>
      </w:pPr>
    </w:p>
    <w:p w14:paraId="62FF8E81">
      <w:pPr>
        <w:pStyle w:val="23"/>
        <w:jc w:val="center"/>
        <w:outlineLvl w:val="0"/>
        <w:rPr>
          <w:rFonts w:ascii="Times New Roman" w:hAnsi="Times New Roman" w:cs="Times New Roman"/>
          <w:b/>
          <w:bCs/>
          <w:snapToGrid w:val="0"/>
          <w:color w:val="auto"/>
          <w:sz w:val="30"/>
          <w:szCs w:val="30"/>
        </w:rPr>
      </w:pPr>
      <w:bookmarkStart w:id="2" w:name="_Toc32307"/>
      <w:r>
        <w:rPr>
          <w:rFonts w:ascii="Times New Roman" w:hAnsi="Times New Roman" w:cs="Times New Roman"/>
          <w:b/>
          <w:bCs/>
          <w:snapToGrid w:val="0"/>
          <w:color w:val="auto"/>
          <w:sz w:val="30"/>
          <w:szCs w:val="30"/>
        </w:rPr>
        <w:t>一、建设项目基本情况</w:t>
      </w:r>
      <w:bookmarkEnd w:id="2"/>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28"/>
        <w:gridCol w:w="2172"/>
        <w:gridCol w:w="1853"/>
        <w:gridCol w:w="3422"/>
      </w:tblGrid>
      <w:tr w14:paraId="40B20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428" w:type="dxa"/>
            <w:tcMar>
              <w:top w:w="16" w:type="dxa"/>
              <w:left w:w="16" w:type="dxa"/>
              <w:bottom w:w="0" w:type="dxa"/>
              <w:right w:w="16" w:type="dxa"/>
            </w:tcMar>
            <w:vAlign w:val="center"/>
          </w:tcPr>
          <w:p w14:paraId="5F019AB6">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建设项目名称</w:t>
            </w:r>
          </w:p>
        </w:tc>
        <w:tc>
          <w:tcPr>
            <w:tcW w:w="7447" w:type="dxa"/>
            <w:gridSpan w:val="3"/>
            <w:vAlign w:val="center"/>
          </w:tcPr>
          <w:p w14:paraId="3EF9A281">
            <w:pPr>
              <w:spacing w:line="360" w:lineRule="auto"/>
              <w:ind w:firstLine="424" w:firstLineChars="177"/>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lang w:val="en-US" w:eastAsia="zh-CN"/>
              </w:rPr>
              <w:t>建材混凝土搅拌站建设项目（年生产商品混凝土60万m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w:t>
            </w:r>
          </w:p>
        </w:tc>
      </w:tr>
      <w:tr w14:paraId="2DC0C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428" w:type="dxa"/>
            <w:tcMar>
              <w:top w:w="16" w:type="dxa"/>
              <w:left w:w="16" w:type="dxa"/>
              <w:bottom w:w="0" w:type="dxa"/>
              <w:right w:w="16" w:type="dxa"/>
            </w:tcMar>
            <w:vAlign w:val="center"/>
          </w:tcPr>
          <w:p w14:paraId="508B5C5A">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项目代码</w:t>
            </w:r>
          </w:p>
        </w:tc>
        <w:tc>
          <w:tcPr>
            <w:tcW w:w="7447" w:type="dxa"/>
            <w:gridSpan w:val="3"/>
            <w:vAlign w:val="center"/>
          </w:tcPr>
          <w:p w14:paraId="080FFDE9">
            <w:pPr>
              <w:adjustRightInd w:val="0"/>
              <w:snapToGrid w:val="0"/>
              <w:jc w:val="center"/>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2401-430621-04-01-621842</w:t>
            </w:r>
          </w:p>
        </w:tc>
      </w:tr>
      <w:tr w14:paraId="71A45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428" w:type="dxa"/>
            <w:tcMar>
              <w:top w:w="16" w:type="dxa"/>
              <w:left w:w="16" w:type="dxa"/>
              <w:bottom w:w="0" w:type="dxa"/>
              <w:right w:w="16" w:type="dxa"/>
            </w:tcMar>
            <w:vAlign w:val="center"/>
          </w:tcPr>
          <w:p w14:paraId="4C973727">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建设单位联系人</w:t>
            </w:r>
          </w:p>
        </w:tc>
        <w:tc>
          <w:tcPr>
            <w:tcW w:w="2172" w:type="dxa"/>
            <w:vAlign w:val="center"/>
          </w:tcPr>
          <w:p w14:paraId="6F755A8C">
            <w:pPr>
              <w:adjustRightInd w:val="0"/>
              <w:snapToGrid w:val="0"/>
              <w:jc w:val="center"/>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张**</w:t>
            </w:r>
          </w:p>
        </w:tc>
        <w:tc>
          <w:tcPr>
            <w:tcW w:w="1853" w:type="dxa"/>
            <w:vAlign w:val="center"/>
          </w:tcPr>
          <w:p w14:paraId="7C2388D2">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联系方式</w:t>
            </w:r>
          </w:p>
        </w:tc>
        <w:tc>
          <w:tcPr>
            <w:tcW w:w="3422" w:type="dxa"/>
            <w:vAlign w:val="center"/>
          </w:tcPr>
          <w:p w14:paraId="30A866D1">
            <w:pPr>
              <w:adjustRightInd w:val="0"/>
              <w:snapToGrid w:val="0"/>
              <w:jc w:val="center"/>
              <w:rPr>
                <w:rFonts w:hint="default" w:ascii="Times New Roman" w:hAnsi="Times New Roman" w:eastAsia="宋体" w:cs="Times New Roman"/>
                <w:color w:val="auto"/>
                <w:sz w:val="24"/>
                <w:szCs w:val="24"/>
                <w:u w:val="none"/>
                <w:lang w:val="en-US"/>
              </w:rPr>
            </w:pPr>
            <w:r>
              <w:rPr>
                <w:rFonts w:hint="eastAsia" w:ascii="Times New Roman" w:hAnsi="Times New Roman" w:eastAsia="宋体" w:cs="Times New Roman"/>
                <w:color w:val="auto"/>
                <w:sz w:val="24"/>
                <w:szCs w:val="24"/>
                <w:u w:val="none"/>
                <w:lang w:val="en-US" w:eastAsia="zh-CN"/>
              </w:rPr>
              <w:t>188****1088</w:t>
            </w:r>
          </w:p>
        </w:tc>
      </w:tr>
      <w:tr w14:paraId="4D2D9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1428" w:type="dxa"/>
            <w:tcMar>
              <w:top w:w="16" w:type="dxa"/>
              <w:left w:w="16" w:type="dxa"/>
              <w:bottom w:w="0" w:type="dxa"/>
              <w:right w:w="16" w:type="dxa"/>
            </w:tcMar>
            <w:vAlign w:val="center"/>
          </w:tcPr>
          <w:p w14:paraId="37F0778C">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建设地点</w:t>
            </w:r>
          </w:p>
        </w:tc>
        <w:tc>
          <w:tcPr>
            <w:tcW w:w="7447" w:type="dxa"/>
            <w:gridSpan w:val="3"/>
            <w:vAlign w:val="center"/>
          </w:tcPr>
          <w:p w14:paraId="43E6B881">
            <w:pPr>
              <w:adjustRightInd w:val="0"/>
              <w:snapToGrid w:val="0"/>
              <w:jc w:val="center"/>
              <w:rPr>
                <w:rFonts w:hint="eastAsia" w:ascii="Times New Roman" w:hAnsi="Times New Roman" w:eastAsia="宋体" w:cs="Times New Roman"/>
                <w:color w:val="auto"/>
                <w:sz w:val="24"/>
                <w:szCs w:val="24"/>
                <w:u w:val="none"/>
                <w:lang w:eastAsia="zh-CN"/>
              </w:rPr>
            </w:pPr>
            <w:r>
              <w:rPr>
                <w:rFonts w:hint="eastAsia" w:eastAsia="宋体"/>
                <w:color w:val="auto"/>
                <w:sz w:val="24"/>
                <w:szCs w:val="24"/>
                <w:u w:val="none"/>
                <w:lang w:eastAsia="zh-CN"/>
              </w:rPr>
              <w:t>岳阳县荣家湾镇欣荣村与荣鹿村交界处</w:t>
            </w:r>
          </w:p>
        </w:tc>
      </w:tr>
      <w:tr w14:paraId="6B856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7" w:hRule="atLeast"/>
          <w:jc w:val="center"/>
        </w:trPr>
        <w:tc>
          <w:tcPr>
            <w:tcW w:w="1428" w:type="dxa"/>
            <w:tcMar>
              <w:top w:w="16" w:type="dxa"/>
              <w:left w:w="16" w:type="dxa"/>
              <w:bottom w:w="0" w:type="dxa"/>
              <w:right w:w="16" w:type="dxa"/>
            </w:tcMar>
            <w:vAlign w:val="center"/>
          </w:tcPr>
          <w:p w14:paraId="44D7C6F5">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地理坐标</w:t>
            </w:r>
          </w:p>
        </w:tc>
        <w:tc>
          <w:tcPr>
            <w:tcW w:w="7447" w:type="dxa"/>
            <w:gridSpan w:val="3"/>
            <w:vAlign w:val="center"/>
          </w:tcPr>
          <w:p w14:paraId="74279DCC">
            <w:pPr>
              <w:jc w:val="center"/>
              <w:rPr>
                <w:rFonts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（E113°4′18.241″</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N29°8′26.688″）</w:t>
            </w:r>
          </w:p>
        </w:tc>
      </w:tr>
      <w:tr w14:paraId="4EB5E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66" w:hRule="atLeast"/>
          <w:jc w:val="center"/>
        </w:trPr>
        <w:tc>
          <w:tcPr>
            <w:tcW w:w="1428" w:type="dxa"/>
            <w:tcMar>
              <w:top w:w="16" w:type="dxa"/>
              <w:left w:w="16" w:type="dxa"/>
              <w:bottom w:w="0" w:type="dxa"/>
              <w:right w:w="16" w:type="dxa"/>
            </w:tcMar>
            <w:vAlign w:val="center"/>
          </w:tcPr>
          <w:p w14:paraId="0636A796">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国民经济</w:t>
            </w:r>
          </w:p>
          <w:p w14:paraId="0B51EB54">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行业类别</w:t>
            </w:r>
          </w:p>
        </w:tc>
        <w:tc>
          <w:tcPr>
            <w:tcW w:w="2172" w:type="dxa"/>
            <w:vAlign w:val="center"/>
          </w:tcPr>
          <w:p w14:paraId="027B00F7">
            <w:pPr>
              <w:adjustRightInd w:val="0"/>
              <w:snapToGrid w:val="0"/>
              <w:jc w:val="center"/>
              <w:rPr>
                <w:rFonts w:ascii="Times New Roman" w:hAnsi="Times New Roman" w:cs="Times New Roman"/>
                <w:color w:val="auto"/>
                <w:sz w:val="24"/>
                <w:szCs w:val="24"/>
                <w:u w:val="none"/>
              </w:rPr>
            </w:pPr>
            <w:r>
              <w:rPr>
                <w:rFonts w:ascii="Times New Roman" w:hAnsi="Times New Roman" w:cs="Times New Roman"/>
                <w:color w:val="auto"/>
                <w:sz w:val="24"/>
                <w:szCs w:val="32"/>
                <w:u w:val="none"/>
              </w:rPr>
              <w:t>C302</w:t>
            </w:r>
            <w:r>
              <w:rPr>
                <w:rFonts w:hint="eastAsia" w:ascii="Times New Roman" w:hAnsi="Times New Roman" w:cs="Times New Roman"/>
                <w:color w:val="auto"/>
                <w:sz w:val="24"/>
                <w:szCs w:val="32"/>
                <w:u w:val="none"/>
              </w:rPr>
              <w:t>1水泥制品制造</w:t>
            </w:r>
          </w:p>
        </w:tc>
        <w:tc>
          <w:tcPr>
            <w:tcW w:w="1853" w:type="dxa"/>
            <w:vAlign w:val="center"/>
          </w:tcPr>
          <w:p w14:paraId="5160DCD0">
            <w:pPr>
              <w:adjustRightInd w:val="0"/>
              <w:snapToGrid w:val="0"/>
              <w:jc w:val="center"/>
              <w:rPr>
                <w:rFonts w:ascii="Times New Roman" w:hAnsi="Times New Roman" w:eastAsia="宋体" w:cs="Times New Roman"/>
                <w:color w:val="auto"/>
                <w:sz w:val="24"/>
                <w:szCs w:val="24"/>
                <w:u w:val="none"/>
              </w:rPr>
            </w:pPr>
            <w:bookmarkStart w:id="3" w:name="_Hlk49843745"/>
            <w:r>
              <w:rPr>
                <w:rFonts w:ascii="Times New Roman" w:hAnsi="Times New Roman" w:eastAsia="宋体" w:cs="Times New Roman"/>
                <w:color w:val="auto"/>
                <w:sz w:val="24"/>
                <w:szCs w:val="24"/>
                <w:u w:val="none"/>
              </w:rPr>
              <w:t>建设项目</w:t>
            </w:r>
          </w:p>
          <w:p w14:paraId="2D78833A">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行业类别</w:t>
            </w:r>
            <w:bookmarkEnd w:id="3"/>
          </w:p>
        </w:tc>
        <w:tc>
          <w:tcPr>
            <w:tcW w:w="3422" w:type="dxa"/>
            <w:vAlign w:val="center"/>
          </w:tcPr>
          <w:p w14:paraId="4F67E294">
            <w:pPr>
              <w:rPr>
                <w:rFonts w:ascii="Times New Roman" w:hAnsi="Times New Roman" w:cs="Times New Roman"/>
                <w:color w:val="auto"/>
                <w:szCs w:val="21"/>
                <w:u w:val="none"/>
              </w:rPr>
            </w:pPr>
            <w:r>
              <w:rPr>
                <w:rFonts w:ascii="Times New Roman" w:hAnsi="Times New Roman" w:cs="Times New Roman"/>
                <w:color w:val="auto"/>
                <w:sz w:val="24"/>
                <w:u w:val="none"/>
              </w:rPr>
              <w:t>二十七、非金属矿物制品业55石膏、水泥制品及类似制品制造302-商品混凝土、砼结构构件制造、水泥制品制造</w:t>
            </w:r>
          </w:p>
        </w:tc>
      </w:tr>
      <w:tr w14:paraId="3D3C9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428" w:type="dxa"/>
            <w:tcMar>
              <w:top w:w="16" w:type="dxa"/>
              <w:left w:w="16" w:type="dxa"/>
              <w:bottom w:w="0" w:type="dxa"/>
              <w:right w:w="16" w:type="dxa"/>
            </w:tcMar>
            <w:vAlign w:val="center"/>
          </w:tcPr>
          <w:p w14:paraId="7E1C5A1E">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建设性质</w:t>
            </w:r>
          </w:p>
        </w:tc>
        <w:tc>
          <w:tcPr>
            <w:tcW w:w="2172" w:type="dxa"/>
            <w:vAlign w:val="center"/>
          </w:tcPr>
          <w:p w14:paraId="770CC36B">
            <w:pPr>
              <w:jc w:val="left"/>
              <w:rPr>
                <w:rFonts w:ascii="Times New Roman" w:hAnsi="Times New Roman" w:eastAsia="宋体" w:cs="Times New Roman"/>
                <w:color w:val="auto"/>
                <w:sz w:val="24"/>
                <w:szCs w:val="24"/>
                <w:u w:val="none"/>
              </w:rPr>
            </w:pPr>
            <w:r>
              <w:rPr>
                <w:rFonts w:ascii="Times New Roman" w:hAnsi="Segoe UI Symbol" w:eastAsia="宋体" w:cs="Times New Roman"/>
                <w:color w:val="auto"/>
                <w:sz w:val="24"/>
                <w:szCs w:val="24"/>
                <w:u w:val="none"/>
              </w:rPr>
              <w:t>☑</w:t>
            </w:r>
            <w:r>
              <w:rPr>
                <w:rFonts w:ascii="Times New Roman" w:hAnsi="Times New Roman" w:eastAsia="宋体" w:cs="Times New Roman"/>
                <w:color w:val="auto"/>
                <w:sz w:val="24"/>
                <w:szCs w:val="24"/>
                <w:u w:val="none"/>
              </w:rPr>
              <w:t>新建（迁建）</w:t>
            </w:r>
          </w:p>
          <w:p w14:paraId="216DD278">
            <w:pPr>
              <w:jc w:val="left"/>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sym w:font="Wingdings 2" w:char="00A3"/>
            </w:r>
            <w:r>
              <w:rPr>
                <w:rFonts w:ascii="Times New Roman" w:hAnsi="Times New Roman" w:eastAsia="宋体" w:cs="Times New Roman"/>
                <w:color w:val="auto"/>
                <w:sz w:val="24"/>
                <w:szCs w:val="24"/>
                <w:u w:val="none"/>
              </w:rPr>
              <w:t>改建</w:t>
            </w:r>
          </w:p>
          <w:p w14:paraId="7796A1AB">
            <w:pPr>
              <w:jc w:val="left"/>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sym w:font="Wingdings 2" w:char="00A3"/>
            </w:r>
            <w:r>
              <w:rPr>
                <w:rFonts w:ascii="Times New Roman" w:hAnsi="Times New Roman" w:eastAsia="宋体" w:cs="Times New Roman"/>
                <w:color w:val="auto"/>
                <w:sz w:val="24"/>
                <w:szCs w:val="24"/>
                <w:u w:val="none"/>
              </w:rPr>
              <w:t>扩建</w:t>
            </w:r>
          </w:p>
          <w:p w14:paraId="3E3178F0">
            <w:pPr>
              <w:jc w:val="left"/>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sym w:font="Wingdings 2" w:char="00A3"/>
            </w:r>
            <w:r>
              <w:rPr>
                <w:rFonts w:ascii="Times New Roman" w:hAnsi="Times New Roman" w:eastAsia="宋体" w:cs="Times New Roman"/>
                <w:color w:val="auto"/>
                <w:sz w:val="24"/>
                <w:szCs w:val="24"/>
                <w:u w:val="none"/>
              </w:rPr>
              <w:t>技术改造</w:t>
            </w:r>
          </w:p>
        </w:tc>
        <w:tc>
          <w:tcPr>
            <w:tcW w:w="1853" w:type="dxa"/>
            <w:vAlign w:val="center"/>
          </w:tcPr>
          <w:p w14:paraId="6052FC43">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建设项目</w:t>
            </w:r>
          </w:p>
          <w:p w14:paraId="408958B0">
            <w:pPr>
              <w:adjustRightInd w:val="0"/>
              <w:snapToGrid w:val="0"/>
              <w:jc w:val="center"/>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申报情形</w:t>
            </w:r>
          </w:p>
        </w:tc>
        <w:tc>
          <w:tcPr>
            <w:tcW w:w="3422" w:type="dxa"/>
            <w:vAlign w:val="center"/>
          </w:tcPr>
          <w:p w14:paraId="5DD98F17">
            <w:pPr>
              <w:jc w:val="left"/>
              <w:rPr>
                <w:rFonts w:ascii="Times New Roman" w:hAnsi="Times New Roman" w:eastAsia="宋体" w:cs="Times New Roman"/>
                <w:color w:val="auto"/>
                <w:sz w:val="24"/>
                <w:szCs w:val="24"/>
                <w:u w:val="none"/>
              </w:rPr>
            </w:pPr>
            <w:r>
              <w:rPr>
                <w:rFonts w:ascii="Times New Roman" w:hAnsi="Segoe UI Symbol" w:eastAsia="宋体" w:cs="Times New Roman"/>
                <w:color w:val="auto"/>
                <w:sz w:val="24"/>
                <w:szCs w:val="24"/>
                <w:u w:val="none"/>
              </w:rPr>
              <w:t>☑</w:t>
            </w:r>
            <w:r>
              <w:rPr>
                <w:rFonts w:ascii="Times New Roman" w:hAnsi="Times New Roman" w:eastAsia="宋体" w:cs="Times New Roman"/>
                <w:color w:val="auto"/>
                <w:sz w:val="24"/>
                <w:szCs w:val="24"/>
                <w:u w:val="none"/>
              </w:rPr>
              <w:t>首次申报项目</w:t>
            </w:r>
          </w:p>
          <w:p w14:paraId="2D10B009">
            <w:pPr>
              <w:jc w:val="left"/>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sym w:font="Wingdings 2" w:char="00A3"/>
            </w:r>
            <w:r>
              <w:rPr>
                <w:rFonts w:ascii="Times New Roman" w:hAnsi="Times New Roman" w:eastAsia="宋体" w:cs="Times New Roman"/>
                <w:color w:val="auto"/>
                <w:sz w:val="24"/>
                <w:szCs w:val="24"/>
                <w:u w:val="none"/>
              </w:rPr>
              <w:t>不予批准后再次申报项目</w:t>
            </w:r>
          </w:p>
          <w:p w14:paraId="52047831">
            <w:pPr>
              <w:jc w:val="left"/>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sym w:font="Wingdings 2" w:char="00A3"/>
            </w:r>
            <w:r>
              <w:rPr>
                <w:rFonts w:ascii="Times New Roman" w:hAnsi="Times New Roman" w:eastAsia="宋体" w:cs="Times New Roman"/>
                <w:color w:val="auto"/>
                <w:sz w:val="24"/>
                <w:szCs w:val="24"/>
                <w:u w:val="none"/>
              </w:rPr>
              <w:t>超五年重新审核项目</w:t>
            </w:r>
          </w:p>
          <w:p w14:paraId="07E4369F">
            <w:pPr>
              <w:jc w:val="left"/>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sym w:font="Wingdings 2" w:char="00A3"/>
            </w:r>
            <w:r>
              <w:rPr>
                <w:rFonts w:ascii="Times New Roman" w:hAnsi="Times New Roman" w:eastAsia="宋体" w:cs="Times New Roman"/>
                <w:color w:val="auto"/>
                <w:sz w:val="24"/>
                <w:szCs w:val="24"/>
                <w:u w:val="none"/>
              </w:rPr>
              <w:t>重大变动重新报批项目</w:t>
            </w:r>
          </w:p>
        </w:tc>
      </w:tr>
      <w:tr w14:paraId="0759B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29" w:hRule="atLeast"/>
          <w:jc w:val="center"/>
        </w:trPr>
        <w:tc>
          <w:tcPr>
            <w:tcW w:w="1428" w:type="dxa"/>
            <w:tcMar>
              <w:top w:w="16" w:type="dxa"/>
              <w:left w:w="16" w:type="dxa"/>
              <w:bottom w:w="0" w:type="dxa"/>
              <w:right w:w="16" w:type="dxa"/>
            </w:tcMar>
            <w:vAlign w:val="center"/>
          </w:tcPr>
          <w:p w14:paraId="0CDE9FAD">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w:t>
            </w:r>
          </w:p>
          <w:p w14:paraId="5C3D3680">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（核准/备案）</w:t>
            </w:r>
          </w:p>
          <w:p w14:paraId="069762DE">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部门（选填）</w:t>
            </w:r>
          </w:p>
        </w:tc>
        <w:tc>
          <w:tcPr>
            <w:tcW w:w="2172" w:type="dxa"/>
            <w:vAlign w:val="center"/>
          </w:tcPr>
          <w:p w14:paraId="0C5A6461">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岳阳县</w:t>
            </w:r>
            <w:r>
              <w:rPr>
                <w:rFonts w:hint="default" w:ascii="Times New Roman" w:hAnsi="Times New Roman" w:eastAsia="宋体" w:cs="Times New Roman"/>
                <w:color w:val="auto"/>
                <w:sz w:val="24"/>
                <w:szCs w:val="24"/>
                <w:u w:val="none"/>
              </w:rPr>
              <w:t>发展和改革局</w:t>
            </w:r>
          </w:p>
        </w:tc>
        <w:tc>
          <w:tcPr>
            <w:tcW w:w="1853" w:type="dxa"/>
            <w:vAlign w:val="center"/>
          </w:tcPr>
          <w:p w14:paraId="4E88C9E0">
            <w:pPr>
              <w:adjustRightInd w:val="0"/>
              <w:snapToGrid w:val="0"/>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w:t>
            </w:r>
          </w:p>
          <w:p w14:paraId="447F8426">
            <w:pPr>
              <w:adjustRightInd w:val="0"/>
              <w:snapToGrid w:val="0"/>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（核准/备案）文号（选填）</w:t>
            </w:r>
          </w:p>
        </w:tc>
        <w:tc>
          <w:tcPr>
            <w:tcW w:w="3422" w:type="dxa"/>
            <w:vAlign w:val="center"/>
          </w:tcPr>
          <w:p w14:paraId="7ED6F105">
            <w:pPr>
              <w:adjustRightInd w:val="0"/>
              <w:snapToGrid w:val="0"/>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无</w:t>
            </w:r>
          </w:p>
        </w:tc>
      </w:tr>
      <w:tr w14:paraId="4EA43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39" w:hRule="atLeast"/>
          <w:jc w:val="center"/>
        </w:trPr>
        <w:tc>
          <w:tcPr>
            <w:tcW w:w="1428" w:type="dxa"/>
            <w:tcMar>
              <w:top w:w="16" w:type="dxa"/>
              <w:left w:w="16" w:type="dxa"/>
              <w:bottom w:w="0" w:type="dxa"/>
              <w:right w:w="16" w:type="dxa"/>
            </w:tcMar>
            <w:vAlign w:val="center"/>
          </w:tcPr>
          <w:p w14:paraId="22DF8153">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2172" w:type="dxa"/>
            <w:vAlign w:val="center"/>
          </w:tcPr>
          <w:p w14:paraId="4BB19519">
            <w:pPr>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10000</w:t>
            </w:r>
          </w:p>
        </w:tc>
        <w:tc>
          <w:tcPr>
            <w:tcW w:w="1853" w:type="dxa"/>
            <w:tcMar>
              <w:top w:w="16" w:type="dxa"/>
              <w:left w:w="16" w:type="dxa"/>
              <w:bottom w:w="0" w:type="dxa"/>
              <w:right w:w="16" w:type="dxa"/>
            </w:tcMar>
            <w:vAlign w:val="center"/>
          </w:tcPr>
          <w:p w14:paraId="2FBA1572">
            <w:pPr>
              <w:adjustRightInd w:val="0"/>
              <w:snapToGrid w:val="0"/>
              <w:ind w:left="-105" w:leftChars="-50" w:right="-210" w:rightChars="-100"/>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环保投资（万元）</w:t>
            </w:r>
          </w:p>
        </w:tc>
        <w:tc>
          <w:tcPr>
            <w:tcW w:w="3422" w:type="dxa"/>
            <w:vAlign w:val="center"/>
          </w:tcPr>
          <w:p w14:paraId="757B0E55">
            <w:pPr>
              <w:adjustRightInd w:val="0"/>
              <w:snapToGrid w:val="0"/>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200</w:t>
            </w:r>
          </w:p>
        </w:tc>
      </w:tr>
      <w:tr w14:paraId="74C1D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43" w:hRule="atLeast"/>
          <w:jc w:val="center"/>
        </w:trPr>
        <w:tc>
          <w:tcPr>
            <w:tcW w:w="1428" w:type="dxa"/>
            <w:tcMar>
              <w:top w:w="16" w:type="dxa"/>
              <w:left w:w="16" w:type="dxa"/>
              <w:bottom w:w="0" w:type="dxa"/>
              <w:right w:w="16" w:type="dxa"/>
            </w:tcMar>
            <w:vAlign w:val="center"/>
          </w:tcPr>
          <w:p w14:paraId="7AE5FD99">
            <w:pPr>
              <w:adjustRightInd w:val="0"/>
              <w:snapToGrid w:val="0"/>
              <w:jc w:val="center"/>
              <w:rPr>
                <w:rFonts w:hint="default" w:ascii="Times New Roman" w:hAnsi="Times New Roman" w:eastAsia="宋体" w:cs="Times New Roman"/>
                <w:color w:val="auto"/>
                <w:spacing w:val="-16"/>
                <w:sz w:val="24"/>
                <w:szCs w:val="24"/>
                <w:u w:val="none"/>
              </w:rPr>
            </w:pPr>
            <w:r>
              <w:rPr>
                <w:rFonts w:hint="default" w:ascii="Times New Roman" w:hAnsi="Times New Roman" w:eastAsia="宋体" w:cs="Times New Roman"/>
                <w:color w:val="auto"/>
                <w:spacing w:val="-16"/>
                <w:sz w:val="24"/>
                <w:szCs w:val="24"/>
                <w:u w:val="none"/>
              </w:rPr>
              <w:t>环保投资占比（%）</w:t>
            </w:r>
          </w:p>
        </w:tc>
        <w:tc>
          <w:tcPr>
            <w:tcW w:w="2172" w:type="dxa"/>
            <w:vAlign w:val="center"/>
          </w:tcPr>
          <w:p w14:paraId="1F6C6AE4">
            <w:pPr>
              <w:jc w:val="center"/>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2</w:t>
            </w:r>
          </w:p>
        </w:tc>
        <w:tc>
          <w:tcPr>
            <w:tcW w:w="1853" w:type="dxa"/>
            <w:tcMar>
              <w:top w:w="16" w:type="dxa"/>
              <w:left w:w="16" w:type="dxa"/>
              <w:bottom w:w="0" w:type="dxa"/>
              <w:right w:w="16" w:type="dxa"/>
            </w:tcMar>
            <w:vAlign w:val="center"/>
          </w:tcPr>
          <w:p w14:paraId="1DA36E0B">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施工工期</w:t>
            </w:r>
          </w:p>
        </w:tc>
        <w:tc>
          <w:tcPr>
            <w:tcW w:w="3422" w:type="dxa"/>
            <w:vAlign w:val="center"/>
          </w:tcPr>
          <w:p w14:paraId="46867EB1">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6</w:t>
            </w:r>
            <w:r>
              <w:rPr>
                <w:rFonts w:hint="default" w:ascii="Times New Roman" w:hAnsi="Times New Roman" w:eastAsia="宋体" w:cs="Times New Roman"/>
                <w:color w:val="auto"/>
                <w:sz w:val="24"/>
                <w:szCs w:val="24"/>
                <w:u w:val="none"/>
              </w:rPr>
              <w:t>个月</w:t>
            </w:r>
          </w:p>
        </w:tc>
      </w:tr>
      <w:tr w14:paraId="3F162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8" w:hRule="atLeast"/>
          <w:jc w:val="center"/>
        </w:trPr>
        <w:tc>
          <w:tcPr>
            <w:tcW w:w="1428" w:type="dxa"/>
            <w:tcMar>
              <w:top w:w="16" w:type="dxa"/>
              <w:left w:w="16" w:type="dxa"/>
              <w:bottom w:w="0" w:type="dxa"/>
              <w:right w:w="16" w:type="dxa"/>
            </w:tcMar>
            <w:vAlign w:val="center"/>
          </w:tcPr>
          <w:p w14:paraId="202D0CF5">
            <w:pPr>
              <w:adjustRightInd w:val="0"/>
              <w:snapToGrid w:val="0"/>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2172" w:type="dxa"/>
            <w:vAlign w:val="center"/>
          </w:tcPr>
          <w:p w14:paraId="072EFD4C">
            <w:pPr>
              <w:adjustRightInd w:val="0"/>
              <w:snapToGrid w:val="0"/>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57D2DDAB">
            <w:pPr>
              <w:adjustRightInd w:val="0"/>
              <w:snapToGrid w:val="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sym w:font="Wingdings 2" w:char="0052"/>
            </w:r>
            <w:r>
              <w:rPr>
                <w:rFonts w:hint="default" w:ascii="Times New Roman" w:hAnsi="Times New Roman" w:eastAsia="宋体" w:cs="Times New Roman"/>
                <w:color w:val="auto"/>
                <w:sz w:val="24"/>
                <w:szCs w:val="24"/>
                <w:u w:val="none"/>
              </w:rPr>
              <w:t>是：</w:t>
            </w:r>
            <w:r>
              <w:rPr>
                <w:rFonts w:hint="eastAsia" w:ascii="Times New Roman" w:hAnsi="Times New Roman" w:eastAsia="宋体" w:cs="Times New Roman"/>
                <w:color w:val="auto"/>
                <w:sz w:val="24"/>
                <w:szCs w:val="24"/>
                <w:u w:val="single"/>
                <w:lang w:val="en-US" w:eastAsia="zh-CN"/>
              </w:rPr>
              <w:t>项目于2024年5月动工平整场地，目前还未进行主体工程建设，该项目建设岳阳市岳阳县生态环境保护综合行政执法大队出具了限期改正通知书（附件8）</w:t>
            </w:r>
          </w:p>
        </w:tc>
        <w:tc>
          <w:tcPr>
            <w:tcW w:w="1853" w:type="dxa"/>
            <w:tcMar>
              <w:top w:w="16" w:type="dxa"/>
              <w:left w:w="16" w:type="dxa"/>
              <w:bottom w:w="0" w:type="dxa"/>
              <w:right w:w="16" w:type="dxa"/>
            </w:tcMar>
            <w:vAlign w:val="center"/>
          </w:tcPr>
          <w:p w14:paraId="1595C6CC">
            <w:pPr>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用地面积（m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w:t>
            </w:r>
          </w:p>
        </w:tc>
        <w:tc>
          <w:tcPr>
            <w:tcW w:w="3422" w:type="dxa"/>
            <w:vAlign w:val="center"/>
          </w:tcPr>
          <w:p w14:paraId="3F22BAC2">
            <w:pPr>
              <w:jc w:val="center"/>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sz w:val="24"/>
                <w:szCs w:val="24"/>
                <w:u w:val="none"/>
                <w:lang w:val="en-US" w:eastAsia="zh-CN"/>
              </w:rPr>
              <w:t>29240.34</w:t>
            </w:r>
          </w:p>
        </w:tc>
      </w:tr>
      <w:tr w14:paraId="798D1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7" w:hRule="atLeast"/>
          <w:jc w:val="center"/>
        </w:trPr>
        <w:tc>
          <w:tcPr>
            <w:tcW w:w="1428" w:type="dxa"/>
            <w:tcMar>
              <w:top w:w="0" w:type="dxa"/>
              <w:left w:w="108" w:type="dxa"/>
              <w:bottom w:w="0" w:type="dxa"/>
              <w:right w:w="108" w:type="dxa"/>
            </w:tcMar>
            <w:vAlign w:val="center"/>
          </w:tcPr>
          <w:p w14:paraId="16BF4903">
            <w:pPr>
              <w:autoSpaceDE w:val="0"/>
              <w:autoSpaceDN w:val="0"/>
              <w:adjustRightInd w:val="0"/>
              <w:snapToGrid w:val="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7447" w:type="dxa"/>
            <w:gridSpan w:val="3"/>
            <w:tcMar>
              <w:top w:w="0" w:type="dxa"/>
              <w:left w:w="108" w:type="dxa"/>
              <w:bottom w:w="0" w:type="dxa"/>
              <w:right w:w="108" w:type="dxa"/>
            </w:tcMar>
            <w:vAlign w:val="center"/>
          </w:tcPr>
          <w:p w14:paraId="0F825273">
            <w:pPr>
              <w:autoSpaceDE w:val="0"/>
              <w:autoSpaceDN w:val="0"/>
              <w:adjustRightInd w:val="0"/>
              <w:snapToGrid w:val="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无</w:t>
            </w:r>
          </w:p>
        </w:tc>
      </w:tr>
      <w:tr w14:paraId="08022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428" w:type="dxa"/>
            <w:tcMar>
              <w:top w:w="0" w:type="dxa"/>
              <w:left w:w="108" w:type="dxa"/>
              <w:bottom w:w="0" w:type="dxa"/>
              <w:right w:w="108" w:type="dxa"/>
            </w:tcMar>
            <w:vAlign w:val="center"/>
          </w:tcPr>
          <w:p w14:paraId="556F1255">
            <w:pPr>
              <w:autoSpaceDE w:val="0"/>
              <w:autoSpaceDN w:val="0"/>
              <w:adjustRightInd w:val="0"/>
              <w:snapToGrid w:val="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7447" w:type="dxa"/>
            <w:gridSpan w:val="3"/>
            <w:tcMar>
              <w:top w:w="0" w:type="dxa"/>
              <w:left w:w="108" w:type="dxa"/>
              <w:bottom w:w="0" w:type="dxa"/>
              <w:right w:w="108" w:type="dxa"/>
            </w:tcMar>
            <w:vAlign w:val="center"/>
          </w:tcPr>
          <w:p w14:paraId="3CA56E02">
            <w:pPr>
              <w:autoSpaceDE w:val="0"/>
              <w:autoSpaceDN w:val="0"/>
              <w:adjustRightInd w:val="0"/>
              <w:snapToGrid w:val="0"/>
              <w:spacing w:line="360" w:lineRule="auto"/>
              <w:jc w:val="left"/>
              <w:rPr>
                <w:rFonts w:hint="default" w:ascii="Times New Roman" w:hAnsi="Times New Roman" w:eastAsia="宋体" w:cs="Times New Roman"/>
                <w:color w:val="auto"/>
                <w:spacing w:val="-14"/>
                <w:kern w:val="0"/>
                <w:sz w:val="24"/>
                <w:szCs w:val="24"/>
                <w:u w:val="none"/>
                <w:lang w:eastAsia="zh-CN"/>
              </w:rPr>
            </w:pPr>
            <w:r>
              <w:rPr>
                <w:rFonts w:hint="default" w:ascii="Times New Roman" w:hAnsi="Times New Roman" w:eastAsia="宋体" w:cs="Times New Roman"/>
                <w:color w:val="auto"/>
                <w:spacing w:val="-14"/>
                <w:kern w:val="0"/>
                <w:sz w:val="24"/>
                <w:szCs w:val="24"/>
                <w:u w:val="none"/>
                <w:lang w:eastAsia="zh-CN"/>
              </w:rPr>
              <w:t>名称：《</w:t>
            </w:r>
            <w:r>
              <w:rPr>
                <w:rFonts w:hint="default" w:ascii="Times New Roman" w:hAnsi="Times New Roman" w:eastAsia="宋体" w:cs="Times New Roman"/>
                <w:color w:val="auto"/>
                <w:spacing w:val="-6"/>
                <w:sz w:val="24"/>
                <w:szCs w:val="24"/>
                <w:u w:val="none"/>
                <w:lang w:val="en-US" w:eastAsia="zh-CN"/>
              </w:rPr>
              <w:t>岳阳市预拌商品混凝土专项规划(2023-2027年)</w:t>
            </w:r>
            <w:r>
              <w:rPr>
                <w:rFonts w:hint="default" w:ascii="Times New Roman" w:hAnsi="Times New Roman" w:eastAsia="宋体" w:cs="Times New Roman"/>
                <w:color w:val="auto"/>
                <w:spacing w:val="-14"/>
                <w:kern w:val="0"/>
                <w:sz w:val="24"/>
                <w:szCs w:val="24"/>
                <w:u w:val="none"/>
                <w:lang w:eastAsia="zh-CN"/>
              </w:rPr>
              <w:t>》</w:t>
            </w:r>
          </w:p>
          <w:p w14:paraId="31C76675">
            <w:pPr>
              <w:autoSpaceDE w:val="0"/>
              <w:autoSpaceDN w:val="0"/>
              <w:adjustRightInd w:val="0"/>
              <w:snapToGrid w:val="0"/>
              <w:spacing w:line="360" w:lineRule="auto"/>
              <w:jc w:val="left"/>
              <w:rPr>
                <w:rFonts w:hint="default" w:ascii="Times New Roman" w:hAnsi="Times New Roman" w:eastAsia="宋体" w:cs="Times New Roman"/>
                <w:color w:val="auto"/>
                <w:spacing w:val="-14"/>
                <w:kern w:val="0"/>
                <w:sz w:val="24"/>
                <w:szCs w:val="24"/>
                <w:u w:val="none"/>
                <w:lang w:eastAsia="zh-CN"/>
              </w:rPr>
            </w:pPr>
            <w:r>
              <w:rPr>
                <w:rFonts w:hint="default" w:ascii="Times New Roman" w:hAnsi="Times New Roman" w:eastAsia="宋体" w:cs="Times New Roman"/>
                <w:color w:val="auto"/>
                <w:spacing w:val="-14"/>
                <w:kern w:val="0"/>
                <w:sz w:val="24"/>
                <w:szCs w:val="24"/>
                <w:u w:val="none"/>
                <w:lang w:eastAsia="zh-CN"/>
              </w:rPr>
              <w:t>机关：岳阳市住房和城乡建设局</w:t>
            </w:r>
          </w:p>
          <w:p w14:paraId="0E6581ED">
            <w:pPr>
              <w:autoSpaceDE w:val="0"/>
              <w:autoSpaceDN w:val="0"/>
              <w:adjustRightInd w:val="0"/>
              <w:snapToGrid w:val="0"/>
              <w:spacing w:line="360" w:lineRule="auto"/>
              <w:jc w:val="left"/>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spacing w:val="-14"/>
                <w:kern w:val="0"/>
                <w:sz w:val="24"/>
                <w:szCs w:val="24"/>
                <w:u w:val="none"/>
                <w:lang w:eastAsia="zh-CN"/>
              </w:rPr>
              <w:t>文号：岳建发〔20</w:t>
            </w:r>
            <w:r>
              <w:rPr>
                <w:rFonts w:hint="default" w:ascii="Times New Roman" w:hAnsi="Times New Roman" w:eastAsia="宋体" w:cs="Times New Roman"/>
                <w:color w:val="auto"/>
                <w:spacing w:val="-14"/>
                <w:kern w:val="0"/>
                <w:sz w:val="24"/>
                <w:szCs w:val="24"/>
                <w:u w:val="none"/>
                <w:lang w:val="en-US" w:eastAsia="zh-CN"/>
              </w:rPr>
              <w:t>23</w:t>
            </w:r>
            <w:r>
              <w:rPr>
                <w:rFonts w:hint="default" w:ascii="Times New Roman" w:hAnsi="Times New Roman" w:eastAsia="宋体" w:cs="Times New Roman"/>
                <w:color w:val="auto"/>
                <w:spacing w:val="-14"/>
                <w:kern w:val="0"/>
                <w:sz w:val="24"/>
                <w:szCs w:val="24"/>
                <w:u w:val="none"/>
                <w:lang w:eastAsia="zh-CN"/>
              </w:rPr>
              <w:t>〕</w:t>
            </w:r>
            <w:r>
              <w:rPr>
                <w:rFonts w:hint="default" w:ascii="Times New Roman" w:hAnsi="Times New Roman" w:eastAsia="宋体" w:cs="Times New Roman"/>
                <w:color w:val="auto"/>
                <w:spacing w:val="-14"/>
                <w:kern w:val="0"/>
                <w:sz w:val="24"/>
                <w:szCs w:val="24"/>
                <w:u w:val="none"/>
                <w:lang w:val="en-US" w:eastAsia="zh-CN"/>
              </w:rPr>
              <w:t>49</w:t>
            </w:r>
            <w:r>
              <w:rPr>
                <w:rFonts w:hint="default" w:ascii="Times New Roman" w:hAnsi="Times New Roman" w:eastAsia="宋体" w:cs="Times New Roman"/>
                <w:color w:val="auto"/>
                <w:spacing w:val="-14"/>
                <w:kern w:val="0"/>
                <w:sz w:val="24"/>
                <w:szCs w:val="24"/>
                <w:u w:val="none"/>
                <w:lang w:eastAsia="zh-CN"/>
              </w:rPr>
              <w:t>号</w:t>
            </w:r>
          </w:p>
        </w:tc>
      </w:tr>
      <w:tr w14:paraId="67CE2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12" w:hRule="atLeast"/>
          <w:jc w:val="center"/>
        </w:trPr>
        <w:tc>
          <w:tcPr>
            <w:tcW w:w="1428" w:type="dxa"/>
            <w:tcMar>
              <w:top w:w="0" w:type="dxa"/>
              <w:left w:w="108" w:type="dxa"/>
              <w:bottom w:w="0" w:type="dxa"/>
              <w:right w:w="108" w:type="dxa"/>
            </w:tcMar>
            <w:vAlign w:val="center"/>
          </w:tcPr>
          <w:p w14:paraId="57FE47F4">
            <w:pPr>
              <w:adjustRightInd w:val="0"/>
              <w:snapToGrid w:val="0"/>
              <w:jc w:val="center"/>
              <w:rPr>
                <w:rFonts w:ascii="Times New Roman" w:hAnsi="Times New Roman" w:eastAsia="宋体" w:cs="Times New Roman"/>
                <w:color w:val="auto"/>
                <w:kern w:val="0"/>
                <w:sz w:val="24"/>
                <w:szCs w:val="24"/>
                <w:u w:val="none"/>
              </w:rPr>
            </w:pPr>
            <w:r>
              <w:rPr>
                <w:rFonts w:ascii="Times New Roman" w:hAnsi="Times New Roman" w:eastAsia="宋体" w:cs="Times New Roman"/>
                <w:color w:val="auto"/>
                <w:sz w:val="24"/>
                <w:szCs w:val="24"/>
                <w:u w:val="none"/>
              </w:rPr>
              <w:t>规划环境影响评价情况</w:t>
            </w:r>
          </w:p>
        </w:tc>
        <w:tc>
          <w:tcPr>
            <w:tcW w:w="7447" w:type="dxa"/>
            <w:gridSpan w:val="3"/>
            <w:tcMar>
              <w:top w:w="0" w:type="dxa"/>
              <w:left w:w="108" w:type="dxa"/>
              <w:bottom w:w="0" w:type="dxa"/>
              <w:right w:w="108" w:type="dxa"/>
            </w:tcMar>
            <w:vAlign w:val="center"/>
          </w:tcPr>
          <w:p w14:paraId="20AD987E">
            <w:pPr>
              <w:autoSpaceDE w:val="0"/>
              <w:autoSpaceDN w:val="0"/>
              <w:adjustRightInd w:val="0"/>
              <w:snapToGrid w:val="0"/>
              <w:jc w:val="center"/>
              <w:rPr>
                <w:rFonts w:hint="eastAsia" w:ascii="Times New Roman" w:hAnsi="Times New Roman" w:eastAsia="宋体" w:cs="Times New Roman"/>
                <w:color w:val="auto"/>
                <w:spacing w:val="-14"/>
                <w:kern w:val="0"/>
                <w:sz w:val="24"/>
                <w:szCs w:val="24"/>
                <w:u w:val="none"/>
                <w:lang w:eastAsia="zh-CN"/>
              </w:rPr>
            </w:pPr>
            <w:r>
              <w:rPr>
                <w:rFonts w:hint="eastAsia" w:ascii="Times New Roman" w:hAnsi="Times New Roman" w:eastAsia="宋体" w:cs="Times New Roman"/>
                <w:color w:val="auto"/>
                <w:spacing w:val="-14"/>
                <w:kern w:val="0"/>
                <w:sz w:val="24"/>
                <w:szCs w:val="24"/>
                <w:u w:val="none"/>
                <w:lang w:val="en-US" w:eastAsia="zh-CN"/>
              </w:rPr>
              <w:t>无</w:t>
            </w:r>
          </w:p>
        </w:tc>
      </w:tr>
      <w:tr w14:paraId="2C3FE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5" w:hRule="atLeast"/>
          <w:jc w:val="center"/>
        </w:trPr>
        <w:tc>
          <w:tcPr>
            <w:tcW w:w="1428" w:type="dxa"/>
            <w:tcMar>
              <w:top w:w="0" w:type="dxa"/>
              <w:left w:w="108" w:type="dxa"/>
              <w:bottom w:w="0" w:type="dxa"/>
              <w:right w:w="108" w:type="dxa"/>
            </w:tcMar>
            <w:vAlign w:val="center"/>
          </w:tcPr>
          <w:p w14:paraId="34DA0C0F">
            <w:pPr>
              <w:autoSpaceDE w:val="0"/>
              <w:autoSpaceDN w:val="0"/>
              <w:adjustRightInd w:val="0"/>
              <w:snapToGrid w:val="0"/>
              <w:jc w:val="center"/>
              <w:rPr>
                <w:rFonts w:ascii="Times New Roman" w:hAnsi="Times New Roman" w:eastAsia="宋体" w:cs="Times New Roman"/>
                <w:color w:val="auto"/>
                <w:kern w:val="0"/>
                <w:sz w:val="24"/>
                <w:szCs w:val="24"/>
                <w:u w:val="none"/>
              </w:rPr>
            </w:pPr>
            <w:r>
              <w:rPr>
                <w:rFonts w:ascii="Times New Roman" w:hAnsi="Times New Roman" w:eastAsia="宋体" w:cs="Times New Roman"/>
                <w:color w:val="auto"/>
                <w:kern w:val="0"/>
                <w:sz w:val="24"/>
                <w:szCs w:val="24"/>
                <w:u w:val="none"/>
              </w:rPr>
              <w:t>规划及规划环境影响评价符合性分析</w:t>
            </w:r>
          </w:p>
        </w:tc>
        <w:tc>
          <w:tcPr>
            <w:tcW w:w="7447" w:type="dxa"/>
            <w:gridSpan w:val="3"/>
            <w:tcMar>
              <w:top w:w="0" w:type="dxa"/>
              <w:left w:w="108" w:type="dxa"/>
              <w:bottom w:w="0" w:type="dxa"/>
              <w:right w:w="108" w:type="dxa"/>
            </w:tcMar>
            <w:vAlign w:val="center"/>
          </w:tcPr>
          <w:p w14:paraId="6B482D3A">
            <w:pPr>
              <w:spacing w:line="360" w:lineRule="auto"/>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与</w:t>
            </w:r>
            <w:r>
              <w:rPr>
                <w:rFonts w:hint="eastAsia" w:ascii="Times New Roman" w:hAnsi="Times New Roman" w:cs="Times New Roman"/>
                <w:b/>
                <w:bCs/>
                <w:color w:val="auto"/>
                <w:sz w:val="24"/>
                <w:szCs w:val="24"/>
                <w:u w:val="none"/>
              </w:rPr>
              <w:t>《岳阳市预拌商品混凝土专项规划（20</w:t>
            </w:r>
            <w:r>
              <w:rPr>
                <w:rFonts w:hint="eastAsia" w:ascii="Times New Roman" w:hAnsi="Times New Roman" w:cs="Times New Roman"/>
                <w:b/>
                <w:bCs/>
                <w:color w:val="auto"/>
                <w:sz w:val="24"/>
                <w:szCs w:val="24"/>
                <w:u w:val="none"/>
                <w:lang w:val="en-US" w:eastAsia="zh-CN"/>
              </w:rPr>
              <w:t>23</w:t>
            </w:r>
            <w:r>
              <w:rPr>
                <w:rFonts w:hint="eastAsia" w:ascii="Times New Roman" w:hAnsi="Times New Roman" w:cs="Times New Roman"/>
                <w:b/>
                <w:bCs/>
                <w:color w:val="auto"/>
                <w:sz w:val="24"/>
                <w:szCs w:val="24"/>
                <w:u w:val="none"/>
              </w:rPr>
              <w:t>年-20</w:t>
            </w:r>
            <w:r>
              <w:rPr>
                <w:rFonts w:hint="eastAsia" w:ascii="Times New Roman" w:hAnsi="Times New Roman" w:cs="Times New Roman"/>
                <w:b/>
                <w:bCs/>
                <w:color w:val="auto"/>
                <w:sz w:val="24"/>
                <w:szCs w:val="24"/>
                <w:u w:val="none"/>
                <w:lang w:val="en-US" w:eastAsia="zh-CN"/>
              </w:rPr>
              <w:t>27</w:t>
            </w:r>
            <w:r>
              <w:rPr>
                <w:rFonts w:hint="eastAsia" w:ascii="Times New Roman" w:hAnsi="Times New Roman" w:cs="Times New Roman"/>
                <w:b/>
                <w:bCs/>
                <w:color w:val="auto"/>
                <w:sz w:val="24"/>
                <w:szCs w:val="24"/>
                <w:u w:val="none"/>
              </w:rPr>
              <w:t>年）》</w:t>
            </w:r>
            <w:r>
              <w:rPr>
                <w:rFonts w:ascii="Times New Roman" w:hAnsi="Times New Roman" w:cs="Times New Roman"/>
                <w:b/>
                <w:bCs/>
                <w:color w:val="auto"/>
                <w:sz w:val="24"/>
                <w:szCs w:val="24"/>
                <w:u w:val="none"/>
              </w:rPr>
              <w:t>相符性分析</w:t>
            </w:r>
          </w:p>
          <w:p w14:paraId="2BA3E96C">
            <w:pPr>
              <w:spacing w:line="360" w:lineRule="auto"/>
              <w:ind w:firstLine="480" w:firstLineChars="200"/>
              <w:rPr>
                <w:rFonts w:hint="eastAsia" w:ascii="Times New Roman" w:hAnsi="Times New Roman" w:eastAsia="宋体" w:cs="Times New Roman"/>
                <w:color w:val="auto"/>
                <w:kern w:val="0"/>
                <w:sz w:val="24"/>
                <w:szCs w:val="24"/>
                <w:u w:val="none"/>
                <w:lang w:val="en-US" w:eastAsia="zh-CN"/>
              </w:rPr>
            </w:pPr>
            <w:r>
              <w:rPr>
                <w:rFonts w:hint="eastAsia" w:ascii="Times New Roman" w:hAnsi="Times New Roman" w:eastAsia="宋体" w:cs="Times New Roman"/>
                <w:color w:val="auto"/>
                <w:kern w:val="0"/>
                <w:sz w:val="24"/>
                <w:szCs w:val="24"/>
                <w:u w:val="none"/>
                <w:lang w:val="en-US" w:eastAsia="zh-CN"/>
              </w:rPr>
              <w:t>截至2022年底岳阳县</w:t>
            </w:r>
            <w:r>
              <w:rPr>
                <w:rFonts w:hint="eastAsia" w:ascii="Times New Roman" w:hAnsi="Times New Roman" w:eastAsia="宋体" w:cs="Times New Roman"/>
                <w:color w:val="auto"/>
                <w:kern w:val="0"/>
                <w:sz w:val="24"/>
                <w:szCs w:val="24"/>
                <w:u w:val="none"/>
              </w:rPr>
              <w:t>现已有</w:t>
            </w:r>
            <w:r>
              <w:rPr>
                <w:rFonts w:hint="eastAsia" w:ascii="Times New Roman" w:hAnsi="Times New Roman" w:eastAsia="宋体" w:cs="Times New Roman"/>
                <w:color w:val="auto"/>
                <w:kern w:val="0"/>
                <w:sz w:val="24"/>
                <w:szCs w:val="24"/>
                <w:u w:val="none"/>
                <w:lang w:val="en-US" w:eastAsia="zh-CN"/>
              </w:rPr>
              <w:t>13</w:t>
            </w:r>
            <w:r>
              <w:rPr>
                <w:rFonts w:hint="eastAsia" w:ascii="Times New Roman" w:hAnsi="Times New Roman" w:eastAsia="宋体" w:cs="Times New Roman"/>
                <w:color w:val="auto"/>
                <w:kern w:val="0"/>
                <w:sz w:val="24"/>
                <w:szCs w:val="24"/>
                <w:u w:val="none"/>
              </w:rPr>
              <w:t>家具备生产资质</w:t>
            </w:r>
            <w:r>
              <w:rPr>
                <w:rFonts w:hint="eastAsia" w:ascii="Times New Roman" w:hAnsi="Times New Roman" w:eastAsia="宋体" w:cs="Times New Roman"/>
                <w:color w:val="auto"/>
                <w:kern w:val="0"/>
                <w:sz w:val="24"/>
                <w:szCs w:val="24"/>
                <w:u w:val="none"/>
                <w:lang w:eastAsia="zh-CN"/>
              </w:rPr>
              <w:t>在生产</w:t>
            </w:r>
            <w:r>
              <w:rPr>
                <w:rFonts w:hint="eastAsia" w:ascii="Times New Roman" w:hAnsi="Times New Roman" w:eastAsia="宋体" w:cs="Times New Roman"/>
                <w:color w:val="auto"/>
                <w:kern w:val="0"/>
                <w:sz w:val="24"/>
                <w:szCs w:val="24"/>
                <w:u w:val="none"/>
              </w:rPr>
              <w:t>的预拌混凝土企业</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详见附件5</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具体如下：</w:t>
            </w:r>
          </w:p>
          <w:p w14:paraId="3B49491A">
            <w:pPr>
              <w:spacing w:line="240" w:lineRule="auto"/>
              <w:ind w:firstLine="482" w:firstLineChars="200"/>
              <w:jc w:val="center"/>
              <w:rPr>
                <w:rFonts w:hint="eastAsia" w:ascii="Times New Roman" w:hAnsi="Times New Roman" w:eastAsia="宋体" w:cs="Times New Roman"/>
                <w:b/>
                <w:bCs/>
                <w:color w:val="auto"/>
                <w:kern w:val="0"/>
                <w:sz w:val="24"/>
                <w:szCs w:val="24"/>
                <w:u w:val="none"/>
                <w:lang w:val="en-US" w:eastAsia="zh-CN"/>
              </w:rPr>
            </w:pPr>
            <w:r>
              <w:rPr>
                <w:rFonts w:hint="eastAsia" w:ascii="Times New Roman" w:hAnsi="Times New Roman" w:eastAsia="宋体" w:cs="Times New Roman"/>
                <w:b/>
                <w:bCs/>
                <w:color w:val="auto"/>
                <w:kern w:val="0"/>
                <w:sz w:val="24"/>
                <w:szCs w:val="24"/>
                <w:u w:val="none"/>
                <w:lang w:val="en-US" w:eastAsia="zh-CN"/>
              </w:rPr>
              <w:t>表1-1 岳阳县2022年底已建成投产（含在建）</w:t>
            </w:r>
          </w:p>
          <w:p w14:paraId="1B23898E">
            <w:pPr>
              <w:spacing w:line="240" w:lineRule="auto"/>
              <w:ind w:firstLine="482" w:firstLineChars="200"/>
              <w:jc w:val="center"/>
              <w:rPr>
                <w:rFonts w:hint="eastAsia" w:ascii="Times New Roman" w:hAnsi="Times New Roman" w:eastAsia="宋体" w:cs="Times New Roman"/>
                <w:b/>
                <w:bCs/>
                <w:color w:val="auto"/>
                <w:kern w:val="0"/>
                <w:sz w:val="24"/>
                <w:szCs w:val="24"/>
                <w:u w:val="none"/>
                <w:lang w:val="en-US" w:eastAsia="zh-CN"/>
              </w:rPr>
            </w:pPr>
            <w:r>
              <w:rPr>
                <w:rFonts w:hint="eastAsia" w:ascii="Times New Roman" w:hAnsi="Times New Roman" w:eastAsia="宋体" w:cs="Times New Roman"/>
                <w:b/>
                <w:bCs/>
                <w:color w:val="auto"/>
                <w:kern w:val="0"/>
                <w:sz w:val="24"/>
                <w:szCs w:val="24"/>
                <w:u w:val="none"/>
                <w:lang w:val="en-US" w:eastAsia="zh-CN"/>
              </w:rPr>
              <w:t>预拌商品混凝土搅拌站点一览表</w:t>
            </w:r>
          </w:p>
          <w:tbl>
            <w:tblPr>
              <w:tblStyle w:val="27"/>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3"/>
              <w:gridCol w:w="1617"/>
              <w:gridCol w:w="1840"/>
              <w:gridCol w:w="1047"/>
              <w:gridCol w:w="1182"/>
              <w:gridCol w:w="1129"/>
            </w:tblGrid>
            <w:tr w14:paraId="284EA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6520CB03">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序号</w:t>
                  </w:r>
                </w:p>
              </w:tc>
              <w:tc>
                <w:tcPr>
                  <w:tcW w:w="1123" w:type="pct"/>
                  <w:tcBorders>
                    <w:tl2br w:val="nil"/>
                    <w:tr2bl w:val="nil"/>
                  </w:tcBorders>
                  <w:vAlign w:val="center"/>
                </w:tcPr>
                <w:p w14:paraId="5CCA7D54">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企业名称</w:t>
                  </w:r>
                </w:p>
              </w:tc>
              <w:tc>
                <w:tcPr>
                  <w:tcW w:w="1278" w:type="pct"/>
                  <w:tcBorders>
                    <w:tl2br w:val="nil"/>
                    <w:tr2bl w:val="nil"/>
                  </w:tcBorders>
                  <w:vAlign w:val="center"/>
                </w:tcPr>
                <w:p w14:paraId="0FB1972C">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生产地址</w:t>
                  </w:r>
                </w:p>
              </w:tc>
              <w:tc>
                <w:tcPr>
                  <w:tcW w:w="727" w:type="pct"/>
                  <w:tcBorders>
                    <w:tl2br w:val="nil"/>
                    <w:tr2bl w:val="nil"/>
                  </w:tcBorders>
                  <w:vAlign w:val="center"/>
                </w:tcPr>
                <w:p w14:paraId="1F6908DF">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规模（万m</w:t>
                  </w:r>
                  <w:r>
                    <w:rPr>
                      <w:rFonts w:hint="eastAsia" w:ascii="Times New Roman" w:hAnsi="Times New Roman" w:eastAsia="宋体" w:cs="Times New Roman"/>
                      <w:color w:val="auto"/>
                      <w:kern w:val="0"/>
                      <w:sz w:val="21"/>
                      <w:szCs w:val="21"/>
                      <w:u w:val="none"/>
                      <w:vertAlign w:val="superscript"/>
                      <w:lang w:val="en-US" w:eastAsia="zh-CN"/>
                    </w:rPr>
                    <w:t>3</w:t>
                  </w:r>
                  <w:r>
                    <w:rPr>
                      <w:rFonts w:hint="eastAsia" w:ascii="Times New Roman" w:hAnsi="Times New Roman" w:eastAsia="宋体" w:cs="Times New Roman"/>
                      <w:color w:val="auto"/>
                      <w:kern w:val="0"/>
                      <w:sz w:val="21"/>
                      <w:szCs w:val="21"/>
                      <w:u w:val="none"/>
                      <w:vertAlign w:val="baseline"/>
                      <w:lang w:val="en-US" w:eastAsia="zh-CN"/>
                    </w:rPr>
                    <w:t>/年）</w:t>
                  </w:r>
                </w:p>
              </w:tc>
              <w:tc>
                <w:tcPr>
                  <w:tcW w:w="820" w:type="pct"/>
                  <w:tcBorders>
                    <w:tl2br w:val="nil"/>
                    <w:tr2bl w:val="nil"/>
                  </w:tcBorders>
                  <w:vAlign w:val="center"/>
                </w:tcPr>
                <w:p w14:paraId="055BBF77">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批复日期</w:t>
                  </w:r>
                </w:p>
              </w:tc>
              <w:tc>
                <w:tcPr>
                  <w:tcW w:w="784" w:type="pct"/>
                  <w:tcBorders>
                    <w:tl2br w:val="nil"/>
                    <w:tr2bl w:val="nil"/>
                  </w:tcBorders>
                  <w:vAlign w:val="center"/>
                </w:tcPr>
                <w:p w14:paraId="6C9C279E">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目前生产状态</w:t>
                  </w:r>
                </w:p>
              </w:tc>
            </w:tr>
            <w:tr w14:paraId="43807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34941A5D">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1</w:t>
                  </w:r>
                </w:p>
              </w:tc>
              <w:tc>
                <w:tcPr>
                  <w:tcW w:w="1123" w:type="pct"/>
                  <w:tcBorders>
                    <w:tl2br w:val="nil"/>
                    <w:tr2bl w:val="nil"/>
                  </w:tcBorders>
                  <w:vAlign w:val="center"/>
                </w:tcPr>
                <w:p w14:paraId="6EE07A98">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岳阳华铭混凝土有限公司</w:t>
                  </w:r>
                </w:p>
              </w:tc>
              <w:tc>
                <w:tcPr>
                  <w:tcW w:w="1278" w:type="pct"/>
                  <w:tcBorders>
                    <w:tl2br w:val="nil"/>
                    <w:tr2bl w:val="nil"/>
                  </w:tcBorders>
                  <w:vAlign w:val="center"/>
                </w:tcPr>
                <w:p w14:paraId="77C7790F">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岳阳县新开镇胜天村桂花组</w:t>
                  </w:r>
                </w:p>
              </w:tc>
              <w:tc>
                <w:tcPr>
                  <w:tcW w:w="727" w:type="pct"/>
                  <w:tcBorders>
                    <w:tl2br w:val="nil"/>
                    <w:tr2bl w:val="nil"/>
                  </w:tcBorders>
                  <w:vAlign w:val="center"/>
                </w:tcPr>
                <w:p w14:paraId="0B2174D3">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90</w:t>
                  </w:r>
                </w:p>
              </w:tc>
              <w:tc>
                <w:tcPr>
                  <w:tcW w:w="820" w:type="pct"/>
                  <w:tcBorders>
                    <w:tl2br w:val="nil"/>
                    <w:tr2bl w:val="nil"/>
                  </w:tcBorders>
                  <w:vAlign w:val="center"/>
                </w:tcPr>
                <w:p w14:paraId="7E469889">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2015.6</w:t>
                  </w:r>
                </w:p>
              </w:tc>
              <w:tc>
                <w:tcPr>
                  <w:tcW w:w="784" w:type="pct"/>
                  <w:tcBorders>
                    <w:tl2br w:val="nil"/>
                    <w:tr2bl w:val="nil"/>
                  </w:tcBorders>
                  <w:vAlign w:val="center"/>
                </w:tcPr>
                <w:p w14:paraId="538B2032">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6224F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2F6B613E">
                  <w:pPr>
                    <w:spacing w:line="240" w:lineRule="auto"/>
                    <w:jc w:val="center"/>
                    <w:rPr>
                      <w:rFonts w:hint="default" w:ascii="Times New Roman" w:hAnsi="Times New Roman" w:eastAsia="宋体" w:cs="Times New Roman"/>
                      <w:b/>
                      <w:bCs/>
                      <w:color w:val="auto"/>
                      <w:kern w:val="0"/>
                      <w:sz w:val="21"/>
                      <w:szCs w:val="21"/>
                      <w:u w:val="none"/>
                      <w:vertAlign w:val="baseline"/>
                      <w:lang w:val="en-US" w:eastAsia="zh-CN"/>
                    </w:rPr>
                  </w:pPr>
                  <w:r>
                    <w:rPr>
                      <w:rFonts w:hint="eastAsia" w:ascii="Times New Roman" w:hAnsi="Times New Roman" w:eastAsia="宋体" w:cs="Times New Roman"/>
                      <w:b/>
                      <w:bCs/>
                      <w:color w:val="auto"/>
                      <w:kern w:val="0"/>
                      <w:sz w:val="21"/>
                      <w:szCs w:val="21"/>
                      <w:u w:val="none"/>
                      <w:vertAlign w:val="baseline"/>
                      <w:lang w:val="en-US" w:eastAsia="zh-CN"/>
                    </w:rPr>
                    <w:t>2</w:t>
                  </w:r>
                </w:p>
              </w:tc>
              <w:tc>
                <w:tcPr>
                  <w:tcW w:w="1123" w:type="pct"/>
                  <w:tcBorders>
                    <w:tl2br w:val="nil"/>
                    <w:tr2bl w:val="nil"/>
                  </w:tcBorders>
                  <w:vAlign w:val="center"/>
                </w:tcPr>
                <w:p w14:paraId="28E6FFB0">
                  <w:pPr>
                    <w:spacing w:line="240" w:lineRule="auto"/>
                    <w:jc w:val="center"/>
                    <w:rPr>
                      <w:rFonts w:hint="eastAsia" w:ascii="Times New Roman" w:hAnsi="Times New Roman" w:eastAsia="宋体" w:cs="Times New Roman"/>
                      <w:b/>
                      <w:bCs/>
                      <w:color w:val="auto"/>
                      <w:kern w:val="0"/>
                      <w:sz w:val="21"/>
                      <w:szCs w:val="21"/>
                      <w:u w:val="none"/>
                      <w:vertAlign w:val="baseline"/>
                      <w:lang w:val="en-US" w:eastAsia="zh-CN"/>
                    </w:rPr>
                  </w:pPr>
                  <w:r>
                    <w:rPr>
                      <w:rFonts w:hint="eastAsia" w:ascii="Times New Roman" w:hAnsi="Times New Roman" w:eastAsia="宋体" w:cs="Times New Roman"/>
                      <w:b/>
                      <w:bCs/>
                      <w:color w:val="auto"/>
                      <w:kern w:val="0"/>
                      <w:sz w:val="21"/>
                      <w:szCs w:val="21"/>
                      <w:u w:val="none"/>
                      <w:vertAlign w:val="baseline"/>
                      <w:lang w:val="en-US" w:eastAsia="zh-CN"/>
                    </w:rPr>
                    <w:t>岳阳县凌云混凝土有限公司</w:t>
                  </w:r>
                </w:p>
              </w:tc>
              <w:tc>
                <w:tcPr>
                  <w:tcW w:w="1278" w:type="pct"/>
                  <w:tcBorders>
                    <w:tl2br w:val="nil"/>
                    <w:tr2bl w:val="nil"/>
                  </w:tcBorders>
                  <w:vAlign w:val="center"/>
                </w:tcPr>
                <w:p w14:paraId="17A321B8">
                  <w:pPr>
                    <w:spacing w:line="240" w:lineRule="auto"/>
                    <w:jc w:val="center"/>
                    <w:rPr>
                      <w:rFonts w:hint="eastAsia" w:ascii="Times New Roman" w:hAnsi="Times New Roman" w:eastAsia="宋体" w:cs="Times New Roman"/>
                      <w:b/>
                      <w:bCs/>
                      <w:color w:val="auto"/>
                      <w:kern w:val="0"/>
                      <w:sz w:val="21"/>
                      <w:szCs w:val="21"/>
                      <w:u w:val="none"/>
                      <w:vertAlign w:val="baseline"/>
                      <w:lang w:val="en-US" w:eastAsia="zh-CN"/>
                    </w:rPr>
                  </w:pPr>
                  <w:r>
                    <w:rPr>
                      <w:rFonts w:hint="eastAsia" w:ascii="Times New Roman" w:hAnsi="Times New Roman" w:eastAsia="宋体" w:cs="Times New Roman"/>
                      <w:b/>
                      <w:bCs/>
                      <w:color w:val="auto"/>
                      <w:kern w:val="0"/>
                      <w:sz w:val="21"/>
                      <w:szCs w:val="21"/>
                      <w:u w:val="none"/>
                      <w:vertAlign w:val="baseline"/>
                      <w:lang w:val="en-US" w:eastAsia="zh-CN"/>
                    </w:rPr>
                    <w:t>岳阳县荣家湾镇欣荣村和荣鹿村交界（变更新址）</w:t>
                  </w:r>
                </w:p>
              </w:tc>
              <w:tc>
                <w:tcPr>
                  <w:tcW w:w="727" w:type="pct"/>
                  <w:tcBorders>
                    <w:tl2br w:val="nil"/>
                    <w:tr2bl w:val="nil"/>
                  </w:tcBorders>
                  <w:vAlign w:val="center"/>
                </w:tcPr>
                <w:p w14:paraId="6C01AF52">
                  <w:pPr>
                    <w:spacing w:line="240" w:lineRule="auto"/>
                    <w:jc w:val="center"/>
                    <w:rPr>
                      <w:rFonts w:hint="default" w:ascii="Times New Roman" w:hAnsi="Times New Roman" w:eastAsia="宋体" w:cs="Times New Roman"/>
                      <w:b/>
                      <w:bCs/>
                      <w:color w:val="auto"/>
                      <w:kern w:val="0"/>
                      <w:sz w:val="21"/>
                      <w:szCs w:val="21"/>
                      <w:u w:val="none"/>
                      <w:vertAlign w:val="baseline"/>
                      <w:lang w:val="en-US" w:eastAsia="zh-CN"/>
                    </w:rPr>
                  </w:pPr>
                  <w:r>
                    <w:rPr>
                      <w:rFonts w:hint="eastAsia" w:ascii="Times New Roman" w:hAnsi="Times New Roman" w:eastAsia="宋体" w:cs="Times New Roman"/>
                      <w:b/>
                      <w:bCs/>
                      <w:color w:val="auto"/>
                      <w:kern w:val="0"/>
                      <w:sz w:val="21"/>
                      <w:szCs w:val="21"/>
                      <w:u w:val="none"/>
                      <w:vertAlign w:val="baseline"/>
                      <w:lang w:val="en-US" w:eastAsia="zh-CN"/>
                    </w:rPr>
                    <w:t>60</w:t>
                  </w:r>
                </w:p>
              </w:tc>
              <w:tc>
                <w:tcPr>
                  <w:tcW w:w="820" w:type="pct"/>
                  <w:tcBorders>
                    <w:tl2br w:val="nil"/>
                    <w:tr2bl w:val="nil"/>
                  </w:tcBorders>
                  <w:vAlign w:val="center"/>
                </w:tcPr>
                <w:p w14:paraId="02A8A9CD">
                  <w:pPr>
                    <w:spacing w:line="240" w:lineRule="auto"/>
                    <w:jc w:val="center"/>
                    <w:rPr>
                      <w:rFonts w:hint="default" w:ascii="Times New Roman" w:hAnsi="Times New Roman" w:eastAsia="宋体" w:cs="Times New Roman"/>
                      <w:b/>
                      <w:bCs/>
                      <w:color w:val="auto"/>
                      <w:kern w:val="0"/>
                      <w:sz w:val="21"/>
                      <w:szCs w:val="21"/>
                      <w:u w:val="none"/>
                      <w:vertAlign w:val="baseline"/>
                      <w:lang w:val="en-US" w:eastAsia="zh-CN"/>
                    </w:rPr>
                  </w:pPr>
                  <w:r>
                    <w:rPr>
                      <w:rFonts w:hint="eastAsia" w:ascii="Times New Roman" w:hAnsi="Times New Roman" w:eastAsia="宋体" w:cs="Times New Roman"/>
                      <w:b/>
                      <w:bCs/>
                      <w:color w:val="auto"/>
                      <w:kern w:val="0"/>
                      <w:sz w:val="21"/>
                      <w:szCs w:val="21"/>
                      <w:u w:val="none"/>
                      <w:vertAlign w:val="baseline"/>
                      <w:lang w:val="en-US" w:eastAsia="zh-CN"/>
                    </w:rPr>
                    <w:t>2016年6月（原站点）</w:t>
                  </w:r>
                </w:p>
              </w:tc>
              <w:tc>
                <w:tcPr>
                  <w:tcW w:w="784" w:type="pct"/>
                  <w:tcBorders>
                    <w:tl2br w:val="nil"/>
                    <w:tr2bl w:val="nil"/>
                  </w:tcBorders>
                  <w:vAlign w:val="center"/>
                </w:tcPr>
                <w:p w14:paraId="3DED30CE">
                  <w:pPr>
                    <w:spacing w:line="240" w:lineRule="auto"/>
                    <w:jc w:val="center"/>
                    <w:rPr>
                      <w:rFonts w:hint="default" w:ascii="Times New Roman" w:hAnsi="Times New Roman" w:eastAsia="宋体" w:cs="Times New Roman"/>
                      <w:b/>
                      <w:bCs/>
                      <w:color w:val="auto"/>
                      <w:kern w:val="0"/>
                      <w:sz w:val="21"/>
                      <w:szCs w:val="21"/>
                      <w:u w:val="none"/>
                      <w:vertAlign w:val="baseline"/>
                      <w:lang w:val="en-US" w:eastAsia="zh-CN"/>
                    </w:rPr>
                  </w:pPr>
                  <w:r>
                    <w:rPr>
                      <w:rFonts w:hint="eastAsia" w:ascii="Times New Roman" w:hAnsi="Times New Roman" w:eastAsia="宋体" w:cs="Times New Roman"/>
                      <w:b/>
                      <w:bCs/>
                      <w:color w:val="auto"/>
                      <w:kern w:val="0"/>
                      <w:sz w:val="21"/>
                      <w:szCs w:val="21"/>
                      <w:u w:val="none"/>
                      <w:vertAlign w:val="baseline"/>
                      <w:lang w:val="en-US" w:eastAsia="zh-CN"/>
                    </w:rPr>
                    <w:t>正在迁建</w:t>
                  </w:r>
                </w:p>
              </w:tc>
            </w:tr>
            <w:tr w14:paraId="2772C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5F0E3539">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3</w:t>
                  </w:r>
                </w:p>
              </w:tc>
              <w:tc>
                <w:tcPr>
                  <w:tcW w:w="1123" w:type="pct"/>
                  <w:tcBorders>
                    <w:tl2br w:val="nil"/>
                    <w:tr2bl w:val="nil"/>
                  </w:tcBorders>
                  <w:vAlign w:val="center"/>
                </w:tcPr>
                <w:p w14:paraId="6A820E1F">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岳阳市通益混凝土有限公司</w:t>
                  </w:r>
                </w:p>
              </w:tc>
              <w:tc>
                <w:tcPr>
                  <w:tcW w:w="1278" w:type="pct"/>
                  <w:tcBorders>
                    <w:tl2br w:val="nil"/>
                    <w:tr2bl w:val="nil"/>
                  </w:tcBorders>
                  <w:vAlign w:val="center"/>
                </w:tcPr>
                <w:p w14:paraId="5E8E1EFB">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岳阳县新开镇朱砂桥村陈家塅</w:t>
                  </w:r>
                </w:p>
              </w:tc>
              <w:tc>
                <w:tcPr>
                  <w:tcW w:w="727" w:type="pct"/>
                  <w:tcBorders>
                    <w:tl2br w:val="nil"/>
                    <w:tr2bl w:val="nil"/>
                  </w:tcBorders>
                  <w:vAlign w:val="center"/>
                </w:tcPr>
                <w:p w14:paraId="0C1F8D0F">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406C4D52">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2018.6</w:t>
                  </w:r>
                </w:p>
              </w:tc>
              <w:tc>
                <w:tcPr>
                  <w:tcW w:w="784" w:type="pct"/>
                  <w:tcBorders>
                    <w:tl2br w:val="nil"/>
                    <w:tr2bl w:val="nil"/>
                  </w:tcBorders>
                  <w:vAlign w:val="center"/>
                </w:tcPr>
                <w:p w14:paraId="5C2BB447">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249C9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2CCF02A4">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4</w:t>
                  </w:r>
                </w:p>
              </w:tc>
              <w:tc>
                <w:tcPr>
                  <w:tcW w:w="1123" w:type="pct"/>
                  <w:tcBorders>
                    <w:tl2br w:val="nil"/>
                    <w:tr2bl w:val="nil"/>
                  </w:tcBorders>
                  <w:vAlign w:val="center"/>
                </w:tcPr>
                <w:p w14:paraId="0D83CA6F">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岳阳县顺兴混凝土有限公司</w:t>
                  </w:r>
                </w:p>
              </w:tc>
              <w:tc>
                <w:tcPr>
                  <w:tcW w:w="1278" w:type="pct"/>
                  <w:tcBorders>
                    <w:tl2br w:val="nil"/>
                    <w:tr2bl w:val="nil"/>
                  </w:tcBorders>
                  <w:vAlign w:val="center"/>
                </w:tcPr>
                <w:p w14:paraId="2BB3E47D">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岳阳县黄沙街镇荷塘村宋家组</w:t>
                  </w:r>
                </w:p>
              </w:tc>
              <w:tc>
                <w:tcPr>
                  <w:tcW w:w="727" w:type="pct"/>
                  <w:tcBorders>
                    <w:tl2br w:val="nil"/>
                    <w:tr2bl w:val="nil"/>
                  </w:tcBorders>
                  <w:vAlign w:val="center"/>
                </w:tcPr>
                <w:p w14:paraId="46D19414">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4F577264">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2019.2</w:t>
                  </w:r>
                </w:p>
              </w:tc>
              <w:tc>
                <w:tcPr>
                  <w:tcW w:w="784" w:type="pct"/>
                  <w:tcBorders>
                    <w:tl2br w:val="nil"/>
                    <w:tr2bl w:val="nil"/>
                  </w:tcBorders>
                  <w:vAlign w:val="center"/>
                </w:tcPr>
                <w:p w14:paraId="0A8F45A4">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65B9D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13262EE8">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5</w:t>
                  </w:r>
                </w:p>
              </w:tc>
              <w:tc>
                <w:tcPr>
                  <w:tcW w:w="1123" w:type="pct"/>
                  <w:tcBorders>
                    <w:tl2br w:val="nil"/>
                    <w:tr2bl w:val="nil"/>
                  </w:tcBorders>
                  <w:vAlign w:val="center"/>
                </w:tcPr>
                <w:p w14:paraId="088E0817">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岳阳县永固混凝土有限公司</w:t>
                  </w:r>
                </w:p>
              </w:tc>
              <w:tc>
                <w:tcPr>
                  <w:tcW w:w="1278" w:type="pct"/>
                  <w:tcBorders>
                    <w:tl2br w:val="nil"/>
                    <w:tr2bl w:val="nil"/>
                  </w:tcBorders>
                  <w:vAlign w:val="center"/>
                </w:tcPr>
                <w:p w14:paraId="1C3822EE">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岳阳县荣家湾镇友爱村周谢片</w:t>
                  </w:r>
                </w:p>
              </w:tc>
              <w:tc>
                <w:tcPr>
                  <w:tcW w:w="727" w:type="pct"/>
                  <w:tcBorders>
                    <w:tl2br w:val="nil"/>
                    <w:tr2bl w:val="nil"/>
                  </w:tcBorders>
                  <w:vAlign w:val="center"/>
                </w:tcPr>
                <w:p w14:paraId="335E8CCF">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1469444C">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2019.5</w:t>
                  </w:r>
                </w:p>
              </w:tc>
              <w:tc>
                <w:tcPr>
                  <w:tcW w:w="784" w:type="pct"/>
                  <w:tcBorders>
                    <w:tl2br w:val="nil"/>
                    <w:tr2bl w:val="nil"/>
                  </w:tcBorders>
                  <w:vAlign w:val="center"/>
                </w:tcPr>
                <w:p w14:paraId="3BD4D063">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2E8B8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1576CAD4">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w:t>
                  </w:r>
                </w:p>
              </w:tc>
              <w:tc>
                <w:tcPr>
                  <w:tcW w:w="1123" w:type="pct"/>
                  <w:tcBorders>
                    <w:tl2br w:val="nil"/>
                    <w:tr2bl w:val="nil"/>
                  </w:tcBorders>
                  <w:vAlign w:val="center"/>
                </w:tcPr>
                <w:p w14:paraId="29BD08C2">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岳阳磊强新型建材有限公司</w:t>
                  </w:r>
                </w:p>
              </w:tc>
              <w:tc>
                <w:tcPr>
                  <w:tcW w:w="1278" w:type="pct"/>
                  <w:tcBorders>
                    <w:tl2br w:val="nil"/>
                    <w:tr2bl w:val="nil"/>
                  </w:tcBorders>
                  <w:vAlign w:val="center"/>
                </w:tcPr>
                <w:p w14:paraId="241487D8">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岳阳高新技术产业园建材产业片区(长湖乡)</w:t>
                  </w:r>
                </w:p>
              </w:tc>
              <w:tc>
                <w:tcPr>
                  <w:tcW w:w="727" w:type="pct"/>
                  <w:tcBorders>
                    <w:tl2br w:val="nil"/>
                    <w:tr2bl w:val="nil"/>
                  </w:tcBorders>
                  <w:vAlign w:val="center"/>
                </w:tcPr>
                <w:p w14:paraId="0E4B90CA">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57DD3FE8">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2019.6</w:t>
                  </w:r>
                </w:p>
              </w:tc>
              <w:tc>
                <w:tcPr>
                  <w:tcW w:w="784" w:type="pct"/>
                  <w:tcBorders>
                    <w:tl2br w:val="nil"/>
                    <w:tr2bl w:val="nil"/>
                  </w:tcBorders>
                  <w:vAlign w:val="center"/>
                </w:tcPr>
                <w:p w14:paraId="4AED6C1D">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459BE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3BA352B7">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7</w:t>
                  </w:r>
                </w:p>
              </w:tc>
              <w:tc>
                <w:tcPr>
                  <w:tcW w:w="1123" w:type="pct"/>
                  <w:tcBorders>
                    <w:tl2br w:val="nil"/>
                    <w:tr2bl w:val="nil"/>
                  </w:tcBorders>
                  <w:vAlign w:val="center"/>
                </w:tcPr>
                <w:p w14:paraId="4D56D76C">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岳阳固达建材有限公司</w:t>
                  </w:r>
                </w:p>
              </w:tc>
              <w:tc>
                <w:tcPr>
                  <w:tcW w:w="1278" w:type="pct"/>
                  <w:tcBorders>
                    <w:tl2br w:val="nil"/>
                    <w:tr2bl w:val="nil"/>
                  </w:tcBorders>
                  <w:vAlign w:val="center"/>
                </w:tcPr>
                <w:p w14:paraId="6CC3A275">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岳阳县筻口镇居委会(团坨岭)</w:t>
                  </w:r>
                </w:p>
              </w:tc>
              <w:tc>
                <w:tcPr>
                  <w:tcW w:w="727" w:type="pct"/>
                  <w:tcBorders>
                    <w:tl2br w:val="nil"/>
                    <w:tr2bl w:val="nil"/>
                  </w:tcBorders>
                  <w:vAlign w:val="center"/>
                </w:tcPr>
                <w:p w14:paraId="3B3AAD5C">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4E336150">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2020.4</w:t>
                  </w:r>
                </w:p>
              </w:tc>
              <w:tc>
                <w:tcPr>
                  <w:tcW w:w="784" w:type="pct"/>
                  <w:tcBorders>
                    <w:tl2br w:val="nil"/>
                    <w:tr2bl w:val="nil"/>
                  </w:tcBorders>
                  <w:vAlign w:val="center"/>
                </w:tcPr>
                <w:p w14:paraId="730D066C">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37A05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7A7D1166">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8</w:t>
                  </w:r>
                </w:p>
              </w:tc>
              <w:tc>
                <w:tcPr>
                  <w:tcW w:w="1123" w:type="pct"/>
                  <w:tcBorders>
                    <w:tl2br w:val="nil"/>
                    <w:tr2bl w:val="nil"/>
                  </w:tcBorders>
                  <w:vAlign w:val="center"/>
                </w:tcPr>
                <w:p w14:paraId="779983D6">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岳阳混凝土有限公司</w:t>
                  </w:r>
                </w:p>
              </w:tc>
              <w:tc>
                <w:tcPr>
                  <w:tcW w:w="1278" w:type="pct"/>
                  <w:tcBorders>
                    <w:tl2br w:val="nil"/>
                    <w:tr2bl w:val="nil"/>
                  </w:tcBorders>
                  <w:vAlign w:val="center"/>
                </w:tcPr>
                <w:p w14:paraId="36CCAB7A">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岳阳县新开镇龙湾村高珑片五组</w:t>
                  </w:r>
                </w:p>
              </w:tc>
              <w:tc>
                <w:tcPr>
                  <w:tcW w:w="727" w:type="pct"/>
                  <w:tcBorders>
                    <w:tl2br w:val="nil"/>
                    <w:tr2bl w:val="nil"/>
                  </w:tcBorders>
                  <w:vAlign w:val="center"/>
                </w:tcPr>
                <w:p w14:paraId="6AC61325">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2B833C7B">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2020.4</w:t>
                  </w:r>
                </w:p>
              </w:tc>
              <w:tc>
                <w:tcPr>
                  <w:tcW w:w="784" w:type="pct"/>
                  <w:tcBorders>
                    <w:tl2br w:val="nil"/>
                    <w:tr2bl w:val="nil"/>
                  </w:tcBorders>
                  <w:vAlign w:val="center"/>
                </w:tcPr>
                <w:p w14:paraId="505233D9">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正常生产</w:t>
                  </w:r>
                </w:p>
              </w:tc>
            </w:tr>
            <w:tr w14:paraId="37420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4213AED8">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9</w:t>
                  </w:r>
                </w:p>
              </w:tc>
              <w:tc>
                <w:tcPr>
                  <w:tcW w:w="1123" w:type="pct"/>
                  <w:tcBorders>
                    <w:tl2br w:val="nil"/>
                    <w:tr2bl w:val="nil"/>
                  </w:tcBorders>
                  <w:vAlign w:val="center"/>
                </w:tcPr>
                <w:p w14:paraId="5FC51024">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岳阳市青云高新材料有限公司</w:t>
                  </w:r>
                </w:p>
              </w:tc>
              <w:tc>
                <w:tcPr>
                  <w:tcW w:w="1278" w:type="pct"/>
                  <w:tcBorders>
                    <w:tl2br w:val="nil"/>
                    <w:tr2bl w:val="nil"/>
                  </w:tcBorders>
                  <w:vAlign w:val="center"/>
                </w:tcPr>
                <w:p w14:paraId="6F358ACE">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岳阳县新开镇朱石桥村</w:t>
                  </w:r>
                </w:p>
              </w:tc>
              <w:tc>
                <w:tcPr>
                  <w:tcW w:w="727" w:type="pct"/>
                  <w:tcBorders>
                    <w:tl2br w:val="nil"/>
                    <w:tr2bl w:val="nil"/>
                  </w:tcBorders>
                  <w:vAlign w:val="center"/>
                </w:tcPr>
                <w:p w14:paraId="5D917DFC">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60</w:t>
                  </w:r>
                </w:p>
              </w:tc>
              <w:tc>
                <w:tcPr>
                  <w:tcW w:w="820" w:type="pct"/>
                  <w:tcBorders>
                    <w:tl2br w:val="nil"/>
                    <w:tr2bl w:val="nil"/>
                  </w:tcBorders>
                  <w:vAlign w:val="center"/>
                </w:tcPr>
                <w:p w14:paraId="39174F42">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2020.7</w:t>
                  </w:r>
                </w:p>
              </w:tc>
              <w:tc>
                <w:tcPr>
                  <w:tcW w:w="784" w:type="pct"/>
                  <w:tcBorders>
                    <w:tl2br w:val="nil"/>
                    <w:tr2bl w:val="nil"/>
                  </w:tcBorders>
                  <w:vAlign w:val="center"/>
                </w:tcPr>
                <w:p w14:paraId="185181A6">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在建</w:t>
                  </w:r>
                </w:p>
              </w:tc>
            </w:tr>
            <w:tr w14:paraId="56C74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5BCAC5F0">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10</w:t>
                  </w:r>
                </w:p>
              </w:tc>
              <w:tc>
                <w:tcPr>
                  <w:tcW w:w="1123" w:type="pct"/>
                  <w:tcBorders>
                    <w:tl2br w:val="nil"/>
                    <w:tr2bl w:val="nil"/>
                  </w:tcBorders>
                  <w:vAlign w:val="center"/>
                </w:tcPr>
                <w:p w14:paraId="4AA8F09A">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岳阳永兴源混凝土有限公司</w:t>
                  </w:r>
                </w:p>
              </w:tc>
              <w:tc>
                <w:tcPr>
                  <w:tcW w:w="1278" w:type="pct"/>
                  <w:tcBorders>
                    <w:tl2br w:val="nil"/>
                    <w:tr2bl w:val="nil"/>
                  </w:tcBorders>
                  <w:vAlign w:val="center"/>
                </w:tcPr>
                <w:p w14:paraId="6A855B44">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岳阳县柏祥镇十步桥村</w:t>
                  </w:r>
                </w:p>
              </w:tc>
              <w:tc>
                <w:tcPr>
                  <w:tcW w:w="727" w:type="pct"/>
                  <w:tcBorders>
                    <w:tl2br w:val="nil"/>
                    <w:tr2bl w:val="nil"/>
                  </w:tcBorders>
                  <w:vAlign w:val="center"/>
                </w:tcPr>
                <w:p w14:paraId="11F6958B">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30</w:t>
                  </w:r>
                </w:p>
              </w:tc>
              <w:tc>
                <w:tcPr>
                  <w:tcW w:w="820" w:type="pct"/>
                  <w:tcBorders>
                    <w:tl2br w:val="nil"/>
                    <w:tr2bl w:val="nil"/>
                  </w:tcBorders>
                  <w:vAlign w:val="center"/>
                </w:tcPr>
                <w:p w14:paraId="5B0FBD8A">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2021.7</w:t>
                  </w:r>
                </w:p>
              </w:tc>
              <w:tc>
                <w:tcPr>
                  <w:tcW w:w="784" w:type="pct"/>
                  <w:tcBorders>
                    <w:tl2br w:val="nil"/>
                    <w:tr2bl w:val="nil"/>
                  </w:tcBorders>
                  <w:vAlign w:val="center"/>
                </w:tcPr>
                <w:p w14:paraId="326B9D71">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在建</w:t>
                  </w:r>
                </w:p>
              </w:tc>
            </w:tr>
            <w:tr w14:paraId="072CE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29350F70">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11</w:t>
                  </w:r>
                </w:p>
              </w:tc>
              <w:tc>
                <w:tcPr>
                  <w:tcW w:w="1123" w:type="pct"/>
                  <w:tcBorders>
                    <w:tl2br w:val="nil"/>
                    <w:tr2bl w:val="nil"/>
                  </w:tcBorders>
                  <w:vAlign w:val="center"/>
                </w:tcPr>
                <w:p w14:paraId="2B1E3731">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岳阳县顺盛混凝土有限公司</w:t>
                  </w:r>
                </w:p>
              </w:tc>
              <w:tc>
                <w:tcPr>
                  <w:tcW w:w="1278" w:type="pct"/>
                  <w:tcBorders>
                    <w:tl2br w:val="nil"/>
                    <w:tr2bl w:val="nil"/>
                  </w:tcBorders>
                  <w:vAlign w:val="center"/>
                </w:tcPr>
                <w:p w14:paraId="3E7D8D62">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岳阳县长湖乡范家村</w:t>
                  </w:r>
                </w:p>
              </w:tc>
              <w:tc>
                <w:tcPr>
                  <w:tcW w:w="727" w:type="pct"/>
                  <w:tcBorders>
                    <w:tl2br w:val="nil"/>
                    <w:tr2bl w:val="nil"/>
                  </w:tcBorders>
                  <w:vAlign w:val="center"/>
                </w:tcPr>
                <w:p w14:paraId="3C354A4B">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30</w:t>
                  </w:r>
                </w:p>
              </w:tc>
              <w:tc>
                <w:tcPr>
                  <w:tcW w:w="820" w:type="pct"/>
                  <w:tcBorders>
                    <w:tl2br w:val="nil"/>
                    <w:tr2bl w:val="nil"/>
                  </w:tcBorders>
                  <w:vAlign w:val="center"/>
                </w:tcPr>
                <w:p w14:paraId="0C6477D9">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2021.5</w:t>
                  </w:r>
                </w:p>
              </w:tc>
              <w:tc>
                <w:tcPr>
                  <w:tcW w:w="784" w:type="pct"/>
                  <w:tcBorders>
                    <w:tl2br w:val="nil"/>
                    <w:tr2bl w:val="nil"/>
                  </w:tcBorders>
                  <w:vAlign w:val="center"/>
                </w:tcPr>
                <w:p w14:paraId="468ED557">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在建</w:t>
                  </w:r>
                </w:p>
              </w:tc>
            </w:tr>
            <w:tr w14:paraId="5CB29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49CFC2CF">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12</w:t>
                  </w:r>
                </w:p>
              </w:tc>
              <w:tc>
                <w:tcPr>
                  <w:tcW w:w="1123" w:type="pct"/>
                  <w:tcBorders>
                    <w:tl2br w:val="nil"/>
                    <w:tr2bl w:val="nil"/>
                  </w:tcBorders>
                  <w:vAlign w:val="center"/>
                </w:tcPr>
                <w:p w14:paraId="46A37DAA">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岳阳鸿惠混凝土有限公司</w:t>
                  </w:r>
                </w:p>
              </w:tc>
              <w:tc>
                <w:tcPr>
                  <w:tcW w:w="1278" w:type="pct"/>
                  <w:tcBorders>
                    <w:tl2br w:val="nil"/>
                    <w:tr2bl w:val="nil"/>
                  </w:tcBorders>
                  <w:vAlign w:val="center"/>
                </w:tcPr>
                <w:p w14:paraId="6BBB0EE1">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岳阳县杨林乡尚书村</w:t>
                  </w:r>
                </w:p>
              </w:tc>
              <w:tc>
                <w:tcPr>
                  <w:tcW w:w="727" w:type="pct"/>
                  <w:tcBorders>
                    <w:tl2br w:val="nil"/>
                    <w:tr2bl w:val="nil"/>
                  </w:tcBorders>
                  <w:vAlign w:val="center"/>
                </w:tcPr>
                <w:p w14:paraId="5733D658">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30</w:t>
                  </w:r>
                </w:p>
              </w:tc>
              <w:tc>
                <w:tcPr>
                  <w:tcW w:w="820" w:type="pct"/>
                  <w:tcBorders>
                    <w:tl2br w:val="nil"/>
                    <w:tr2bl w:val="nil"/>
                  </w:tcBorders>
                  <w:vAlign w:val="center"/>
                </w:tcPr>
                <w:p w14:paraId="01E5A3B6">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2021.4</w:t>
                  </w:r>
                </w:p>
              </w:tc>
              <w:tc>
                <w:tcPr>
                  <w:tcW w:w="784" w:type="pct"/>
                  <w:tcBorders>
                    <w:tl2br w:val="nil"/>
                    <w:tr2bl w:val="nil"/>
                  </w:tcBorders>
                  <w:vAlign w:val="center"/>
                </w:tcPr>
                <w:p w14:paraId="656B822E">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在建</w:t>
                  </w:r>
                </w:p>
              </w:tc>
            </w:tr>
            <w:tr w14:paraId="25B7C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 w:type="pct"/>
                  <w:tcBorders>
                    <w:tl2br w:val="nil"/>
                    <w:tr2bl w:val="nil"/>
                  </w:tcBorders>
                  <w:vAlign w:val="center"/>
                </w:tcPr>
                <w:p w14:paraId="399DD601">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13</w:t>
                  </w:r>
                </w:p>
              </w:tc>
              <w:tc>
                <w:tcPr>
                  <w:tcW w:w="1123" w:type="pct"/>
                  <w:tcBorders>
                    <w:tl2br w:val="nil"/>
                    <w:tr2bl w:val="nil"/>
                  </w:tcBorders>
                  <w:vAlign w:val="center"/>
                </w:tcPr>
                <w:p w14:paraId="62188516">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湖南通驰绿建科技有限公司</w:t>
                  </w:r>
                </w:p>
              </w:tc>
              <w:tc>
                <w:tcPr>
                  <w:tcW w:w="1278" w:type="pct"/>
                  <w:tcBorders>
                    <w:tl2br w:val="nil"/>
                    <w:tr2bl w:val="nil"/>
                  </w:tcBorders>
                  <w:vAlign w:val="center"/>
                </w:tcPr>
                <w:p w14:paraId="5DCB72D5">
                  <w:pPr>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岳阳高新技术产业园金诚路5号</w:t>
                  </w:r>
                </w:p>
              </w:tc>
              <w:tc>
                <w:tcPr>
                  <w:tcW w:w="727" w:type="pct"/>
                  <w:tcBorders>
                    <w:tl2br w:val="nil"/>
                    <w:tr2bl w:val="nil"/>
                  </w:tcBorders>
                  <w:vAlign w:val="center"/>
                </w:tcPr>
                <w:p w14:paraId="04FCCDE2">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30</w:t>
                  </w:r>
                </w:p>
              </w:tc>
              <w:tc>
                <w:tcPr>
                  <w:tcW w:w="820" w:type="pct"/>
                  <w:tcBorders>
                    <w:tl2br w:val="nil"/>
                    <w:tr2bl w:val="nil"/>
                  </w:tcBorders>
                  <w:vAlign w:val="center"/>
                </w:tcPr>
                <w:p w14:paraId="7E299E7F">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2022.6</w:t>
                  </w:r>
                </w:p>
              </w:tc>
              <w:tc>
                <w:tcPr>
                  <w:tcW w:w="784" w:type="pct"/>
                  <w:tcBorders>
                    <w:tl2br w:val="nil"/>
                    <w:tr2bl w:val="nil"/>
                  </w:tcBorders>
                  <w:vAlign w:val="center"/>
                </w:tcPr>
                <w:p w14:paraId="3D5BEB26">
                  <w:pPr>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基本建成</w:t>
                  </w:r>
                </w:p>
              </w:tc>
            </w:tr>
          </w:tbl>
          <w:p w14:paraId="5941BFFB">
            <w:pPr>
              <w:spacing w:line="360" w:lineRule="auto"/>
              <w:ind w:firstLine="480" w:firstLineChars="200"/>
              <w:rPr>
                <w:rFonts w:hint="default" w:ascii="Times New Roman" w:hAnsi="Times New Roman" w:eastAsia="宋体" w:cs="Times New Roman"/>
                <w:color w:val="auto"/>
                <w:kern w:val="0"/>
                <w:sz w:val="24"/>
                <w:szCs w:val="24"/>
                <w:u w:val="none"/>
                <w:lang w:val="en-US" w:eastAsia="zh-CN"/>
              </w:rPr>
            </w:pPr>
            <w:r>
              <w:rPr>
                <w:rFonts w:hint="eastAsia" w:ascii="Times New Roman" w:hAnsi="Times New Roman" w:eastAsia="宋体" w:cs="Times New Roman"/>
                <w:color w:val="auto"/>
                <w:kern w:val="0"/>
                <w:sz w:val="24"/>
                <w:szCs w:val="24"/>
                <w:u w:val="none"/>
              </w:rPr>
              <w:t>根据</w:t>
            </w:r>
            <w:r>
              <w:rPr>
                <w:rFonts w:hint="eastAsia" w:ascii="Times New Roman" w:hAnsi="Times New Roman" w:eastAsia="宋体" w:cs="Times New Roman"/>
                <w:color w:val="auto"/>
                <w:kern w:val="0"/>
                <w:sz w:val="24"/>
                <w:szCs w:val="24"/>
                <w:u w:val="none"/>
                <w:lang w:eastAsia="zh-CN"/>
              </w:rPr>
              <w:t>岳阳市住房和城乡建设局关于印发</w:t>
            </w:r>
            <w:r>
              <w:rPr>
                <w:rFonts w:hint="eastAsia" w:ascii="Times New Roman" w:hAnsi="Times New Roman" w:eastAsia="宋体" w:cs="Times New Roman"/>
                <w:color w:val="auto"/>
                <w:kern w:val="0"/>
                <w:sz w:val="24"/>
                <w:szCs w:val="24"/>
                <w:u w:val="none"/>
              </w:rPr>
              <w:t>《岳阳市预拌商品混凝土专项规划（20</w:t>
            </w:r>
            <w:r>
              <w:rPr>
                <w:rFonts w:hint="eastAsia" w:ascii="Times New Roman" w:hAnsi="Times New Roman" w:eastAsia="宋体" w:cs="Times New Roman"/>
                <w:color w:val="auto"/>
                <w:kern w:val="0"/>
                <w:sz w:val="24"/>
                <w:szCs w:val="24"/>
                <w:u w:val="none"/>
                <w:lang w:val="en-US" w:eastAsia="zh-CN"/>
              </w:rPr>
              <w:t>23</w:t>
            </w:r>
            <w:r>
              <w:rPr>
                <w:rFonts w:hint="eastAsia" w:ascii="Times New Roman" w:hAnsi="Times New Roman" w:eastAsia="宋体" w:cs="Times New Roman"/>
                <w:color w:val="auto"/>
                <w:kern w:val="0"/>
                <w:sz w:val="24"/>
                <w:szCs w:val="24"/>
                <w:u w:val="none"/>
              </w:rPr>
              <w:t>年-20</w:t>
            </w:r>
            <w:r>
              <w:rPr>
                <w:rFonts w:hint="eastAsia" w:ascii="Times New Roman" w:hAnsi="Times New Roman" w:eastAsia="宋体" w:cs="Times New Roman"/>
                <w:color w:val="auto"/>
                <w:kern w:val="0"/>
                <w:sz w:val="24"/>
                <w:szCs w:val="24"/>
                <w:u w:val="none"/>
                <w:lang w:val="en-US" w:eastAsia="zh-CN"/>
              </w:rPr>
              <w:t>27</w:t>
            </w:r>
            <w:r>
              <w:rPr>
                <w:rFonts w:hint="eastAsia" w:ascii="Times New Roman" w:hAnsi="Times New Roman" w:eastAsia="宋体" w:cs="Times New Roman"/>
                <w:color w:val="auto"/>
                <w:kern w:val="0"/>
                <w:sz w:val="24"/>
                <w:szCs w:val="24"/>
                <w:u w:val="none"/>
              </w:rPr>
              <w:t>年）》</w:t>
            </w:r>
            <w:r>
              <w:rPr>
                <w:rFonts w:hint="eastAsia" w:ascii="Times New Roman" w:hAnsi="Times New Roman" w:eastAsia="宋体" w:cs="Times New Roman"/>
                <w:color w:val="auto"/>
                <w:kern w:val="0"/>
                <w:sz w:val="24"/>
                <w:szCs w:val="24"/>
                <w:u w:val="none"/>
                <w:lang w:eastAsia="zh-CN"/>
              </w:rPr>
              <w:t>的通知（岳建函〔</w:t>
            </w:r>
            <w:r>
              <w:rPr>
                <w:rFonts w:hint="eastAsia" w:ascii="Times New Roman" w:hAnsi="Times New Roman" w:eastAsia="宋体" w:cs="Times New Roman"/>
                <w:color w:val="auto"/>
                <w:kern w:val="0"/>
                <w:sz w:val="24"/>
                <w:szCs w:val="24"/>
                <w:u w:val="none"/>
                <w:lang w:val="en-US" w:eastAsia="zh-CN"/>
              </w:rPr>
              <w:t>2023〕49号</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2023-2027年规划不另新增预拌商品混凝土搅拌站，仅对岳阳县凌云混凝土有限公司进行迁建。</w:t>
            </w:r>
          </w:p>
          <w:p w14:paraId="4FCFAE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6"/>
                <w:sz w:val="24"/>
                <w:szCs w:val="24"/>
                <w:u w:val="none"/>
                <w:lang w:val="en-US" w:eastAsia="zh-CN"/>
              </w:rPr>
            </w:pPr>
            <w:r>
              <w:rPr>
                <w:rFonts w:hint="eastAsia" w:ascii="Times New Roman" w:hAnsi="Times New Roman" w:eastAsia="宋体" w:cs="Times New Roman"/>
                <w:color w:val="auto"/>
                <w:kern w:val="0"/>
                <w:sz w:val="24"/>
                <w:szCs w:val="24"/>
                <w:u w:val="none"/>
                <w:lang w:val="en-US" w:eastAsia="zh-CN"/>
              </w:rPr>
              <w:t>根据</w:t>
            </w:r>
            <w:r>
              <w:rPr>
                <w:rFonts w:hint="eastAsia" w:ascii="Times New Roman" w:hAnsi="Times New Roman" w:eastAsia="宋体" w:cs="Times New Roman"/>
                <w:color w:val="auto"/>
                <w:kern w:val="0"/>
                <w:sz w:val="24"/>
                <w:szCs w:val="24"/>
                <w:u w:val="none"/>
                <w:lang w:eastAsia="zh-CN"/>
              </w:rPr>
              <w:t>岳阳市住房和城乡建设局</w:t>
            </w:r>
            <w:r>
              <w:rPr>
                <w:rFonts w:hint="eastAsia" w:ascii="Times New Roman" w:hAnsi="Times New Roman" w:eastAsia="宋体" w:cs="Times New Roman"/>
                <w:color w:val="auto"/>
                <w:kern w:val="0"/>
                <w:sz w:val="24"/>
                <w:szCs w:val="24"/>
                <w:u w:val="none"/>
                <w:lang w:val="en-US" w:eastAsia="zh-CN"/>
              </w:rPr>
              <w:t>发布的《关于变更岳阳县凌云混凝土搅拌站建设主体的复函》（附件4），湖南茂源建材有限公司承接原</w:t>
            </w:r>
            <w:r>
              <w:rPr>
                <w:rFonts w:hint="eastAsia" w:ascii="Times New Roman" w:hAnsi="Times New Roman" w:eastAsia="宋体" w:cs="Times New Roman"/>
                <w:color w:val="auto"/>
                <w:kern w:val="0"/>
                <w:sz w:val="24"/>
                <w:szCs w:val="24"/>
                <w:u w:val="none"/>
              </w:rPr>
              <w:t>岳阳县凌云混凝土有限公司迁建商品混凝土搅拌站</w:t>
            </w:r>
            <w:r>
              <w:rPr>
                <w:rFonts w:hint="eastAsia" w:ascii="Times New Roman" w:hAnsi="Times New Roman" w:eastAsia="宋体" w:cs="Times New Roman"/>
                <w:color w:val="auto"/>
                <w:kern w:val="0"/>
                <w:sz w:val="24"/>
                <w:szCs w:val="24"/>
                <w:u w:val="none"/>
                <w:lang w:val="en-US" w:eastAsia="zh-CN"/>
              </w:rPr>
              <w:t>，在岳阳县荣家湾镇欣荣村和荣鹿村交界处建设2条180混凝土搅拌站生产线，设计产能为60万立方/年，</w:t>
            </w:r>
            <w:r>
              <w:rPr>
                <w:rFonts w:hint="eastAsia" w:ascii="Times New Roman" w:hAnsi="Times New Roman" w:eastAsia="宋体" w:cs="Times New Roman"/>
                <w:color w:val="auto"/>
                <w:kern w:val="0"/>
                <w:sz w:val="24"/>
                <w:szCs w:val="24"/>
                <w:u w:val="none"/>
              </w:rPr>
              <w:t>符合</w:t>
            </w:r>
            <w:r>
              <w:rPr>
                <w:rFonts w:ascii="Times New Roman" w:hAnsi="Times New Roman" w:eastAsia="宋体" w:cs="Times New Roman"/>
                <w:color w:val="auto"/>
                <w:kern w:val="0"/>
                <w:sz w:val="24"/>
                <w:szCs w:val="24"/>
                <w:u w:val="none"/>
              </w:rPr>
              <w:t>《岳阳市预拌商品混凝土专项规划（20</w:t>
            </w:r>
            <w:r>
              <w:rPr>
                <w:rFonts w:hint="eastAsia" w:ascii="Times New Roman" w:hAnsi="Times New Roman" w:eastAsia="宋体" w:cs="Times New Roman"/>
                <w:color w:val="auto"/>
                <w:kern w:val="0"/>
                <w:sz w:val="24"/>
                <w:szCs w:val="24"/>
                <w:u w:val="none"/>
                <w:lang w:val="en-US" w:eastAsia="zh-CN"/>
              </w:rPr>
              <w:t>23</w:t>
            </w:r>
            <w:r>
              <w:rPr>
                <w:rFonts w:ascii="Times New Roman" w:hAnsi="Times New Roman" w:eastAsia="宋体" w:cs="Times New Roman"/>
                <w:color w:val="auto"/>
                <w:kern w:val="0"/>
                <w:sz w:val="24"/>
                <w:szCs w:val="24"/>
                <w:u w:val="none"/>
              </w:rPr>
              <w:t>年-20</w:t>
            </w:r>
            <w:r>
              <w:rPr>
                <w:rFonts w:hint="eastAsia" w:ascii="Times New Roman" w:hAnsi="Times New Roman" w:eastAsia="宋体" w:cs="Times New Roman"/>
                <w:color w:val="auto"/>
                <w:kern w:val="0"/>
                <w:sz w:val="24"/>
                <w:szCs w:val="24"/>
                <w:u w:val="none"/>
                <w:lang w:val="en-US" w:eastAsia="zh-CN"/>
              </w:rPr>
              <w:t>27</w:t>
            </w:r>
            <w:r>
              <w:rPr>
                <w:rFonts w:ascii="Times New Roman" w:hAnsi="Times New Roman" w:eastAsia="宋体" w:cs="Times New Roman"/>
                <w:color w:val="auto"/>
                <w:kern w:val="0"/>
                <w:sz w:val="24"/>
                <w:szCs w:val="24"/>
                <w:u w:val="none"/>
              </w:rPr>
              <w:t>年）》</w:t>
            </w:r>
            <w:r>
              <w:rPr>
                <w:rFonts w:hint="eastAsia" w:ascii="Times New Roman" w:hAnsi="Times New Roman" w:eastAsia="宋体" w:cs="Times New Roman"/>
                <w:color w:val="auto"/>
                <w:kern w:val="0"/>
                <w:sz w:val="24"/>
                <w:szCs w:val="24"/>
                <w:u w:val="none"/>
              </w:rPr>
              <w:t>。</w:t>
            </w:r>
          </w:p>
        </w:tc>
      </w:tr>
      <w:tr w14:paraId="20DBC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28" w:type="dxa"/>
            <w:tcMar>
              <w:top w:w="0" w:type="dxa"/>
              <w:left w:w="108" w:type="dxa"/>
              <w:bottom w:w="0" w:type="dxa"/>
              <w:right w:w="108" w:type="dxa"/>
            </w:tcMar>
            <w:vAlign w:val="center"/>
          </w:tcPr>
          <w:p w14:paraId="4A377CAE">
            <w:pPr>
              <w:autoSpaceDE w:val="0"/>
              <w:autoSpaceDN w:val="0"/>
              <w:adjustRightInd w:val="0"/>
              <w:snapToGrid w:val="0"/>
              <w:spacing w:line="360" w:lineRule="auto"/>
              <w:jc w:val="center"/>
              <w:rPr>
                <w:rFonts w:ascii="Times New Roman" w:hAnsi="Times New Roman" w:eastAsia="宋体" w:cs="Times New Roman"/>
                <w:color w:val="auto"/>
                <w:kern w:val="0"/>
                <w:sz w:val="24"/>
                <w:szCs w:val="24"/>
                <w:u w:val="none"/>
              </w:rPr>
            </w:pPr>
            <w:r>
              <w:rPr>
                <w:rFonts w:ascii="Times New Roman" w:hAnsi="Times New Roman" w:eastAsia="宋体" w:cs="Times New Roman"/>
                <w:color w:val="auto"/>
                <w:kern w:val="0"/>
                <w:sz w:val="24"/>
                <w:szCs w:val="24"/>
                <w:u w:val="none"/>
              </w:rPr>
              <w:t>其他符合性</w:t>
            </w:r>
          </w:p>
          <w:p w14:paraId="20C75B5C">
            <w:pPr>
              <w:autoSpaceDE w:val="0"/>
              <w:autoSpaceDN w:val="0"/>
              <w:adjustRightInd w:val="0"/>
              <w:snapToGrid w:val="0"/>
              <w:jc w:val="center"/>
              <w:rPr>
                <w:rFonts w:ascii="Times New Roman" w:hAnsi="Times New Roman" w:eastAsia="宋体" w:cs="Times New Roman"/>
                <w:color w:val="auto"/>
                <w:kern w:val="0"/>
                <w:sz w:val="24"/>
                <w:szCs w:val="24"/>
                <w:u w:val="none"/>
              </w:rPr>
            </w:pPr>
            <w:r>
              <w:rPr>
                <w:rFonts w:ascii="Times New Roman" w:hAnsi="Times New Roman" w:eastAsia="宋体" w:cs="Times New Roman"/>
                <w:color w:val="auto"/>
                <w:kern w:val="0"/>
                <w:sz w:val="24"/>
                <w:szCs w:val="24"/>
                <w:u w:val="none"/>
              </w:rPr>
              <w:t>分析</w:t>
            </w:r>
          </w:p>
        </w:tc>
        <w:tc>
          <w:tcPr>
            <w:tcW w:w="7447" w:type="dxa"/>
            <w:gridSpan w:val="3"/>
            <w:tcMar>
              <w:top w:w="0" w:type="dxa"/>
              <w:left w:w="108" w:type="dxa"/>
              <w:bottom w:w="0" w:type="dxa"/>
              <w:right w:w="108" w:type="dxa"/>
            </w:tcMar>
            <w:vAlign w:val="center"/>
          </w:tcPr>
          <w:p w14:paraId="666E18AB">
            <w:pPr>
              <w:widowControl/>
              <w:spacing w:line="360" w:lineRule="auto"/>
              <w:jc w:val="left"/>
              <w:textAlignment w:val="baseline"/>
              <w:rPr>
                <w:rFonts w:ascii="Times New Roman" w:hAnsi="Times New Roman" w:cs="Times New Roman"/>
                <w:b/>
                <w:color w:val="auto"/>
                <w:sz w:val="24"/>
                <w:u w:val="none"/>
              </w:rPr>
            </w:pPr>
            <w:r>
              <w:rPr>
                <w:rFonts w:ascii="Times New Roman" w:hAnsi="Times New Roman" w:cs="Times New Roman"/>
                <w:b/>
                <w:color w:val="auto"/>
                <w:sz w:val="24"/>
                <w:u w:val="none"/>
              </w:rPr>
              <w:t>1、产业政策合理性分析</w:t>
            </w:r>
          </w:p>
          <w:p w14:paraId="4EBB9831">
            <w:pPr>
              <w:adjustRightInd w:val="0"/>
              <w:snapToGrid w:val="0"/>
              <w:spacing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本项目主要产品为商品混凝土，对照《产业结构调整指导目录（20</w:t>
            </w:r>
            <w:r>
              <w:rPr>
                <w:rFonts w:hint="eastAsia" w:ascii="Times New Roman" w:hAnsi="Times New Roman" w:cs="Times New Roman"/>
                <w:color w:val="auto"/>
                <w:sz w:val="24"/>
                <w:u w:val="none"/>
                <w:lang w:val="en-US" w:eastAsia="zh-CN"/>
              </w:rPr>
              <w:t>24</w:t>
            </w:r>
            <w:r>
              <w:rPr>
                <w:rFonts w:ascii="Times New Roman" w:hAnsi="Times New Roman" w:cs="Times New Roman"/>
                <w:color w:val="auto"/>
                <w:sz w:val="24"/>
                <w:u w:val="none"/>
              </w:rPr>
              <w:t>年本</w:t>
            </w:r>
            <w:r>
              <w:rPr>
                <w:rFonts w:hint="eastAsia" w:ascii="Times New Roman" w:hAnsi="Times New Roman" w:cs="Times New Roman"/>
                <w:color w:val="auto"/>
                <w:sz w:val="24"/>
                <w:u w:val="none"/>
                <w:lang w:eastAsia="zh-CN"/>
              </w:rPr>
              <w:t>）</w:t>
            </w:r>
            <w:r>
              <w:rPr>
                <w:rFonts w:ascii="Times New Roman" w:hAnsi="Times New Roman" w:cs="Times New Roman"/>
                <w:color w:val="auto"/>
                <w:sz w:val="24"/>
                <w:u w:val="none"/>
              </w:rPr>
              <w:t>》，本项目不属于国家限制及淘汰类中提及的内容。因此项目建设符合国家现行产业政策</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且项目已取得了岳阳县发展和改革局的备案（详见附件3）</w:t>
            </w:r>
            <w:r>
              <w:rPr>
                <w:rFonts w:ascii="Times New Roman" w:hAnsi="Times New Roman" w:cs="Times New Roman"/>
                <w:color w:val="auto"/>
                <w:sz w:val="24"/>
                <w:u w:val="none"/>
              </w:rPr>
              <w:t>。</w:t>
            </w:r>
          </w:p>
          <w:p w14:paraId="1DCFFFE0">
            <w:pPr>
              <w:adjustRightInd w:val="0"/>
              <w:snapToGrid w:val="0"/>
              <w:spacing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项目使用的生产设备不属于国家限制及淘汰类中提及的内容。</w:t>
            </w:r>
          </w:p>
          <w:p w14:paraId="4AEF8E6F">
            <w:pPr>
              <w:widowControl/>
              <w:spacing w:line="360" w:lineRule="auto"/>
              <w:jc w:val="left"/>
              <w:textAlignment w:val="baseline"/>
              <w:rPr>
                <w:rFonts w:ascii="Times New Roman" w:hAnsi="Times New Roman" w:cs="Times New Roman"/>
                <w:b/>
                <w:color w:val="auto"/>
                <w:sz w:val="24"/>
                <w:u w:val="none"/>
              </w:rPr>
            </w:pPr>
            <w:r>
              <w:rPr>
                <w:rFonts w:hint="eastAsia" w:ascii="Times New Roman" w:hAnsi="Times New Roman" w:cs="Times New Roman"/>
                <w:b/>
                <w:color w:val="auto"/>
                <w:sz w:val="24"/>
                <w:u w:val="none"/>
              </w:rPr>
              <w:t>2、“三线一单”相符性分析</w:t>
            </w:r>
          </w:p>
          <w:p w14:paraId="6A7B7E46">
            <w:pPr>
              <w:adjustRightInd w:val="0"/>
              <w:snapToGrid w:val="0"/>
              <w:spacing w:line="360" w:lineRule="auto"/>
              <w:ind w:firstLine="480" w:firstLineChars="200"/>
              <w:rPr>
                <w:rFonts w:hAnsi="宋体"/>
                <w:color w:val="auto"/>
                <w:kern w:val="0"/>
                <w:sz w:val="24"/>
                <w:u w:val="none"/>
              </w:rPr>
            </w:pPr>
            <w:r>
              <w:rPr>
                <w:rFonts w:hint="eastAsia"/>
                <w:color w:val="auto"/>
                <w:sz w:val="24"/>
                <w:u w:val="none"/>
              </w:rPr>
              <w:t>本项目与“三线一单”的符合性详见下表：</w:t>
            </w:r>
          </w:p>
          <w:p w14:paraId="25B946C7">
            <w:pPr>
              <w:adjustRightInd w:val="0"/>
              <w:snapToGrid w:val="0"/>
              <w:spacing w:line="240" w:lineRule="auto"/>
              <w:jc w:val="center"/>
              <w:rPr>
                <w:rFonts w:ascii="Times New Roman" w:hAnsi="Times New Roman" w:cs="Times New Roman"/>
                <w:b/>
                <w:color w:val="auto"/>
                <w:sz w:val="24"/>
                <w:szCs w:val="24"/>
                <w:highlight w:val="none"/>
                <w:u w:val="none"/>
              </w:rPr>
            </w:pPr>
            <w:r>
              <w:rPr>
                <w:rFonts w:ascii="Times New Roman" w:hAnsi="Times New Roman" w:cs="Times New Roman"/>
                <w:b/>
                <w:color w:val="auto"/>
                <w:sz w:val="24"/>
                <w:szCs w:val="24"/>
                <w:highlight w:val="none"/>
                <w:u w:val="none"/>
              </w:rPr>
              <w:t>表1</w:t>
            </w:r>
            <w:r>
              <w:rPr>
                <w:rFonts w:hint="eastAsia" w:ascii="Times New Roman" w:hAnsi="Times New Roman" w:cs="Times New Roman"/>
                <w:b/>
                <w:color w:val="auto"/>
                <w:sz w:val="24"/>
                <w:szCs w:val="24"/>
                <w:highlight w:val="none"/>
                <w:u w:val="none"/>
              </w:rPr>
              <w:t>-</w:t>
            </w:r>
            <w:r>
              <w:rPr>
                <w:rFonts w:hint="eastAsia" w:ascii="Times New Roman" w:hAnsi="Times New Roman" w:cs="Times New Roman"/>
                <w:b/>
                <w:color w:val="auto"/>
                <w:sz w:val="24"/>
                <w:szCs w:val="24"/>
                <w:highlight w:val="none"/>
                <w:u w:val="none"/>
                <w:lang w:val="en-US" w:eastAsia="zh-CN"/>
              </w:rPr>
              <w:t>2</w:t>
            </w:r>
            <w:r>
              <w:rPr>
                <w:rFonts w:ascii="Times New Roman" w:hAnsi="Times New Roman" w:cs="Times New Roman"/>
                <w:b/>
                <w:color w:val="auto"/>
                <w:sz w:val="24"/>
                <w:szCs w:val="24"/>
                <w:highlight w:val="none"/>
                <w:u w:val="none"/>
              </w:rPr>
              <w:t xml:space="preserve">  本项目与三线一单相符性分析</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9"/>
              <w:gridCol w:w="5721"/>
            </w:tblGrid>
            <w:tr w14:paraId="16E1E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7" w:type="pct"/>
                  <w:tcBorders>
                    <w:top w:val="single" w:color="auto" w:sz="12" w:space="0"/>
                    <w:left w:val="single" w:color="auto" w:sz="12" w:space="0"/>
                    <w:bottom w:val="single" w:color="auto" w:sz="6" w:space="0"/>
                    <w:right w:val="single" w:color="auto" w:sz="6" w:space="0"/>
                  </w:tcBorders>
                  <w:vAlign w:val="center"/>
                </w:tcPr>
                <w:p w14:paraId="51833A31">
                  <w:pPr>
                    <w:pStyle w:val="108"/>
                    <w:spacing w:line="240" w:lineRule="auto"/>
                    <w:jc w:val="center"/>
                    <w:rPr>
                      <w:rFonts w:ascii="Times New Roman" w:hAnsi="Times New Roman"/>
                      <w:b/>
                      <w:bCs/>
                      <w:color w:val="auto"/>
                      <w:sz w:val="21"/>
                      <w:szCs w:val="21"/>
                      <w:highlight w:val="none"/>
                      <w:u w:val="none"/>
                    </w:rPr>
                  </w:pPr>
                  <w:r>
                    <w:rPr>
                      <w:rFonts w:ascii="Times New Roman"/>
                      <w:b/>
                      <w:bCs/>
                      <w:color w:val="auto"/>
                      <w:sz w:val="21"/>
                      <w:szCs w:val="21"/>
                      <w:highlight w:val="none"/>
                      <w:u w:val="none"/>
                    </w:rPr>
                    <w:t>内容</w:t>
                  </w:r>
                </w:p>
              </w:tc>
              <w:tc>
                <w:tcPr>
                  <w:tcW w:w="3973" w:type="pct"/>
                  <w:tcBorders>
                    <w:top w:val="single" w:color="auto" w:sz="12" w:space="0"/>
                    <w:left w:val="single" w:color="auto" w:sz="6" w:space="0"/>
                    <w:bottom w:val="single" w:color="auto" w:sz="6" w:space="0"/>
                    <w:right w:val="single" w:color="auto" w:sz="12" w:space="0"/>
                  </w:tcBorders>
                  <w:vAlign w:val="center"/>
                </w:tcPr>
                <w:p w14:paraId="0D9BC473">
                  <w:pPr>
                    <w:pStyle w:val="108"/>
                    <w:spacing w:line="240" w:lineRule="auto"/>
                    <w:jc w:val="center"/>
                    <w:rPr>
                      <w:rFonts w:ascii="Times New Roman" w:hAnsi="Times New Roman"/>
                      <w:b/>
                      <w:bCs/>
                      <w:color w:val="auto"/>
                      <w:sz w:val="21"/>
                      <w:szCs w:val="21"/>
                      <w:highlight w:val="none"/>
                      <w:u w:val="none"/>
                    </w:rPr>
                  </w:pPr>
                  <w:r>
                    <w:rPr>
                      <w:rFonts w:ascii="Times New Roman"/>
                      <w:b/>
                      <w:bCs/>
                      <w:color w:val="auto"/>
                      <w:sz w:val="21"/>
                      <w:szCs w:val="21"/>
                      <w:highlight w:val="none"/>
                      <w:u w:val="none"/>
                    </w:rPr>
                    <w:t>符合性分析</w:t>
                  </w:r>
                </w:p>
              </w:tc>
            </w:tr>
            <w:tr w14:paraId="7EF3F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7" w:type="pct"/>
                  <w:tcBorders>
                    <w:top w:val="single" w:color="auto" w:sz="6" w:space="0"/>
                    <w:left w:val="single" w:color="auto" w:sz="12" w:space="0"/>
                    <w:bottom w:val="single" w:color="auto" w:sz="6" w:space="0"/>
                    <w:right w:val="single" w:color="auto" w:sz="6" w:space="0"/>
                  </w:tcBorders>
                  <w:vAlign w:val="center"/>
                </w:tcPr>
                <w:p w14:paraId="36E2D555">
                  <w:pPr>
                    <w:pStyle w:val="108"/>
                    <w:spacing w:line="240" w:lineRule="auto"/>
                    <w:jc w:val="center"/>
                    <w:rPr>
                      <w:rFonts w:ascii="Times New Roman" w:hAnsi="Times New Roman"/>
                      <w:color w:val="auto"/>
                      <w:sz w:val="21"/>
                      <w:szCs w:val="21"/>
                      <w:highlight w:val="none"/>
                      <w:u w:val="none"/>
                    </w:rPr>
                  </w:pPr>
                  <w:r>
                    <w:rPr>
                      <w:rFonts w:ascii="Times New Roman"/>
                      <w:color w:val="auto"/>
                      <w:sz w:val="21"/>
                      <w:szCs w:val="21"/>
                      <w:highlight w:val="none"/>
                      <w:u w:val="none"/>
                    </w:rPr>
                    <w:t>生态保护红线</w:t>
                  </w:r>
                </w:p>
              </w:tc>
              <w:tc>
                <w:tcPr>
                  <w:tcW w:w="3973" w:type="pct"/>
                  <w:tcBorders>
                    <w:top w:val="single" w:color="auto" w:sz="6" w:space="0"/>
                    <w:left w:val="single" w:color="auto" w:sz="6" w:space="0"/>
                    <w:bottom w:val="single" w:color="auto" w:sz="6" w:space="0"/>
                    <w:right w:val="single" w:color="auto" w:sz="12" w:space="0"/>
                  </w:tcBorders>
                  <w:vAlign w:val="center"/>
                </w:tcPr>
                <w:p w14:paraId="78A994BA">
                  <w:pPr>
                    <w:spacing w:line="240" w:lineRule="auto"/>
                    <w:ind w:firstLine="371" w:firstLineChars="177"/>
                    <w:rPr>
                      <w:rFonts w:ascii="Times New Roman" w:hAnsi="Times New Roman" w:cs="Times New Roman"/>
                      <w:color w:val="auto"/>
                      <w:szCs w:val="21"/>
                      <w:highlight w:val="none"/>
                      <w:u w:val="none"/>
                    </w:rPr>
                  </w:pPr>
                  <w:r>
                    <w:rPr>
                      <w:rFonts w:ascii="Times New Roman" w:hAnsi="Times New Roman" w:cs="Times New Roman"/>
                      <w:color w:val="auto"/>
                      <w:szCs w:val="21"/>
                      <w:highlight w:val="none"/>
                      <w:u w:val="none"/>
                    </w:rPr>
                    <w:t>本项目</w:t>
                  </w:r>
                  <w:r>
                    <w:rPr>
                      <w:rFonts w:ascii="Times New Roman" w:hAnsi="Times New Roman" w:eastAsia="宋体" w:cs="Times New Roman"/>
                      <w:color w:val="auto"/>
                      <w:szCs w:val="21"/>
                      <w:highlight w:val="none"/>
                      <w:u w:val="none"/>
                    </w:rPr>
                    <w:t>位于</w:t>
                  </w:r>
                  <w:r>
                    <w:rPr>
                      <w:rFonts w:hint="eastAsia" w:ascii="Times New Roman" w:hAnsi="Times New Roman" w:eastAsia="宋体" w:cs="Times New Roman"/>
                      <w:color w:val="auto"/>
                      <w:szCs w:val="21"/>
                      <w:highlight w:val="none"/>
                      <w:u w:val="none"/>
                      <w:lang w:eastAsia="zh-CN"/>
                    </w:rPr>
                    <w:t>岳阳县荣家湾镇欣荣村与荣鹿村交界处</w:t>
                  </w:r>
                  <w:r>
                    <w:rPr>
                      <w:rFonts w:ascii="Times New Roman" w:hAnsi="Times New Roman" w:eastAsia="宋体" w:cs="Times New Roman"/>
                      <w:color w:val="auto"/>
                      <w:szCs w:val="21"/>
                      <w:highlight w:val="none"/>
                      <w:u w:val="none"/>
                    </w:rPr>
                    <w:t>，项目不在生态红线保护范围内</w:t>
                  </w:r>
                  <w:r>
                    <w:rPr>
                      <w:rFonts w:hint="eastAsia" w:ascii="Times New Roman" w:hAnsi="Times New Roman" w:eastAsia="宋体" w:cs="Times New Roman"/>
                      <w:color w:val="auto"/>
                      <w:szCs w:val="21"/>
                      <w:highlight w:val="none"/>
                      <w:u w:val="none"/>
                      <w:lang w:eastAsia="zh-CN"/>
                    </w:rPr>
                    <w:t>，</w:t>
                  </w:r>
                  <w:r>
                    <w:rPr>
                      <w:rFonts w:ascii="Times New Roman" w:hAnsi="Times New Roman" w:eastAsia="宋体" w:cs="Times New Roman"/>
                      <w:color w:val="auto"/>
                      <w:szCs w:val="21"/>
                      <w:highlight w:val="none"/>
                      <w:u w:val="none"/>
                    </w:rPr>
                    <w:t>且项目周边无</w:t>
                  </w:r>
                  <w:r>
                    <w:rPr>
                      <w:rFonts w:ascii="Times New Roman" w:hAnsi="Times New Roman" w:cs="Times New Roman"/>
                      <w:color w:val="auto"/>
                      <w:kern w:val="0"/>
                      <w:szCs w:val="21"/>
                      <w:highlight w:val="none"/>
                      <w:u w:val="none"/>
                    </w:rPr>
                    <w:t>重点文物保护单位、无风景名胜区、无饮用水源保护区，</w:t>
                  </w:r>
                  <w:r>
                    <w:rPr>
                      <w:rFonts w:ascii="Times New Roman" w:hAnsi="Times New Roman" w:cs="Times New Roman"/>
                      <w:color w:val="auto"/>
                      <w:szCs w:val="21"/>
                      <w:highlight w:val="none"/>
                      <w:u w:val="none"/>
                    </w:rPr>
                    <w:t>符合生态保护红线。</w:t>
                  </w:r>
                </w:p>
              </w:tc>
            </w:tr>
            <w:tr w14:paraId="4D269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7" w:type="pct"/>
                  <w:tcBorders>
                    <w:top w:val="single" w:color="auto" w:sz="6" w:space="0"/>
                    <w:left w:val="single" w:color="auto" w:sz="12" w:space="0"/>
                    <w:bottom w:val="single" w:color="auto" w:sz="6" w:space="0"/>
                    <w:right w:val="single" w:color="auto" w:sz="6" w:space="0"/>
                  </w:tcBorders>
                  <w:vAlign w:val="center"/>
                </w:tcPr>
                <w:p w14:paraId="392EEDF1">
                  <w:pPr>
                    <w:pStyle w:val="108"/>
                    <w:spacing w:line="240" w:lineRule="auto"/>
                    <w:jc w:val="center"/>
                    <w:rPr>
                      <w:rFonts w:ascii="Times New Roman" w:hAnsi="Times New Roman"/>
                      <w:color w:val="auto"/>
                      <w:sz w:val="21"/>
                      <w:szCs w:val="21"/>
                      <w:highlight w:val="none"/>
                      <w:u w:val="none"/>
                    </w:rPr>
                  </w:pPr>
                  <w:r>
                    <w:rPr>
                      <w:rFonts w:ascii="Times New Roman"/>
                      <w:color w:val="auto"/>
                      <w:sz w:val="21"/>
                      <w:szCs w:val="21"/>
                      <w:highlight w:val="none"/>
                      <w:u w:val="none"/>
                    </w:rPr>
                    <w:t>资源利用上线</w:t>
                  </w:r>
                </w:p>
              </w:tc>
              <w:tc>
                <w:tcPr>
                  <w:tcW w:w="3973" w:type="pct"/>
                  <w:tcBorders>
                    <w:top w:val="single" w:color="auto" w:sz="6" w:space="0"/>
                    <w:left w:val="single" w:color="auto" w:sz="6" w:space="0"/>
                    <w:bottom w:val="single" w:color="auto" w:sz="6" w:space="0"/>
                    <w:right w:val="single" w:color="auto" w:sz="12" w:space="0"/>
                  </w:tcBorders>
                  <w:vAlign w:val="center"/>
                </w:tcPr>
                <w:p w14:paraId="00B050C5">
                  <w:pPr>
                    <w:spacing w:line="240" w:lineRule="auto"/>
                    <w:ind w:firstLine="420" w:firstLineChars="200"/>
                    <w:rPr>
                      <w:rFonts w:ascii="Times New Roman" w:hAnsi="Times New Roman" w:cs="Times New Roman"/>
                      <w:color w:val="auto"/>
                      <w:szCs w:val="21"/>
                      <w:highlight w:val="none"/>
                      <w:u w:val="none"/>
                    </w:rPr>
                  </w:pPr>
                  <w:r>
                    <w:rPr>
                      <w:rFonts w:ascii="Times New Roman" w:cs="Times New Roman"/>
                      <w:color w:val="auto"/>
                      <w:szCs w:val="21"/>
                      <w:highlight w:val="none"/>
                      <w:u w:val="none"/>
                    </w:rPr>
                    <w:t>本</w:t>
                  </w:r>
                  <w:r>
                    <w:rPr>
                      <w:rFonts w:ascii="Times New Roman" w:hAnsi="Times New Roman" w:cs="Times New Roman"/>
                      <w:color w:val="auto"/>
                      <w:szCs w:val="21"/>
                      <w:highlight w:val="none"/>
                      <w:u w:val="none"/>
                    </w:rPr>
                    <w:t>项目为混凝土搅拌站建设项目，主要资源消耗为水、电、砂石及水泥等。给水由市政统一供给，供电</w:t>
                  </w:r>
                  <w:r>
                    <w:rPr>
                      <w:rFonts w:hint="eastAsia" w:ascii="Times New Roman" w:hAnsi="Times New Roman" w:cs="Times New Roman"/>
                      <w:color w:val="auto"/>
                      <w:szCs w:val="21"/>
                      <w:highlight w:val="none"/>
                      <w:u w:val="none"/>
                      <w:lang w:eastAsia="zh-CN"/>
                    </w:rPr>
                    <w:t>由</w:t>
                  </w:r>
                  <w:r>
                    <w:rPr>
                      <w:rFonts w:ascii="Times New Roman" w:hAnsi="Times New Roman" w:cs="Times New Roman"/>
                      <w:color w:val="auto"/>
                      <w:szCs w:val="21"/>
                      <w:highlight w:val="none"/>
                      <w:u w:val="none"/>
                    </w:rPr>
                    <w:t>市政电网供给，砂石及水泥通过合法途径购买。对区域资源基本无影响。</w:t>
                  </w:r>
                </w:p>
              </w:tc>
            </w:tr>
            <w:tr w14:paraId="5E292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7" w:type="pct"/>
                  <w:tcBorders>
                    <w:top w:val="single" w:color="auto" w:sz="6" w:space="0"/>
                    <w:left w:val="single" w:color="auto" w:sz="12" w:space="0"/>
                    <w:bottom w:val="single" w:color="auto" w:sz="6" w:space="0"/>
                    <w:right w:val="single" w:color="auto" w:sz="6" w:space="0"/>
                  </w:tcBorders>
                  <w:vAlign w:val="center"/>
                </w:tcPr>
                <w:p w14:paraId="366CCCD2">
                  <w:pPr>
                    <w:pStyle w:val="108"/>
                    <w:spacing w:line="240" w:lineRule="auto"/>
                    <w:jc w:val="center"/>
                    <w:rPr>
                      <w:rFonts w:ascii="Times New Roman" w:hAnsi="Times New Roman"/>
                      <w:color w:val="auto"/>
                      <w:sz w:val="21"/>
                      <w:szCs w:val="21"/>
                      <w:u w:val="none"/>
                    </w:rPr>
                  </w:pPr>
                  <w:r>
                    <w:rPr>
                      <w:rFonts w:ascii="Times New Roman"/>
                      <w:color w:val="auto"/>
                      <w:sz w:val="21"/>
                      <w:szCs w:val="21"/>
                      <w:u w:val="none"/>
                    </w:rPr>
                    <w:t>环境质量底线</w:t>
                  </w:r>
                </w:p>
              </w:tc>
              <w:tc>
                <w:tcPr>
                  <w:tcW w:w="3973" w:type="pct"/>
                  <w:tcBorders>
                    <w:top w:val="single" w:color="auto" w:sz="6" w:space="0"/>
                    <w:left w:val="single" w:color="auto" w:sz="6" w:space="0"/>
                    <w:bottom w:val="single" w:color="auto" w:sz="6" w:space="0"/>
                    <w:right w:val="single" w:color="auto" w:sz="12" w:space="0"/>
                  </w:tcBorders>
                  <w:vAlign w:val="center"/>
                </w:tcPr>
                <w:p w14:paraId="1E26D16A">
                  <w:pPr>
                    <w:widowControl/>
                    <w:spacing w:line="240" w:lineRule="auto"/>
                    <w:ind w:firstLine="420" w:firstLineChars="200"/>
                    <w:jc w:val="left"/>
                    <w:rPr>
                      <w:rFonts w:ascii="Times New Roman" w:hAnsi="Times New Roman" w:cs="Times New Roman"/>
                      <w:color w:val="auto"/>
                      <w:szCs w:val="21"/>
                      <w:u w:val="none"/>
                    </w:rPr>
                  </w:pPr>
                  <w:r>
                    <w:rPr>
                      <w:rFonts w:ascii="Times New Roman" w:hAnsi="Times New Roman" w:cs="Times New Roman"/>
                      <w:color w:val="auto"/>
                      <w:kern w:val="0"/>
                      <w:szCs w:val="21"/>
                      <w:u w:val="none"/>
                    </w:rPr>
                    <w:t>从当地区域环境现状质量分析，本项目所在区域环境质量较好，尚有一定的环境容量。项目废气、废水、噪声及固体废物等经相应处理措施处理后对周围环境很小，符合环境质量底线要求。</w:t>
                  </w:r>
                </w:p>
              </w:tc>
            </w:tr>
            <w:tr w14:paraId="072A5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7" w:type="pct"/>
                  <w:tcBorders>
                    <w:top w:val="single" w:color="auto" w:sz="6" w:space="0"/>
                    <w:left w:val="single" w:color="auto" w:sz="12" w:space="0"/>
                    <w:bottom w:val="single" w:color="auto" w:sz="12" w:space="0"/>
                    <w:right w:val="single" w:color="auto" w:sz="6" w:space="0"/>
                  </w:tcBorders>
                  <w:vAlign w:val="center"/>
                </w:tcPr>
                <w:p w14:paraId="13D364E7">
                  <w:pPr>
                    <w:widowControl/>
                    <w:spacing w:line="240" w:lineRule="auto"/>
                    <w:jc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负面清单</w:t>
                  </w:r>
                </w:p>
              </w:tc>
              <w:tc>
                <w:tcPr>
                  <w:tcW w:w="3973" w:type="pct"/>
                  <w:tcBorders>
                    <w:top w:val="single" w:color="auto" w:sz="6" w:space="0"/>
                    <w:left w:val="single" w:color="auto" w:sz="6" w:space="0"/>
                    <w:bottom w:val="single" w:color="auto" w:sz="12" w:space="0"/>
                    <w:right w:val="single" w:color="auto" w:sz="12" w:space="0"/>
                  </w:tcBorders>
                  <w:vAlign w:val="center"/>
                </w:tcPr>
                <w:p w14:paraId="037FC09F">
                  <w:pPr>
                    <w:widowControl/>
                    <w:spacing w:line="240" w:lineRule="auto"/>
                    <w:ind w:firstLine="420" w:firstLineChars="200"/>
                    <w:jc w:val="left"/>
                    <w:rPr>
                      <w:rFonts w:ascii="Times New Roman" w:hAnsi="Times New Roman" w:cs="Times New Roman"/>
                      <w:color w:val="auto"/>
                      <w:kern w:val="0"/>
                      <w:szCs w:val="21"/>
                      <w:u w:val="none"/>
                    </w:rPr>
                  </w:pPr>
                  <w:r>
                    <w:rPr>
                      <w:rFonts w:ascii="Times New Roman" w:hAnsi="Times New Roman" w:cs="Times New Roman"/>
                      <w:color w:val="auto"/>
                      <w:kern w:val="0"/>
                      <w:szCs w:val="21"/>
                      <w:u w:val="none"/>
                    </w:rPr>
                    <w:t>对照《产业结构调整指导目录（20</w:t>
                  </w:r>
                  <w:r>
                    <w:rPr>
                      <w:rFonts w:hint="eastAsia" w:ascii="Times New Roman" w:hAnsi="Times New Roman" w:cs="Times New Roman"/>
                      <w:color w:val="auto"/>
                      <w:kern w:val="0"/>
                      <w:szCs w:val="21"/>
                      <w:u w:val="none"/>
                      <w:lang w:val="en-US" w:eastAsia="zh-CN"/>
                    </w:rPr>
                    <w:t>24</w:t>
                  </w:r>
                  <w:r>
                    <w:rPr>
                      <w:rFonts w:ascii="Times New Roman" w:hAnsi="Times New Roman" w:cs="Times New Roman"/>
                      <w:color w:val="auto"/>
                      <w:kern w:val="0"/>
                      <w:szCs w:val="21"/>
                      <w:u w:val="none"/>
                    </w:rPr>
                    <w:t>年本）》，本项目不属于其中的限制类或淘汰类项目</w:t>
                  </w:r>
                  <w:r>
                    <w:rPr>
                      <w:rFonts w:hint="eastAsia" w:ascii="Times New Roman" w:hAnsi="Times New Roman" w:cs="Times New Roman"/>
                      <w:color w:val="auto"/>
                      <w:kern w:val="0"/>
                      <w:szCs w:val="21"/>
                      <w:u w:val="none"/>
                      <w:lang w:val="en-US" w:eastAsia="zh-CN"/>
                    </w:rPr>
                    <w:t>；</w:t>
                  </w:r>
                  <w:r>
                    <w:rPr>
                      <w:rFonts w:ascii="Times New Roman" w:hAnsi="Times New Roman" w:cs="Times New Roman"/>
                      <w:color w:val="auto"/>
                      <w:kern w:val="0"/>
                      <w:szCs w:val="21"/>
                      <w:u w:val="none"/>
                    </w:rPr>
                    <w:t>对照《市场准入负面清单（2022年版）》，本项目不属于该清单中的禁止类项目</w:t>
                  </w:r>
                  <w:r>
                    <w:rPr>
                      <w:rFonts w:hint="eastAsia" w:ascii="Times New Roman" w:hAnsi="Times New Roman" w:cs="Times New Roman"/>
                      <w:color w:val="auto"/>
                      <w:kern w:val="0"/>
                      <w:szCs w:val="21"/>
                      <w:u w:val="none"/>
                      <w:lang w:val="en-US" w:eastAsia="zh-CN"/>
                    </w:rPr>
                    <w:t>；</w:t>
                  </w:r>
                  <w:r>
                    <w:rPr>
                      <w:rFonts w:ascii="Times New Roman" w:hAnsi="Times New Roman" w:cs="Times New Roman"/>
                      <w:color w:val="auto"/>
                      <w:kern w:val="0"/>
                      <w:szCs w:val="21"/>
                      <w:u w:val="none"/>
                    </w:rPr>
                    <w:t>对照《长江经济带发展负面清单指南</w:t>
                  </w:r>
                  <w:r>
                    <w:rPr>
                      <w:rFonts w:hint="eastAsia" w:ascii="Times New Roman" w:hAnsi="Times New Roman" w:cs="Times New Roman"/>
                      <w:color w:val="auto"/>
                      <w:kern w:val="0"/>
                      <w:szCs w:val="21"/>
                      <w:u w:val="none"/>
                      <w:lang w:eastAsia="zh-CN"/>
                    </w:rPr>
                    <w:t>（</w:t>
                  </w:r>
                  <w:r>
                    <w:rPr>
                      <w:rFonts w:ascii="Times New Roman" w:hAnsi="Times New Roman" w:cs="Times New Roman"/>
                      <w:color w:val="auto"/>
                      <w:kern w:val="0"/>
                      <w:szCs w:val="21"/>
                      <w:u w:val="none"/>
                    </w:rPr>
                    <w:t>试行</w:t>
                  </w:r>
                  <w:r>
                    <w:rPr>
                      <w:rFonts w:hint="eastAsia" w:ascii="Times New Roman" w:hAnsi="Times New Roman" w:cs="Times New Roman"/>
                      <w:color w:val="auto"/>
                      <w:kern w:val="0"/>
                      <w:szCs w:val="21"/>
                      <w:u w:val="none"/>
                      <w:lang w:eastAsia="zh-CN"/>
                    </w:rPr>
                    <w:t>）</w:t>
                  </w:r>
                  <w:r>
                    <w:rPr>
                      <w:rFonts w:ascii="Times New Roman" w:hAnsi="Times New Roman" w:cs="Times New Roman"/>
                      <w:color w:val="auto"/>
                      <w:kern w:val="0"/>
                      <w:szCs w:val="21"/>
                      <w:u w:val="none"/>
                    </w:rPr>
                    <w:t>》，本项目不属于该负面清单中的建设项目。</w:t>
                  </w:r>
                </w:p>
              </w:tc>
            </w:tr>
          </w:tbl>
          <w:p w14:paraId="2145FB2B">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ascii="Times New Roman" w:hAnsi="Times New Roman" w:eastAsia="宋体" w:cs="Times New Roman"/>
                <w:b/>
                <w:bCs/>
                <w:color w:val="auto"/>
                <w:kern w:val="0"/>
                <w:sz w:val="24"/>
                <w:szCs w:val="24"/>
                <w:u w:val="none"/>
              </w:rPr>
            </w:pPr>
            <w:r>
              <w:rPr>
                <w:rFonts w:hint="eastAsia" w:ascii="Times New Roman" w:hAnsi="Times New Roman" w:eastAsia="宋体" w:cs="Times New Roman"/>
                <w:b/>
                <w:bCs/>
                <w:color w:val="auto"/>
                <w:kern w:val="0"/>
                <w:sz w:val="24"/>
                <w:szCs w:val="24"/>
                <w:u w:val="none"/>
              </w:rPr>
              <w:t>3</w:t>
            </w:r>
            <w:r>
              <w:rPr>
                <w:rFonts w:ascii="Times New Roman" w:hAnsi="Times New Roman" w:eastAsia="宋体" w:cs="Times New Roman"/>
                <w:b/>
                <w:bCs/>
                <w:color w:val="auto"/>
                <w:kern w:val="0"/>
                <w:sz w:val="24"/>
                <w:szCs w:val="24"/>
                <w:u w:val="none"/>
              </w:rPr>
              <w:t>、与岳阳市人民政府关于实施岳阳市“三线一单”生态环境分区管控的意见（岳政发〔2021〕2号）符合性分析</w:t>
            </w:r>
          </w:p>
          <w:p w14:paraId="14DF22C1">
            <w:pPr>
              <w:spacing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对照岳阳市人民政府关于实施岳阳市“三线一单”生态环境分区管控的意见（岳政发〔2021〕2号）可知，项目位于</w:t>
            </w:r>
            <w:r>
              <w:rPr>
                <w:rFonts w:hint="eastAsia" w:ascii="Times New Roman" w:hAnsi="Times New Roman" w:cs="Times New Roman"/>
                <w:color w:val="auto"/>
                <w:sz w:val="24"/>
                <w:u w:val="none"/>
                <w:lang w:eastAsia="zh-CN"/>
              </w:rPr>
              <w:t>岳阳县荣家湾镇欣荣村与荣鹿村交界处</w:t>
            </w:r>
            <w:r>
              <w:rPr>
                <w:rFonts w:ascii="Times New Roman" w:hAnsi="Times New Roman" w:cs="Times New Roman"/>
                <w:color w:val="auto"/>
                <w:sz w:val="24"/>
                <w:u w:val="none"/>
              </w:rPr>
              <w:t>，属于</w:t>
            </w:r>
            <w:r>
              <w:rPr>
                <w:rFonts w:hint="eastAsia" w:ascii="Times New Roman" w:hAnsi="Times New Roman" w:cs="Times New Roman"/>
                <w:color w:val="auto"/>
                <w:sz w:val="24"/>
                <w:u w:val="none"/>
                <w:lang w:eastAsia="zh-CN"/>
              </w:rPr>
              <w:t>荣家湾镇</w:t>
            </w:r>
            <w:r>
              <w:rPr>
                <w:rFonts w:ascii="Times New Roman" w:hAnsi="Times New Roman" w:cs="Times New Roman"/>
                <w:color w:val="auto"/>
                <w:sz w:val="24"/>
                <w:u w:val="none"/>
              </w:rPr>
              <w:t>，为</w:t>
            </w:r>
            <w:r>
              <w:rPr>
                <w:rFonts w:hint="eastAsia"/>
                <w:color w:val="auto"/>
                <w:sz w:val="24"/>
                <w:u w:val="none"/>
              </w:rPr>
              <w:t>重点</w:t>
            </w:r>
            <w:r>
              <w:rPr>
                <w:color w:val="auto"/>
                <w:sz w:val="24"/>
                <w:u w:val="none"/>
              </w:rPr>
              <w:t>管控单元</w:t>
            </w:r>
            <w:r>
              <w:rPr>
                <w:rFonts w:ascii="Times New Roman" w:hAnsi="Times New Roman" w:cs="Times New Roman"/>
                <w:color w:val="auto"/>
                <w:sz w:val="24"/>
                <w:u w:val="none"/>
              </w:rPr>
              <w:t>，主要环境问题为</w:t>
            </w:r>
            <w:r>
              <w:rPr>
                <w:rFonts w:hint="eastAsia" w:ascii="Times New Roman" w:hAnsi="Times New Roman" w:cs="Times New Roman"/>
                <w:color w:val="auto"/>
                <w:sz w:val="24"/>
                <w:u w:val="none"/>
              </w:rPr>
              <w:t>游港河水质不能长期稳定达标；畜禽养殖等农业面源污染</w:t>
            </w:r>
            <w:r>
              <w:rPr>
                <w:rFonts w:ascii="Times New Roman" w:hAnsi="Times New Roman" w:cs="Times New Roman"/>
                <w:color w:val="auto"/>
                <w:sz w:val="24"/>
                <w:u w:val="none"/>
              </w:rPr>
              <w:t>。本项目为商品混凝土生产项目，无外排废</w:t>
            </w:r>
            <w:r>
              <w:rPr>
                <w:rFonts w:ascii="Times New Roman" w:hAnsi="Times New Roman" w:eastAsia="宋体" w:cs="Times New Roman"/>
                <w:color w:val="auto"/>
                <w:sz w:val="24"/>
                <w:szCs w:val="24"/>
                <w:u w:val="none"/>
              </w:rPr>
              <w:t>水，不属于上述环境问题之一，其他符合性分析如下表。</w:t>
            </w:r>
          </w:p>
          <w:p w14:paraId="39ADA1F0">
            <w:pPr>
              <w:pStyle w:val="43"/>
              <w:jc w:val="center"/>
              <w:rPr>
                <w:rFonts w:ascii="Times New Roman" w:hAnsi="Times New Roman" w:cs="Times New Roman"/>
                <w:b/>
                <w:bCs/>
                <w:color w:val="auto"/>
                <w:u w:val="none"/>
              </w:rPr>
            </w:pPr>
            <w:r>
              <w:rPr>
                <w:rFonts w:ascii="Times New Roman" w:hAnsi="Times New Roman" w:cs="Times New Roman"/>
                <w:b/>
                <w:bCs/>
                <w:color w:val="auto"/>
                <w:u w:val="none"/>
              </w:rPr>
              <w:t>表1-</w:t>
            </w:r>
            <w:r>
              <w:rPr>
                <w:rFonts w:hint="eastAsia" w:ascii="Times New Roman" w:hAnsi="Times New Roman" w:cs="Times New Roman"/>
                <w:b/>
                <w:bCs/>
                <w:color w:val="auto"/>
                <w:u w:val="none"/>
                <w:lang w:val="en-US" w:eastAsia="zh-CN"/>
              </w:rPr>
              <w:t>3</w:t>
            </w:r>
            <w:r>
              <w:rPr>
                <w:rFonts w:ascii="Times New Roman" w:hAnsi="Times New Roman" w:cs="Times New Roman"/>
                <w:b/>
                <w:bCs/>
                <w:color w:val="auto"/>
                <w:u w:val="none"/>
              </w:rPr>
              <w:t xml:space="preserve">  分区管控意见符合性分析</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7"/>
              <w:gridCol w:w="1125"/>
              <w:gridCol w:w="641"/>
              <w:gridCol w:w="1283"/>
              <w:gridCol w:w="1607"/>
              <w:gridCol w:w="1163"/>
            </w:tblGrid>
            <w:tr w14:paraId="7A25D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07" w:type="dxa"/>
                  <w:noWrap w:val="0"/>
                  <w:vAlign w:val="center"/>
                </w:tcPr>
                <w:p w14:paraId="7F1324EB">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环境管控单元编码</w:t>
                  </w:r>
                </w:p>
              </w:tc>
              <w:tc>
                <w:tcPr>
                  <w:tcW w:w="1125" w:type="dxa"/>
                  <w:noWrap w:val="0"/>
                  <w:vAlign w:val="center"/>
                </w:tcPr>
                <w:p w14:paraId="4F5A5D4A">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单元名称</w:t>
                  </w:r>
                </w:p>
              </w:tc>
              <w:tc>
                <w:tcPr>
                  <w:tcW w:w="641" w:type="dxa"/>
                  <w:noWrap w:val="0"/>
                  <w:vAlign w:val="center"/>
                </w:tcPr>
                <w:p w14:paraId="00BE87C4">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单元分类</w:t>
                  </w:r>
                </w:p>
              </w:tc>
              <w:tc>
                <w:tcPr>
                  <w:tcW w:w="1283" w:type="dxa"/>
                  <w:noWrap w:val="0"/>
                  <w:vAlign w:val="center"/>
                </w:tcPr>
                <w:p w14:paraId="2FEE6CE2">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单元面积</w:t>
                  </w:r>
                </w:p>
              </w:tc>
              <w:tc>
                <w:tcPr>
                  <w:tcW w:w="1607" w:type="dxa"/>
                  <w:noWrap w:val="0"/>
                  <w:vAlign w:val="center"/>
                </w:tcPr>
                <w:p w14:paraId="7CC8CFD3">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经济产业布局</w:t>
                  </w:r>
                </w:p>
              </w:tc>
              <w:tc>
                <w:tcPr>
                  <w:tcW w:w="1163" w:type="dxa"/>
                  <w:noWrap w:val="0"/>
                  <w:vAlign w:val="center"/>
                </w:tcPr>
                <w:p w14:paraId="57AA5077">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主要环境问题</w:t>
                  </w:r>
                </w:p>
              </w:tc>
            </w:tr>
            <w:tr w14:paraId="1BA30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07" w:type="dxa"/>
                  <w:noWrap w:val="0"/>
                  <w:vAlign w:val="center"/>
                </w:tcPr>
                <w:p w14:paraId="7E8A136C">
                  <w:pPr>
                    <w:widowControl/>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ZH430621 20003</w:t>
                  </w:r>
                </w:p>
              </w:tc>
              <w:tc>
                <w:tcPr>
                  <w:tcW w:w="1125" w:type="dxa"/>
                  <w:noWrap w:val="0"/>
                  <w:vAlign w:val="center"/>
                </w:tcPr>
                <w:p w14:paraId="69C6258A">
                  <w:pPr>
                    <w:widowControl/>
                    <w:adjustRightInd w:val="0"/>
                    <w:snapToGrid w:val="0"/>
                    <w:spacing w:line="240" w:lineRule="auto"/>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黄沙街镇/ 荣家湾镇/ 新开镇/新 墙镇</w:t>
                  </w:r>
                </w:p>
              </w:tc>
              <w:tc>
                <w:tcPr>
                  <w:tcW w:w="641" w:type="dxa"/>
                  <w:noWrap w:val="0"/>
                  <w:vAlign w:val="center"/>
                </w:tcPr>
                <w:p w14:paraId="0344F9CC">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重点管控单元</w:t>
                  </w:r>
                </w:p>
              </w:tc>
              <w:tc>
                <w:tcPr>
                  <w:tcW w:w="1283" w:type="dxa"/>
                  <w:noWrap w:val="0"/>
                  <w:vAlign w:val="center"/>
                </w:tcPr>
                <w:p w14:paraId="24B4BB9F">
                  <w:pPr>
                    <w:widowControl/>
                    <w:adjustRightInd w:val="0"/>
                    <w:snapToGrid w:val="0"/>
                    <w:spacing w:line="240" w:lineRule="auto"/>
                    <w:rPr>
                      <w:rFonts w:hint="default" w:ascii="Times New Roman" w:hAnsi="Times New Roman" w:eastAsia="宋体" w:cs="Times New Roman"/>
                      <w:bCs/>
                      <w:color w:val="auto"/>
                      <w:kern w:val="0"/>
                      <w:u w:val="none"/>
                      <w:vertAlign w:val="superscript"/>
                      <w:lang w:bidi="ar"/>
                    </w:rPr>
                  </w:pPr>
                  <w:r>
                    <w:rPr>
                      <w:rFonts w:hint="default" w:ascii="Times New Roman" w:hAnsi="Times New Roman" w:eastAsia="宋体" w:cs="Times New Roman"/>
                      <w:bCs/>
                      <w:color w:val="auto"/>
                      <w:kern w:val="0"/>
                      <w:u w:val="none"/>
                      <w:lang w:bidi="ar"/>
                    </w:rPr>
                    <w:t>369.91km</w:t>
                  </w:r>
                  <w:r>
                    <w:rPr>
                      <w:rFonts w:hint="default" w:ascii="Times New Roman" w:hAnsi="Times New Roman" w:eastAsia="宋体" w:cs="Times New Roman"/>
                      <w:bCs/>
                      <w:color w:val="auto"/>
                      <w:kern w:val="0"/>
                      <w:u w:val="none"/>
                      <w:vertAlign w:val="superscript"/>
                      <w:lang w:bidi="ar"/>
                    </w:rPr>
                    <w:t>2</w:t>
                  </w:r>
                </w:p>
              </w:tc>
              <w:tc>
                <w:tcPr>
                  <w:tcW w:w="1607" w:type="dxa"/>
                  <w:noWrap w:val="0"/>
                  <w:vAlign w:val="center"/>
                </w:tcPr>
                <w:p w14:paraId="01A947B5">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color w:val="auto"/>
                      <w:u w:val="none"/>
                    </w:rPr>
                    <w:t>荣家湾镇：以机械制造业为主，以商贸物流、食品加工、包装印刷，医疗器材制造为辅；第三产业、服务业</w:t>
                  </w:r>
                </w:p>
              </w:tc>
              <w:tc>
                <w:tcPr>
                  <w:tcW w:w="1163" w:type="dxa"/>
                  <w:noWrap w:val="0"/>
                  <w:vAlign w:val="center"/>
                </w:tcPr>
                <w:p w14:paraId="45F63492">
                  <w:pPr>
                    <w:widowControl/>
                    <w:adjustRightInd w:val="0"/>
                    <w:snapToGrid w:val="0"/>
                    <w:spacing w:line="240" w:lineRule="auto"/>
                    <w:jc w:val="center"/>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color w:val="auto"/>
                      <w:u w:val="none"/>
                    </w:rPr>
                    <w:t>游港河水质不能长期稳定达标；畜禽养殖等农业面源污染</w:t>
                  </w:r>
                </w:p>
              </w:tc>
            </w:tr>
            <w:tr w14:paraId="5B7D1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07" w:type="dxa"/>
                  <w:noWrap w:val="0"/>
                  <w:vAlign w:val="center"/>
                </w:tcPr>
                <w:p w14:paraId="606A1B04">
                  <w:pPr>
                    <w:widowControl/>
                    <w:adjustRightInd w:val="0"/>
                    <w:snapToGrid w:val="0"/>
                    <w:spacing w:line="240" w:lineRule="auto"/>
                    <w:jc w:val="left"/>
                    <w:rPr>
                      <w:rFonts w:hint="default" w:ascii="Times New Roman" w:hAnsi="Times New Roman" w:eastAsia="宋体" w:cs="Times New Roman"/>
                      <w:color w:val="auto"/>
                      <w:u w:val="none"/>
                    </w:rPr>
                  </w:pPr>
                  <w:r>
                    <w:rPr>
                      <w:rFonts w:hint="default" w:ascii="Times New Roman" w:hAnsi="Times New Roman" w:eastAsia="宋体" w:cs="Times New Roman"/>
                      <w:bCs/>
                      <w:color w:val="auto"/>
                      <w:kern w:val="0"/>
                      <w:u w:val="none"/>
                      <w:lang w:bidi="ar"/>
                    </w:rPr>
                    <w:t>空间布局约束</w:t>
                  </w:r>
                </w:p>
              </w:tc>
              <w:tc>
                <w:tcPr>
                  <w:tcW w:w="3049" w:type="dxa"/>
                  <w:gridSpan w:val="3"/>
                  <w:noWrap w:val="0"/>
                  <w:vAlign w:val="center"/>
                </w:tcPr>
                <w:p w14:paraId="04038199">
                  <w:pPr>
                    <w:widowControl/>
                    <w:snapToGrid w:val="0"/>
                    <w:spacing w:line="240" w:lineRule="auto"/>
                    <w:jc w:val="left"/>
                    <w:rPr>
                      <w:rFonts w:hint="eastAsia"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1.1 全面淘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ascii="Times New Roman" w:hAnsi="Times New Roman" w:eastAsia="宋体" w:cs="Times New Roman"/>
                      <w:color w:val="auto"/>
                      <w:u w:val="none"/>
                      <w:lang w:eastAsia="zh-CN"/>
                    </w:rPr>
                    <w:t>；</w:t>
                  </w:r>
                </w:p>
                <w:p w14:paraId="62304F79">
                  <w:pPr>
                    <w:widowControl/>
                    <w:adjustRightInd w:val="0"/>
                    <w:snapToGrid w:val="0"/>
                    <w:spacing w:line="240" w:lineRule="auto"/>
                    <w:rPr>
                      <w:rFonts w:hint="eastAsia" w:ascii="Times New Roman" w:hAnsi="Times New Roman" w:eastAsia="宋体" w:cs="Times New Roman"/>
                      <w:bCs/>
                      <w:color w:val="auto"/>
                      <w:u w:val="none"/>
                      <w:lang w:eastAsia="zh-CN"/>
                    </w:rPr>
                  </w:pPr>
                  <w:r>
                    <w:rPr>
                      <w:rFonts w:hint="default" w:ascii="Times New Roman" w:hAnsi="Times New Roman" w:eastAsia="宋体" w:cs="Times New Roman"/>
                      <w:color w:val="auto"/>
                      <w:u w:val="none"/>
                    </w:rPr>
                    <w:t>1.2 在禁养区内，撤除人工养殖网箱、网围、拦网，禁止从事投肥、投饵等各类人工水产养殖行为；在限养区内，全面限制投肥投饵养殖，限制周边生活污水及畜禽粪污直接排入农村集体生活用水水源地水库，重点湖泊限制网箱、网围、网栏等人工养殖，重点生态功能区内的水产养殖搬迁或关停</w:t>
                  </w:r>
                  <w:r>
                    <w:rPr>
                      <w:rFonts w:hint="eastAsia" w:ascii="Times New Roman" w:hAnsi="Times New Roman" w:eastAsia="宋体" w:cs="Times New Roman"/>
                      <w:color w:val="auto"/>
                      <w:u w:val="none"/>
                      <w:lang w:eastAsia="zh-CN"/>
                    </w:rPr>
                    <w:t>；</w:t>
                  </w:r>
                </w:p>
              </w:tc>
              <w:tc>
                <w:tcPr>
                  <w:tcW w:w="1607" w:type="dxa"/>
                  <w:noWrap w:val="0"/>
                  <w:vAlign w:val="center"/>
                </w:tcPr>
                <w:p w14:paraId="6DD18F45">
                  <w:pPr>
                    <w:widowControl/>
                    <w:spacing w:line="240" w:lineRule="auto"/>
                    <w:jc w:val="both"/>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项目选址位于岳阳县荣家湾镇欣荣村与荣鹿村交界处；</w:t>
                  </w:r>
                </w:p>
                <w:p w14:paraId="51262D10">
                  <w:pPr>
                    <w:widowControl/>
                    <w:spacing w:line="240" w:lineRule="auto"/>
                    <w:jc w:val="both"/>
                    <w:rPr>
                      <w:rFonts w:hint="default" w:ascii="宋体" w:hAnsi="宋体" w:eastAsia="宋体" w:cs="宋体"/>
                      <w:color w:val="auto"/>
                      <w:sz w:val="21"/>
                      <w:szCs w:val="21"/>
                      <w:u w:val="none"/>
                      <w:lang w:val="en-US" w:eastAsia="zh-CN"/>
                    </w:rPr>
                  </w:pPr>
                  <w:r>
                    <w:rPr>
                      <w:rFonts w:hint="eastAsia" w:ascii="Times New Roman" w:hAnsi="Times New Roman" w:cs="Times New Roman"/>
                      <w:color w:val="auto"/>
                      <w:sz w:val="21"/>
                      <w:szCs w:val="21"/>
                      <w:u w:val="none"/>
                      <w:lang w:val="en-US" w:eastAsia="zh-CN"/>
                    </w:rPr>
                    <w:t>项目</w:t>
                  </w:r>
                  <w:r>
                    <w:rPr>
                      <w:rFonts w:hint="eastAsia" w:ascii="宋体" w:hAnsi="宋体" w:eastAsia="宋体" w:cs="宋体"/>
                      <w:color w:val="auto"/>
                      <w:sz w:val="21"/>
                      <w:szCs w:val="21"/>
                      <w:u w:val="none"/>
                      <w:lang w:val="en-US" w:eastAsia="zh-CN"/>
                    </w:rPr>
                    <w:t>为商品混凝土生产。</w:t>
                  </w:r>
                </w:p>
                <w:p w14:paraId="62E1FEB1">
                  <w:pPr>
                    <w:widowControl/>
                    <w:adjustRightInd w:val="0"/>
                    <w:snapToGrid w:val="0"/>
                    <w:spacing w:line="240" w:lineRule="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1.1不涉及；</w:t>
                  </w:r>
                </w:p>
                <w:p w14:paraId="10BC6E76">
                  <w:pPr>
                    <w:widowControl/>
                    <w:adjustRightInd w:val="0"/>
                    <w:snapToGrid w:val="0"/>
                    <w:spacing w:line="240" w:lineRule="auto"/>
                    <w:rPr>
                      <w:rFonts w:hint="default" w:ascii="Times New Roman" w:hAnsi="Times New Roman" w:eastAsia="宋体" w:cs="Times New Roman"/>
                      <w:bCs/>
                      <w:color w:val="auto"/>
                      <w:u w:val="none"/>
                    </w:rPr>
                  </w:pPr>
                  <w:r>
                    <w:rPr>
                      <w:rFonts w:hint="eastAsia" w:ascii="Times New Roman" w:hAnsi="Times New Roman" w:cs="Times New Roman"/>
                      <w:color w:val="auto"/>
                      <w:sz w:val="21"/>
                      <w:szCs w:val="21"/>
                      <w:u w:val="none"/>
                      <w:lang w:val="en-US" w:eastAsia="zh-CN"/>
                    </w:rPr>
                    <w:t>1.2不涉及；</w:t>
                  </w:r>
                </w:p>
              </w:tc>
              <w:tc>
                <w:tcPr>
                  <w:tcW w:w="1163" w:type="dxa"/>
                  <w:noWrap w:val="0"/>
                  <w:vAlign w:val="center"/>
                </w:tcPr>
                <w:p w14:paraId="3194EF82">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符合</w:t>
                  </w:r>
                </w:p>
              </w:tc>
            </w:tr>
            <w:tr w14:paraId="6884C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07" w:type="dxa"/>
                  <w:noWrap w:val="0"/>
                  <w:vAlign w:val="center"/>
                </w:tcPr>
                <w:p w14:paraId="608F31CE">
                  <w:pPr>
                    <w:widowControl/>
                    <w:adjustRightInd w:val="0"/>
                    <w:snapToGrid w:val="0"/>
                    <w:spacing w:line="240" w:lineRule="auto"/>
                    <w:jc w:val="left"/>
                    <w:rPr>
                      <w:rFonts w:hint="default" w:ascii="Times New Roman" w:hAnsi="Times New Roman" w:eastAsia="宋体" w:cs="Times New Roman"/>
                      <w:bCs/>
                      <w:color w:val="auto"/>
                      <w:kern w:val="0"/>
                      <w:u w:val="none"/>
                      <w:lang w:bidi="ar"/>
                    </w:rPr>
                  </w:pPr>
                  <w:r>
                    <w:rPr>
                      <w:rFonts w:hint="default" w:ascii="Times New Roman" w:hAnsi="Times New Roman" w:eastAsia="宋体" w:cs="Times New Roman"/>
                      <w:bCs/>
                      <w:color w:val="auto"/>
                      <w:kern w:val="0"/>
                      <w:u w:val="none"/>
                      <w:lang w:bidi="ar"/>
                    </w:rPr>
                    <w:t>污染物排放管控</w:t>
                  </w:r>
                </w:p>
              </w:tc>
              <w:tc>
                <w:tcPr>
                  <w:tcW w:w="3049" w:type="dxa"/>
                  <w:gridSpan w:val="3"/>
                  <w:noWrap w:val="0"/>
                  <w:vAlign w:val="center"/>
                </w:tcPr>
                <w:p w14:paraId="7C5CEAD2">
                  <w:pPr>
                    <w:widowControl/>
                    <w:adjustRightInd w:val="0"/>
                    <w:snapToGrid w:val="0"/>
                    <w:spacing w:line="240" w:lineRule="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2.1 加快补齐污水收集和处理设施短板，积极推进雨污分流、老旧污水管网改造和破损修复等工作，加快消除生活污水收集处理设施空白区，显著提升城镇生活污水集中收集效能</w:t>
                  </w:r>
                </w:p>
              </w:tc>
              <w:tc>
                <w:tcPr>
                  <w:tcW w:w="1607" w:type="dxa"/>
                  <w:noWrap w:val="0"/>
                  <w:vAlign w:val="center"/>
                </w:tcPr>
                <w:p w14:paraId="1138F6AD">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项目</w:t>
                  </w:r>
                  <w:r>
                    <w:rPr>
                      <w:rFonts w:hint="eastAsia" w:ascii="Times New Roman" w:hAnsi="Times New Roman" w:eastAsia="宋体" w:cs="Times New Roman"/>
                      <w:color w:val="auto"/>
                      <w:sz w:val="21"/>
                      <w:u w:val="none"/>
                      <w:lang w:val="en-US" w:eastAsia="zh-CN"/>
                    </w:rPr>
                    <w:t>废水经沉淀后循环使用，不外排</w:t>
                  </w:r>
                  <w:r>
                    <w:rPr>
                      <w:rFonts w:hint="default" w:ascii="Times New Roman" w:hAnsi="Times New Roman" w:eastAsia="宋体" w:cs="Times New Roman"/>
                      <w:color w:val="auto"/>
                      <w:sz w:val="21"/>
                      <w:u w:val="none"/>
                      <w:lang w:val="en-US" w:eastAsia="zh-CN"/>
                    </w:rPr>
                    <w:t>，</w:t>
                  </w:r>
                  <w:r>
                    <w:rPr>
                      <w:rFonts w:hint="default" w:ascii="Times New Roman" w:hAnsi="Times New Roman" w:eastAsia="宋体" w:cs="Times New Roman"/>
                      <w:color w:val="auto"/>
                      <w:sz w:val="21"/>
                      <w:u w:val="none"/>
                    </w:rPr>
                    <w:t>符合要求</w:t>
                  </w:r>
                </w:p>
              </w:tc>
              <w:tc>
                <w:tcPr>
                  <w:tcW w:w="1163" w:type="dxa"/>
                  <w:noWrap w:val="0"/>
                  <w:vAlign w:val="center"/>
                </w:tcPr>
                <w:p w14:paraId="214492BE">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符合</w:t>
                  </w:r>
                </w:p>
              </w:tc>
            </w:tr>
            <w:tr w14:paraId="2AF1E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6" w:hRule="atLeast"/>
                <w:jc w:val="center"/>
              </w:trPr>
              <w:tc>
                <w:tcPr>
                  <w:tcW w:w="1307" w:type="dxa"/>
                  <w:noWrap w:val="0"/>
                  <w:vAlign w:val="center"/>
                </w:tcPr>
                <w:p w14:paraId="240529CE">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环境风险防控</w:t>
                  </w:r>
                </w:p>
              </w:tc>
              <w:tc>
                <w:tcPr>
                  <w:tcW w:w="3049" w:type="dxa"/>
                  <w:gridSpan w:val="3"/>
                  <w:noWrap w:val="0"/>
                  <w:vAlign w:val="center"/>
                </w:tcPr>
                <w:p w14:paraId="544115ED">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3.1 大型养殖场已建设自用病死畜禽处理设施的，应当符合病死畜禽无害化处理技术规范，并经县生态环境和畜牧水产部门审查批准后方可使用</w:t>
                  </w:r>
                </w:p>
                <w:p w14:paraId="6E1F2B04">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3.2 防治畜禽养殖污染。严格禁养区管理，依法处理违规畜禽养殖问题，现有规模化畜禽养殖场（小区）根据污染治理需要，配套建设畜禽粪污贮存、处理、利用设施，落实“种养结合，以地定畜”要求，推动就地就近消纳利用畜禽养殖废弃物；鼓励第三方处理企业开展畜禽粪污专业化集中处理</w:t>
                  </w:r>
                </w:p>
                <w:p w14:paraId="303C2F91">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3.3 控制农业面源污染。全面贯彻落实“一控两减三基本”行动，加强肥料、农药包装废弃物回收处理试点与推广应用，建立健全废弃农膜回收贮运和综合利用网络</w:t>
                  </w:r>
                </w:p>
                <w:p w14:paraId="213CC5C2">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3.4 强化枯水期环境监管，在枯水期对重点断面、重点污染源、饮用水水源地进行加密监测，强化区域环境风险隐患排查整治</w:t>
                  </w:r>
                </w:p>
                <w:p w14:paraId="7D0124B8">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3.5 深入推动落实河（湖）长制，加强河湖巡查，及时发现、解决有关问题；巩固河湖“清四乱”成效，推动清理整治重点向中小河流、农村河湖延伸，将国控断面水质控制目标、饮用水水源保护纳入河（湖）长制考核体系</w:t>
                  </w:r>
                </w:p>
                <w:p w14:paraId="6E6014AA">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3.6 建立涵盖基础信息、实时水量水质数据等在内的河湖库管理信息平台，河湖管护联合执法机制逐步形成，在东洞庭湖、新墙河、铁山水库等重要河</w:t>
                  </w:r>
                </w:p>
              </w:tc>
              <w:tc>
                <w:tcPr>
                  <w:tcW w:w="1607" w:type="dxa"/>
                  <w:noWrap w:val="0"/>
                  <w:vAlign w:val="center"/>
                </w:tcPr>
                <w:p w14:paraId="50D7624B">
                  <w:pPr>
                    <w:widowControl/>
                    <w:spacing w:line="240" w:lineRule="auto"/>
                    <w:jc w:val="both"/>
                    <w:rPr>
                      <w:rFonts w:hint="default" w:ascii="宋体" w:hAnsi="宋体" w:eastAsia="宋体" w:cs="宋体"/>
                      <w:color w:val="auto"/>
                      <w:sz w:val="21"/>
                      <w:szCs w:val="21"/>
                      <w:u w:val="none"/>
                      <w:lang w:val="en-US" w:eastAsia="zh-CN"/>
                    </w:rPr>
                  </w:pPr>
                  <w:r>
                    <w:rPr>
                      <w:rFonts w:hint="eastAsia" w:ascii="Times New Roman" w:hAnsi="Times New Roman" w:cs="Times New Roman"/>
                      <w:color w:val="auto"/>
                      <w:sz w:val="21"/>
                      <w:szCs w:val="21"/>
                      <w:u w:val="none"/>
                      <w:lang w:val="en-US" w:eastAsia="zh-CN"/>
                    </w:rPr>
                    <w:t>项目</w:t>
                  </w:r>
                  <w:r>
                    <w:rPr>
                      <w:rFonts w:hint="eastAsia" w:ascii="宋体" w:hAnsi="宋体" w:eastAsia="宋体" w:cs="宋体"/>
                      <w:color w:val="auto"/>
                      <w:sz w:val="21"/>
                      <w:szCs w:val="21"/>
                      <w:u w:val="none"/>
                      <w:lang w:val="en-US" w:eastAsia="zh-CN"/>
                    </w:rPr>
                    <w:t>为商品混凝土生产。</w:t>
                  </w:r>
                </w:p>
                <w:p w14:paraId="08606B27">
                  <w:pPr>
                    <w:widowControl/>
                    <w:adjustRightInd w:val="0"/>
                    <w:snapToGrid w:val="0"/>
                    <w:spacing w:line="240" w:lineRule="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3.1不涉及；</w:t>
                  </w:r>
                </w:p>
                <w:p w14:paraId="2563D5D8">
                  <w:pPr>
                    <w:widowControl/>
                    <w:adjustRightInd w:val="0"/>
                    <w:snapToGrid w:val="0"/>
                    <w:spacing w:line="240" w:lineRule="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3.2不涉及；</w:t>
                  </w:r>
                </w:p>
                <w:p w14:paraId="208EAD2A">
                  <w:pPr>
                    <w:widowControl/>
                    <w:adjustRightInd w:val="0"/>
                    <w:snapToGrid w:val="0"/>
                    <w:spacing w:line="240" w:lineRule="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3.3不涉及；</w:t>
                  </w:r>
                </w:p>
                <w:p w14:paraId="40E1577B">
                  <w:pPr>
                    <w:widowControl/>
                    <w:adjustRightInd w:val="0"/>
                    <w:snapToGrid w:val="0"/>
                    <w:spacing w:line="240" w:lineRule="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3.4不涉及；</w:t>
                  </w:r>
                </w:p>
                <w:p w14:paraId="0CAC9361">
                  <w:pPr>
                    <w:widowControl/>
                    <w:adjustRightInd w:val="0"/>
                    <w:snapToGrid w:val="0"/>
                    <w:spacing w:line="240" w:lineRule="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3.5不涉及；</w:t>
                  </w:r>
                </w:p>
                <w:p w14:paraId="623F2FBD">
                  <w:pPr>
                    <w:pStyle w:val="118"/>
                    <w:snapToGrid w:val="0"/>
                    <w:spacing w:line="240" w:lineRule="auto"/>
                    <w:ind w:firstLine="0" w:firstLineChars="0"/>
                    <w:jc w:val="both"/>
                    <w:rPr>
                      <w:rFonts w:hint="default" w:ascii="Times New Roman" w:hAnsi="Times New Roman" w:eastAsia="宋体" w:cs="Times New Roman"/>
                      <w:color w:val="auto"/>
                      <w:sz w:val="21"/>
                      <w:u w:val="none"/>
                      <w:lang w:eastAsia="zh-CN"/>
                    </w:rPr>
                  </w:pPr>
                  <w:r>
                    <w:rPr>
                      <w:rFonts w:hint="eastAsia" w:ascii="Times New Roman" w:hAnsi="Times New Roman" w:cs="Times New Roman"/>
                      <w:color w:val="auto"/>
                      <w:sz w:val="21"/>
                      <w:szCs w:val="21"/>
                      <w:u w:val="none"/>
                      <w:lang w:val="en-US" w:eastAsia="zh-CN"/>
                    </w:rPr>
                    <w:t>3.6不涉及；</w:t>
                  </w:r>
                </w:p>
              </w:tc>
              <w:tc>
                <w:tcPr>
                  <w:tcW w:w="1163" w:type="dxa"/>
                  <w:noWrap w:val="0"/>
                  <w:vAlign w:val="center"/>
                </w:tcPr>
                <w:p w14:paraId="17F24874">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符合</w:t>
                  </w:r>
                </w:p>
              </w:tc>
            </w:tr>
            <w:tr w14:paraId="04917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307" w:type="dxa"/>
                  <w:noWrap w:val="0"/>
                  <w:vAlign w:val="center"/>
                </w:tcPr>
                <w:p w14:paraId="21998F1E">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资源开发</w:t>
                  </w:r>
                </w:p>
                <w:p w14:paraId="264A5F26">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效率要求</w:t>
                  </w:r>
                </w:p>
              </w:tc>
              <w:tc>
                <w:tcPr>
                  <w:tcW w:w="3049" w:type="dxa"/>
                  <w:gridSpan w:val="3"/>
                  <w:noWrap w:val="0"/>
                  <w:vAlign w:val="center"/>
                </w:tcPr>
                <w:p w14:paraId="7B2F11C7">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4.1 对取用水总量接近控制指标的地区，限制审批建设项目新增取水许可；已达到或超过控制指标的地区，暂停审批建设项目新增取水许可；划定全县地下水禁采区、限采区和地面沉降控制区范围</w:t>
                  </w:r>
                </w:p>
                <w:p w14:paraId="51EF1BCC">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4.2 积极推进农业节水，完成高效节水灌溉年度任务；推进循环发展，将再生水、雨水、矿井水等非常规水源纳入区域水资源统一配置</w:t>
                  </w:r>
                </w:p>
                <w:p w14:paraId="7D6D464E">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4.3 水资源：岳阳县万元国内生产总值用水量106m</w:t>
                  </w:r>
                  <w:r>
                    <w:rPr>
                      <w:rFonts w:hint="default" w:ascii="Times New Roman" w:hAnsi="Times New Roman" w:eastAsia="宋体" w:cs="Times New Roman"/>
                      <w:color w:val="auto"/>
                      <w:sz w:val="21"/>
                      <w:u w:val="none"/>
                      <w:vertAlign w:val="superscript"/>
                    </w:rPr>
                    <w:t>3</w:t>
                  </w:r>
                  <w:r>
                    <w:rPr>
                      <w:rFonts w:hint="default" w:ascii="Times New Roman" w:hAnsi="Times New Roman" w:eastAsia="宋体" w:cs="Times New Roman"/>
                      <w:color w:val="auto"/>
                      <w:sz w:val="21"/>
                      <w:u w:val="none"/>
                    </w:rPr>
                    <w:t>/万元，万元工业增加值用水量32m</w:t>
                  </w:r>
                  <w:r>
                    <w:rPr>
                      <w:rFonts w:hint="default" w:ascii="Times New Roman" w:hAnsi="Times New Roman" w:eastAsia="宋体" w:cs="Times New Roman"/>
                      <w:color w:val="auto"/>
                      <w:sz w:val="21"/>
                      <w:u w:val="none"/>
                      <w:vertAlign w:val="superscript"/>
                    </w:rPr>
                    <w:t>3</w:t>
                  </w:r>
                  <w:r>
                    <w:rPr>
                      <w:rFonts w:hint="default" w:ascii="Times New Roman" w:hAnsi="Times New Roman" w:eastAsia="宋体" w:cs="Times New Roman"/>
                      <w:color w:val="auto"/>
                      <w:sz w:val="21"/>
                      <w:u w:val="none"/>
                    </w:rPr>
                    <w:t>/万元，农田灌溉水有效利用系数0.56</w:t>
                  </w:r>
                </w:p>
                <w:p w14:paraId="0013EF53">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4.4 能源：岳阳县“十三五”能耗强度降低目标18.5%，“十三五”能耗控制目标17.5万吨标准煤</w:t>
                  </w:r>
                </w:p>
                <w:p w14:paraId="3A76F305">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4.5 土地资源：</w:t>
                  </w:r>
                </w:p>
                <w:p w14:paraId="5E748C0B">
                  <w:pPr>
                    <w:pStyle w:val="118"/>
                    <w:snapToGrid w:val="0"/>
                    <w:spacing w:line="240" w:lineRule="auto"/>
                    <w:ind w:firstLine="0" w:firstLineChars="0"/>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荣家湾镇：耕地保有量5618.31 公顷，基本农田保护面积 4231.82 公顷。建设用地总规模 3754.96 公顷，城乡建设用地规模 2800.53 公顷，城镇工矿用地规模 2077.78 公顷</w:t>
                  </w:r>
                </w:p>
              </w:tc>
              <w:tc>
                <w:tcPr>
                  <w:tcW w:w="1607" w:type="dxa"/>
                  <w:noWrap w:val="0"/>
                  <w:vAlign w:val="center"/>
                </w:tcPr>
                <w:p w14:paraId="2F5726CE">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本项目用地性质为工矿仓储用地；项目不使用锅炉，能源消耗主要为水、电，消耗量较低，不会突破当地资源利用上线。</w:t>
                  </w:r>
                </w:p>
              </w:tc>
              <w:tc>
                <w:tcPr>
                  <w:tcW w:w="1163" w:type="dxa"/>
                  <w:noWrap w:val="0"/>
                  <w:vAlign w:val="center"/>
                </w:tcPr>
                <w:p w14:paraId="2CEC8945">
                  <w:pPr>
                    <w:pStyle w:val="118"/>
                    <w:snapToGrid w:val="0"/>
                    <w:spacing w:line="240" w:lineRule="auto"/>
                    <w:ind w:firstLine="0" w:firstLineChars="0"/>
                    <w:jc w:val="center"/>
                    <w:rPr>
                      <w:rFonts w:hint="default" w:ascii="Times New Roman" w:hAnsi="Times New Roman" w:eastAsia="宋体" w:cs="Times New Roman"/>
                      <w:color w:val="auto"/>
                      <w:sz w:val="21"/>
                      <w:u w:val="none"/>
                    </w:rPr>
                  </w:pPr>
                  <w:r>
                    <w:rPr>
                      <w:rFonts w:hint="default" w:ascii="Times New Roman" w:hAnsi="Times New Roman" w:eastAsia="宋体" w:cs="Times New Roman"/>
                      <w:color w:val="auto"/>
                      <w:sz w:val="21"/>
                      <w:u w:val="none"/>
                    </w:rPr>
                    <w:t>符合</w:t>
                  </w:r>
                </w:p>
              </w:tc>
            </w:tr>
          </w:tbl>
          <w:p w14:paraId="3DFF5E93">
            <w:pPr>
              <w:spacing w:line="360" w:lineRule="auto"/>
              <w:rPr>
                <w:rFonts w:hint="eastAsia" w:ascii="Times New Roman" w:hAnsi="Times New Roman" w:cs="Times New Roman"/>
                <w:b/>
                <w:bCs/>
                <w:color w:val="auto"/>
                <w:sz w:val="24"/>
                <w:szCs w:val="24"/>
                <w:u w:val="none"/>
                <w:lang w:val="en-US" w:eastAsia="zh-CN"/>
              </w:rPr>
            </w:pPr>
          </w:p>
          <w:p w14:paraId="7BA23FC6">
            <w:pPr>
              <w:spacing w:line="360" w:lineRule="auto"/>
              <w:rPr>
                <w:rFonts w:ascii="Times New Roman" w:hAnsi="Times New Roman" w:cs="Times New Roman"/>
                <w:b/>
                <w:bCs/>
                <w:color w:val="auto"/>
                <w:sz w:val="24"/>
                <w:szCs w:val="24"/>
                <w:u w:val="none"/>
              </w:rPr>
            </w:pPr>
            <w:r>
              <w:rPr>
                <w:rFonts w:hint="eastAsia" w:ascii="Times New Roman" w:hAnsi="Times New Roman" w:cs="Times New Roman"/>
                <w:b/>
                <w:bCs/>
                <w:color w:val="auto"/>
                <w:sz w:val="24"/>
                <w:szCs w:val="24"/>
                <w:u w:val="none"/>
                <w:lang w:val="en-US" w:eastAsia="zh-CN"/>
              </w:rPr>
              <w:t>4</w:t>
            </w:r>
            <w:r>
              <w:rPr>
                <w:rFonts w:hint="eastAsia" w:ascii="Times New Roman" w:hAnsi="Times New Roman" w:cs="Times New Roman"/>
                <w:b/>
                <w:bCs/>
                <w:color w:val="auto"/>
                <w:sz w:val="24"/>
                <w:szCs w:val="24"/>
                <w:u w:val="none"/>
              </w:rPr>
              <w:t>、与</w:t>
            </w:r>
            <w:r>
              <w:rPr>
                <w:rFonts w:hint="eastAsia" w:ascii="Times New Roman" w:hAnsi="Times New Roman" w:cs="Times New Roman"/>
                <w:b/>
                <w:bCs/>
                <w:color w:val="auto"/>
                <w:sz w:val="24"/>
                <w:szCs w:val="24"/>
                <w:u w:val="none"/>
                <w:lang w:eastAsia="zh-CN"/>
              </w:rPr>
              <w:t>《</w:t>
            </w:r>
            <w:r>
              <w:rPr>
                <w:rFonts w:hint="eastAsia" w:ascii="Times New Roman" w:hAnsi="Times New Roman" w:cs="Times New Roman"/>
                <w:b/>
                <w:bCs/>
                <w:color w:val="auto"/>
                <w:sz w:val="24"/>
                <w:szCs w:val="24"/>
                <w:u w:val="none"/>
                <w:lang w:val="en-US" w:eastAsia="zh-CN"/>
              </w:rPr>
              <w:t>湖南省长江经济带发展负面清单实施细则（试行，2022年版）</w:t>
            </w:r>
            <w:r>
              <w:rPr>
                <w:rFonts w:hint="eastAsia" w:ascii="Times New Roman" w:hAnsi="Times New Roman" w:cs="Times New Roman"/>
                <w:b/>
                <w:bCs/>
                <w:color w:val="auto"/>
                <w:sz w:val="24"/>
                <w:szCs w:val="24"/>
                <w:u w:val="none"/>
                <w:lang w:eastAsia="zh-CN"/>
              </w:rPr>
              <w:t>》</w:t>
            </w:r>
            <w:r>
              <w:rPr>
                <w:rFonts w:hint="eastAsia" w:ascii="Times New Roman" w:hAnsi="Times New Roman" w:cs="Times New Roman"/>
                <w:b/>
                <w:bCs/>
                <w:color w:val="auto"/>
                <w:sz w:val="24"/>
                <w:szCs w:val="24"/>
                <w:u w:val="none"/>
              </w:rPr>
              <w:t>相符性分析</w:t>
            </w:r>
          </w:p>
          <w:p w14:paraId="6E730F21">
            <w:pPr>
              <w:keepNext w:val="0"/>
              <w:keepLines w:val="0"/>
              <w:pageBreakBefore w:val="0"/>
              <w:widowControl w:val="0"/>
              <w:kinsoku/>
              <w:wordWrap/>
              <w:overflowPunct/>
              <w:topLinePunct w:val="0"/>
              <w:autoSpaceDE/>
              <w:autoSpaceDN/>
              <w:bidi w:val="0"/>
              <w:adjustRightInd w:val="0"/>
              <w:snapToGrid w:val="0"/>
              <w:spacing w:line="360" w:lineRule="auto"/>
              <w:ind w:firstLine="482"/>
              <w:contextualSpacing/>
              <w:rPr>
                <w:rFonts w:hint="default" w:ascii="Times New Roman" w:hAnsi="Times New Roman" w:eastAsia="宋体" w:cs="Times New Roman"/>
                <w:caps w:val="0"/>
                <w:smallCaps w:val="0"/>
                <w:color w:val="auto"/>
                <w:kern w:val="24"/>
                <w:sz w:val="24"/>
                <w:szCs w:val="24"/>
                <w:highlight w:val="none"/>
                <w:u w:val="none"/>
                <w:lang w:val="en-US" w:eastAsia="zh-CN"/>
              </w:rPr>
            </w:pPr>
            <w:r>
              <w:rPr>
                <w:rFonts w:hint="default" w:ascii="Times New Roman" w:hAnsi="Times New Roman" w:eastAsia="宋体" w:cs="Times New Roman"/>
                <w:caps w:val="0"/>
                <w:smallCaps w:val="0"/>
                <w:color w:val="auto"/>
                <w:kern w:val="24"/>
                <w:sz w:val="24"/>
                <w:szCs w:val="24"/>
                <w:highlight w:val="none"/>
                <w:u w:val="none"/>
                <w:lang w:val="en-US" w:eastAsia="zh-CN"/>
              </w:rPr>
              <w:t>根据《湖南省推动长江经济带发展领导小组办公室关于印发</w:t>
            </w:r>
            <w:r>
              <w:rPr>
                <w:rFonts w:hint="eastAsia" w:ascii="Times New Roman" w:hAnsi="Times New Roman" w:eastAsia="宋体" w:cs="Times New Roman"/>
                <w:caps w:val="0"/>
                <w:smallCaps w:val="0"/>
                <w:color w:val="auto"/>
                <w:kern w:val="24"/>
                <w:sz w:val="24"/>
                <w:szCs w:val="24"/>
                <w:highlight w:val="none"/>
                <w:u w:val="none"/>
                <w:lang w:val="en-US" w:eastAsia="zh-CN"/>
              </w:rPr>
              <w:t>〈</w:t>
            </w:r>
            <w:r>
              <w:rPr>
                <w:rFonts w:hint="default" w:ascii="Times New Roman" w:hAnsi="Times New Roman" w:eastAsia="宋体" w:cs="Times New Roman"/>
                <w:caps w:val="0"/>
                <w:smallCaps w:val="0"/>
                <w:color w:val="auto"/>
                <w:kern w:val="24"/>
                <w:sz w:val="24"/>
                <w:szCs w:val="24"/>
                <w:highlight w:val="none"/>
                <w:u w:val="none"/>
                <w:lang w:val="en-US" w:eastAsia="zh-CN"/>
              </w:rPr>
              <w:t>湖南省长江经济带发展负面清单实施细则（试行，2022年版）</w:t>
            </w:r>
            <w:r>
              <w:rPr>
                <w:rFonts w:hint="eastAsia" w:ascii="Times New Roman" w:hAnsi="Times New Roman" w:eastAsia="宋体" w:cs="Times New Roman"/>
                <w:caps w:val="0"/>
                <w:smallCaps w:val="0"/>
                <w:color w:val="auto"/>
                <w:kern w:val="24"/>
                <w:sz w:val="24"/>
                <w:szCs w:val="24"/>
                <w:highlight w:val="none"/>
                <w:u w:val="none"/>
                <w:lang w:val="en-US" w:eastAsia="zh-CN"/>
              </w:rPr>
              <w:t>〉</w:t>
            </w:r>
            <w:r>
              <w:rPr>
                <w:rFonts w:hint="default" w:ascii="Times New Roman" w:hAnsi="Times New Roman" w:eastAsia="宋体" w:cs="Times New Roman"/>
                <w:caps w:val="0"/>
                <w:smallCaps w:val="0"/>
                <w:color w:val="auto"/>
                <w:kern w:val="24"/>
                <w:sz w:val="24"/>
                <w:szCs w:val="24"/>
                <w:highlight w:val="none"/>
                <w:u w:val="none"/>
                <w:lang w:val="en-US" w:eastAsia="zh-CN"/>
              </w:rPr>
              <w:t>的通知》要求，其负面清单</w:t>
            </w:r>
            <w:r>
              <w:rPr>
                <w:rFonts w:hint="eastAsia" w:ascii="Times New Roman" w:hAnsi="Times New Roman" w:eastAsia="宋体" w:cs="Times New Roman"/>
                <w:caps w:val="0"/>
                <w:smallCaps w:val="0"/>
                <w:color w:val="auto"/>
                <w:kern w:val="24"/>
                <w:sz w:val="24"/>
                <w:szCs w:val="24"/>
                <w:highlight w:val="none"/>
                <w:u w:val="none"/>
                <w:lang w:val="en-US" w:eastAsia="zh-CN"/>
              </w:rPr>
              <w:t>实施细则</w:t>
            </w:r>
            <w:r>
              <w:rPr>
                <w:rFonts w:hint="default" w:ascii="Times New Roman" w:hAnsi="Times New Roman" w:eastAsia="宋体" w:cs="Times New Roman"/>
                <w:caps w:val="0"/>
                <w:smallCaps w:val="0"/>
                <w:color w:val="auto"/>
                <w:kern w:val="24"/>
                <w:sz w:val="24"/>
                <w:szCs w:val="24"/>
                <w:highlight w:val="none"/>
                <w:u w:val="none"/>
                <w:lang w:val="en-US" w:eastAsia="zh-CN"/>
              </w:rPr>
              <w:t>（试行）明确指出了以下负面清单：</w:t>
            </w:r>
          </w:p>
          <w:p w14:paraId="1F9945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contextualSpacing/>
              <w:rPr>
                <w:rFonts w:hint="eastAsia" w:ascii="Times New Roman" w:hAnsi="Times New Roman" w:eastAsia="宋体" w:cs="Times New Roman"/>
                <w:caps w:val="0"/>
                <w:smallCaps w:val="0"/>
                <w:color w:val="auto"/>
                <w:kern w:val="24"/>
                <w:sz w:val="24"/>
                <w:szCs w:val="24"/>
                <w:highlight w:val="none"/>
                <w:u w:val="none"/>
                <w:lang w:val="en-US" w:eastAsia="zh-CN"/>
              </w:rPr>
            </w:pPr>
            <w:r>
              <w:rPr>
                <w:rFonts w:hint="eastAsia" w:ascii="Times New Roman" w:hAnsi="Times New Roman" w:eastAsia="宋体" w:cs="Times New Roman"/>
                <w:caps w:val="0"/>
                <w:smallCaps w:val="0"/>
                <w:color w:val="auto"/>
                <w:kern w:val="24"/>
                <w:sz w:val="24"/>
                <w:szCs w:val="24"/>
                <w:u w:val="none"/>
                <w:lang w:val="en-US" w:eastAsia="zh-CN" w:bidi="ar-SA"/>
              </w:rPr>
              <w:t xml:space="preserve">“第十五条 </w:t>
            </w:r>
            <w:r>
              <w:rPr>
                <w:rFonts w:hint="eastAsia" w:ascii="Times New Roman" w:hAnsi="Times New Roman" w:eastAsia="宋体" w:cs="Times New Roman"/>
                <w:caps w:val="0"/>
                <w:smallCaps w:val="0"/>
                <w:color w:val="auto"/>
                <w:kern w:val="24"/>
                <w:sz w:val="24"/>
                <w:szCs w:val="24"/>
                <w:highlight w:val="none"/>
                <w:u w:val="none"/>
                <w:lang w:val="en-US" w:eastAsia="zh-CN"/>
              </w:rPr>
              <w:t>禁止在长江湖南段和洞庭湖、湘江、资江、沅江、潭水干流岸线一公里范围内新建、扩建化工园区和化工项目；</w:t>
            </w:r>
          </w:p>
          <w:p w14:paraId="64AB8F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contextualSpacing/>
              <w:rPr>
                <w:rFonts w:hint="eastAsia" w:ascii="Times New Roman" w:hAnsi="Times New Roman" w:eastAsia="宋体" w:cs="Times New Roman"/>
                <w:caps w:val="0"/>
                <w:smallCaps w:val="0"/>
                <w:color w:val="auto"/>
                <w:kern w:val="24"/>
                <w:sz w:val="24"/>
                <w:szCs w:val="24"/>
                <w:highlight w:val="none"/>
                <w:u w:val="none"/>
                <w:lang w:val="en-US" w:eastAsia="zh-CN"/>
              </w:rPr>
            </w:pPr>
            <w:r>
              <w:rPr>
                <w:rFonts w:hint="eastAsia" w:ascii="Times New Roman" w:hAnsi="Times New Roman" w:eastAsia="宋体" w:cs="Times New Roman"/>
                <w:caps w:val="0"/>
                <w:smallCaps w:val="0"/>
                <w:color w:val="auto"/>
                <w:kern w:val="24"/>
                <w:sz w:val="24"/>
                <w:szCs w:val="24"/>
                <w:highlight w:val="none"/>
                <w:u w:val="none"/>
                <w:lang w:val="en-US" w:eastAsia="zh-CN"/>
              </w:rPr>
              <w:t>第十六条 禁止在合规园区外新建、扩建钢铁、石化、化工、焦化、建材、有色、制浆造纸等高污染项目；</w:t>
            </w:r>
          </w:p>
          <w:p w14:paraId="560E69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contextualSpacing/>
              <w:rPr>
                <w:rFonts w:hint="default" w:ascii="Times New Roman" w:hAnsi="Times New Roman" w:eastAsia="宋体" w:cs="Times New Roman"/>
                <w:caps w:val="0"/>
                <w:smallCaps w:val="0"/>
                <w:color w:val="auto"/>
                <w:kern w:val="24"/>
                <w:sz w:val="24"/>
                <w:szCs w:val="24"/>
                <w:highlight w:val="none"/>
                <w:u w:val="none"/>
                <w:lang w:val="en-US" w:eastAsia="zh-CN"/>
              </w:rPr>
            </w:pPr>
            <w:r>
              <w:rPr>
                <w:rFonts w:hint="eastAsia" w:ascii="Times New Roman" w:hAnsi="Times New Roman" w:eastAsia="宋体" w:cs="Times New Roman"/>
                <w:caps w:val="0"/>
                <w:smallCaps w:val="0"/>
                <w:color w:val="auto"/>
                <w:kern w:val="24"/>
                <w:sz w:val="24"/>
                <w:szCs w:val="24"/>
                <w:highlight w:val="none"/>
                <w:u w:val="none"/>
                <w:lang w:val="en-US" w:eastAsia="zh-CN"/>
              </w:rPr>
              <w:t>第十七条 禁止新建、扩建不符合国家石化、现代煤化工等产业布局规划的项目。未通过认定的化工园区，不得新建、改扩建化工项目（安全、环保、节能和智能化改造项目除外）。”</w:t>
            </w:r>
          </w:p>
          <w:p w14:paraId="2A84C481">
            <w:pPr>
              <w:spacing w:line="360" w:lineRule="auto"/>
              <w:ind w:firstLine="480" w:firstLineChars="200"/>
              <w:rPr>
                <w:rFonts w:hint="default" w:ascii="Times New Roman" w:hAnsi="Times New Roman" w:eastAsia="宋体" w:cs="Times New Roman"/>
                <w:caps w:val="0"/>
                <w:smallCaps w:val="0"/>
                <w:color w:val="auto"/>
                <w:kern w:val="24"/>
                <w:sz w:val="24"/>
                <w:szCs w:val="24"/>
                <w:highlight w:val="none"/>
                <w:u w:val="none"/>
                <w:lang w:val="en-US" w:eastAsia="zh-CN"/>
              </w:rPr>
            </w:pPr>
            <w:r>
              <w:rPr>
                <w:rFonts w:hint="eastAsia" w:ascii="Times New Roman" w:hAnsi="Times New Roman" w:eastAsia="宋体" w:cs="Times New Roman"/>
                <w:color w:val="auto"/>
                <w:kern w:val="24"/>
                <w:sz w:val="24"/>
                <w:szCs w:val="24"/>
                <w:highlight w:val="none"/>
                <w:u w:val="none"/>
                <w:lang w:val="en-US" w:eastAsia="zh-CN"/>
              </w:rPr>
              <w:t>本</w:t>
            </w:r>
            <w:r>
              <w:rPr>
                <w:rFonts w:hint="eastAsia" w:ascii="Times New Roman" w:hAnsi="Times New Roman" w:eastAsia="宋体" w:cs="Times New Roman"/>
                <w:caps w:val="0"/>
                <w:smallCaps w:val="0"/>
                <w:color w:val="auto"/>
                <w:kern w:val="24"/>
                <w:sz w:val="24"/>
                <w:szCs w:val="24"/>
                <w:highlight w:val="none"/>
                <w:u w:val="none"/>
                <w:lang w:val="en-US" w:eastAsia="zh-CN"/>
              </w:rPr>
              <w:t>项目为混凝土生产项目，项目符合国家相关产业政策，不属于上述禁止的行业类别，不位于上述禁止建设区域内，项目生产废水全部回用不外排</w:t>
            </w:r>
            <w:r>
              <w:rPr>
                <w:rFonts w:hint="default" w:ascii="Times New Roman" w:hAnsi="Times New Roman" w:eastAsia="宋体" w:cs="Times New Roman"/>
                <w:caps w:val="0"/>
                <w:smallCaps w:val="0"/>
                <w:color w:val="auto"/>
                <w:kern w:val="24"/>
                <w:sz w:val="24"/>
                <w:szCs w:val="24"/>
                <w:highlight w:val="none"/>
                <w:u w:val="none"/>
                <w:lang w:val="en-US" w:eastAsia="zh-CN"/>
              </w:rPr>
              <w:t>。因此，本项目的建设与《湖南省长江经济带发展负面清单实施细则（试行，2022年版）》相符。</w:t>
            </w:r>
          </w:p>
          <w:p w14:paraId="4823D948">
            <w:pPr>
              <w:spacing w:line="360" w:lineRule="auto"/>
              <w:ind w:firstLine="480" w:firstLineChars="200"/>
              <w:rPr>
                <w:rFonts w:hint="default" w:ascii="Times New Roman" w:hAnsi="Times New Roman" w:eastAsia="宋体" w:cs="Times New Roman"/>
                <w:caps w:val="0"/>
                <w:smallCaps w:val="0"/>
                <w:color w:val="auto"/>
                <w:kern w:val="24"/>
                <w:sz w:val="24"/>
                <w:szCs w:val="24"/>
                <w:highlight w:val="none"/>
                <w:u w:val="none"/>
                <w:lang w:val="en-US" w:eastAsia="zh-CN"/>
              </w:rPr>
            </w:pPr>
          </w:p>
          <w:p w14:paraId="47373182">
            <w:pPr>
              <w:spacing w:line="360" w:lineRule="auto"/>
              <w:rPr>
                <w:rFonts w:ascii="Times New Roman" w:hAnsi="Times New Roman" w:eastAsia="宋体" w:cs="Times New Roman"/>
                <w:b/>
                <w:bCs/>
                <w:color w:val="auto"/>
                <w:kern w:val="0"/>
                <w:sz w:val="24"/>
                <w:szCs w:val="24"/>
                <w:u w:val="none"/>
              </w:rPr>
            </w:pPr>
            <w:r>
              <w:rPr>
                <w:rFonts w:hint="eastAsia" w:ascii="Times New Roman" w:hAnsi="Times New Roman" w:eastAsia="宋体" w:cs="Times New Roman"/>
                <w:b/>
                <w:bCs/>
                <w:color w:val="auto"/>
                <w:kern w:val="0"/>
                <w:sz w:val="24"/>
                <w:szCs w:val="24"/>
                <w:u w:val="none"/>
                <w:lang w:val="en-US" w:eastAsia="zh-CN"/>
              </w:rPr>
              <w:t>5</w:t>
            </w:r>
            <w:r>
              <w:rPr>
                <w:rFonts w:hint="eastAsia" w:ascii="Times New Roman" w:hAnsi="Times New Roman" w:eastAsia="宋体" w:cs="Times New Roman"/>
                <w:b/>
                <w:bCs/>
                <w:color w:val="auto"/>
                <w:kern w:val="0"/>
                <w:sz w:val="24"/>
                <w:szCs w:val="24"/>
                <w:u w:val="none"/>
              </w:rPr>
              <w:t>、与《湖南省洞庭湖保护条例》相符性分析</w:t>
            </w:r>
          </w:p>
          <w:p w14:paraId="4D4B92CB">
            <w:pPr>
              <w:spacing w:line="360" w:lineRule="auto"/>
              <w:ind w:firstLine="480" w:firstLineChars="200"/>
              <w:rPr>
                <w:rFonts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rPr>
              <w:t>根据《湖南省洞庭湖保护条例》：“禁止在湖区布局对生态系统有严重影响的产业。禁止重污染企业和项目向湖区转移。”本项目属于混凝土生产项目，不属于对生态系统有严重影响的产业；且项目所在地不属于《湖南省洞庭湖保护条例》中的沿岸堤防保护的区域。故项目符合《湖南省洞庭湖保护条例》的要求。</w:t>
            </w:r>
          </w:p>
          <w:p w14:paraId="22580ED3">
            <w:pPr>
              <w:spacing w:line="360" w:lineRule="auto"/>
              <w:rPr>
                <w:rFonts w:hint="eastAsia" w:ascii="Times New Roman" w:hAnsi="Times New Roman" w:eastAsia="宋体" w:cs="Times New Roman"/>
                <w:b w:val="0"/>
                <w:bCs w:val="0"/>
                <w:color w:val="auto"/>
                <w:kern w:val="0"/>
                <w:sz w:val="24"/>
                <w:szCs w:val="24"/>
                <w:u w:val="none"/>
              </w:rPr>
            </w:pPr>
            <w:bookmarkStart w:id="4" w:name="_Toc256077597"/>
            <w:bookmarkStart w:id="5" w:name="_Toc150492151"/>
            <w:bookmarkStart w:id="6" w:name="_Toc186600276"/>
            <w:bookmarkStart w:id="7" w:name="_Toc325348815"/>
            <w:bookmarkStart w:id="8" w:name="_Toc215544192"/>
            <w:r>
              <w:rPr>
                <w:rFonts w:hint="eastAsia" w:ascii="Times New Roman" w:hAnsi="Times New Roman" w:eastAsia="宋体" w:cs="Times New Roman"/>
                <w:b/>
                <w:bCs/>
                <w:color w:val="auto"/>
                <w:sz w:val="24"/>
                <w:u w:val="none"/>
                <w:lang w:val="en-US" w:eastAsia="zh-CN"/>
              </w:rPr>
              <w:t>6</w:t>
            </w:r>
            <w:r>
              <w:rPr>
                <w:rFonts w:hint="eastAsia" w:ascii="Times New Roman" w:hAnsi="Times New Roman" w:eastAsia="宋体" w:cs="Times New Roman"/>
                <w:b/>
                <w:bCs/>
                <w:color w:val="auto"/>
                <w:kern w:val="0"/>
                <w:sz w:val="24"/>
                <w:szCs w:val="24"/>
                <w:u w:val="none"/>
              </w:rPr>
              <w:t>、选址合理性分析</w:t>
            </w:r>
          </w:p>
          <w:bookmarkEnd w:id="4"/>
          <w:bookmarkEnd w:id="5"/>
          <w:bookmarkEnd w:id="6"/>
          <w:bookmarkEnd w:id="7"/>
          <w:bookmarkEnd w:id="8"/>
          <w:p w14:paraId="2DB5166F">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r>
              <w:rPr>
                <w:rFonts w:hint="eastAsia" w:ascii="Times New Roman" w:hAnsi="Times New Roman" w:eastAsia="宋体" w:cs="Times New Roman"/>
                <w:color w:val="auto"/>
                <w:kern w:val="0"/>
                <w:sz w:val="24"/>
                <w:szCs w:val="24"/>
                <w:u w:val="none"/>
              </w:rPr>
              <w:t>本项目位于</w:t>
            </w:r>
            <w:r>
              <w:rPr>
                <w:rFonts w:hint="eastAsia" w:ascii="Times New Roman" w:hAnsi="Times New Roman" w:eastAsia="宋体" w:cs="Times New Roman"/>
                <w:color w:val="auto"/>
                <w:kern w:val="0"/>
                <w:sz w:val="24"/>
                <w:szCs w:val="24"/>
                <w:highlight w:val="none"/>
                <w:u w:val="none"/>
                <w:lang w:eastAsia="zh-CN"/>
              </w:rPr>
              <w:t>岳阳县荣家湾镇欣荣村与荣鹿村交界处</w:t>
            </w:r>
            <w:r>
              <w:rPr>
                <w:rFonts w:hint="eastAsia"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8"/>
                <w:highlight w:val="none"/>
                <w:u w:val="none"/>
                <w:lang w:val="en-US" w:eastAsia="zh-CN"/>
              </w:rPr>
              <w:t>根据附件7岳阳县自然资源局不动产权证（湘（2024）岳阳县不动产权第0000631号）</w:t>
            </w:r>
            <w:r>
              <w:rPr>
                <w:rFonts w:hint="eastAsia" w:ascii="Times New Roman" w:hAnsi="Times New Roman" w:eastAsia="宋体" w:cs="Times New Roman"/>
                <w:color w:val="auto"/>
                <w:sz w:val="24"/>
                <w:szCs w:val="24"/>
                <w:highlight w:val="none"/>
                <w:u w:val="none"/>
                <w:vertAlign w:val="baseline"/>
                <w:lang w:eastAsia="zh-CN"/>
              </w:rPr>
              <w:t>，</w:t>
            </w:r>
            <w:r>
              <w:rPr>
                <w:rFonts w:hint="eastAsia" w:ascii="Times New Roman" w:hAnsi="Times New Roman" w:eastAsia="宋体" w:cs="Times New Roman"/>
                <w:color w:val="auto"/>
                <w:sz w:val="24"/>
                <w:szCs w:val="24"/>
                <w:highlight w:val="none"/>
                <w:u w:val="none"/>
                <w:vertAlign w:val="baseline"/>
                <w:lang w:val="en-US" w:eastAsia="zh-CN"/>
              </w:rPr>
              <w:t>本项目用地为仓储用地，</w:t>
            </w:r>
            <w:r>
              <w:rPr>
                <w:rFonts w:hint="eastAsia" w:ascii="Times New Roman" w:hAnsi="Times New Roman" w:eastAsia="宋体" w:cs="Times New Roman"/>
                <w:color w:val="auto"/>
                <w:kern w:val="0"/>
                <w:sz w:val="24"/>
                <w:szCs w:val="24"/>
                <w:u w:val="none"/>
              </w:rPr>
              <w:t>项目未占用</w:t>
            </w:r>
            <w:r>
              <w:rPr>
                <w:rFonts w:hint="eastAsia" w:ascii="Times New Roman" w:hAnsi="Times New Roman" w:eastAsia="宋体" w:cs="Times New Roman"/>
                <w:color w:val="auto"/>
                <w:kern w:val="0"/>
                <w:sz w:val="24"/>
                <w:szCs w:val="24"/>
                <w:u w:val="none"/>
                <w:lang w:val="en-US" w:eastAsia="zh-CN"/>
              </w:rPr>
              <w:t>基本农田、</w:t>
            </w:r>
            <w:r>
              <w:rPr>
                <w:rFonts w:hint="eastAsia" w:ascii="Times New Roman" w:hAnsi="Times New Roman" w:eastAsia="宋体" w:cs="Times New Roman"/>
                <w:color w:val="auto"/>
                <w:kern w:val="0"/>
                <w:sz w:val="24"/>
                <w:szCs w:val="24"/>
                <w:u w:val="none"/>
              </w:rPr>
              <w:t>林地和生态红线</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sz w:val="24"/>
                <w:szCs w:val="24"/>
                <w:u w:val="none"/>
                <w:vertAlign w:val="baseline"/>
                <w:lang w:val="en-US" w:eastAsia="zh-CN"/>
              </w:rPr>
              <w:t>本项目选址是合理的。</w:t>
            </w:r>
          </w:p>
          <w:p w14:paraId="07BEC8ED">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25211DD7">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2A559554">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7A3DA52B">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0124A400">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23F17D33">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14477AA8">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698B5743">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40DB9805">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34E67426">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7CB20181">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0DC2DC3D">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18AF6671">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223BEC32">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3716E1D3">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5F60F6B8">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173E388C">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077F3114">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p w14:paraId="78944897">
            <w:pPr>
              <w:adjustRightInd w:val="0"/>
              <w:snapToGrid w:val="0"/>
              <w:spacing w:line="360" w:lineRule="auto"/>
              <w:ind w:firstLine="480" w:firstLineChars="200"/>
              <w:rPr>
                <w:rFonts w:hint="eastAsia" w:ascii="Times New Roman" w:hAnsi="Times New Roman" w:eastAsia="宋体" w:cs="Times New Roman"/>
                <w:color w:val="auto"/>
                <w:sz w:val="24"/>
                <w:szCs w:val="24"/>
                <w:u w:val="none"/>
                <w:vertAlign w:val="baseline"/>
                <w:lang w:val="en-US" w:eastAsia="zh-CN"/>
              </w:rPr>
            </w:pPr>
          </w:p>
        </w:tc>
      </w:tr>
    </w:tbl>
    <w:p w14:paraId="5FA211C9">
      <w:pPr>
        <w:widowControl/>
        <w:spacing w:line="360" w:lineRule="auto"/>
        <w:jc w:val="left"/>
        <w:rPr>
          <w:rFonts w:ascii="Times New Roman" w:hAnsi="Times New Roman" w:eastAsia="宋体" w:cs="Times New Roman"/>
          <w:color w:val="auto"/>
          <w:sz w:val="24"/>
          <w:szCs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sectPr>
      </w:pPr>
    </w:p>
    <w:p w14:paraId="057A812E">
      <w:pPr>
        <w:pStyle w:val="23"/>
        <w:jc w:val="center"/>
        <w:outlineLvl w:val="0"/>
        <w:rPr>
          <w:rFonts w:ascii="Times New Roman" w:hAnsi="Times New Roman" w:cs="Times New Roman"/>
          <w:b/>
          <w:bCs/>
          <w:snapToGrid w:val="0"/>
          <w:color w:val="auto"/>
          <w:sz w:val="30"/>
          <w:szCs w:val="30"/>
          <w:u w:val="none"/>
        </w:rPr>
      </w:pPr>
      <w:bookmarkStart w:id="9" w:name="_Toc14085"/>
      <w:r>
        <w:rPr>
          <w:rFonts w:ascii="Times New Roman" w:hAnsi="Times New Roman" w:cs="Times New Roman"/>
          <w:b/>
          <w:bCs/>
          <w:snapToGrid w:val="0"/>
          <w:color w:val="auto"/>
          <w:sz w:val="30"/>
          <w:szCs w:val="30"/>
          <w:u w:val="none"/>
        </w:rPr>
        <w:t>二、建设项目工程分析</w:t>
      </w:r>
      <w:bookmarkEnd w:id="9"/>
    </w:p>
    <w:tbl>
      <w:tblPr>
        <w:tblStyle w:val="26"/>
        <w:tblW w:w="88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8263"/>
      </w:tblGrid>
      <w:tr w14:paraId="5C2E7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Align w:val="center"/>
          </w:tcPr>
          <w:p w14:paraId="27A7A097">
            <w:pPr>
              <w:pStyle w:val="23"/>
              <w:adjustRightInd w:val="0"/>
              <w:snapToGrid w:val="0"/>
              <w:spacing w:before="0" w:beforeAutospacing="0" w:after="0" w:afterAutospacing="0" w:line="360" w:lineRule="auto"/>
              <w:jc w:val="center"/>
              <w:rPr>
                <w:rFonts w:ascii="Times New Roman" w:hAnsi="Times New Roman" w:cs="Times New Roman"/>
                <w:color w:val="auto"/>
                <w:szCs w:val="24"/>
                <w:u w:val="none" w:color="auto"/>
              </w:rPr>
            </w:pPr>
            <w:r>
              <w:rPr>
                <w:rFonts w:ascii="Times New Roman" w:hAnsi="Times New Roman" w:cs="Times New Roman"/>
                <w:color w:val="auto"/>
                <w:szCs w:val="24"/>
                <w:u w:val="none" w:color="auto"/>
              </w:rPr>
              <w:t>建设内容</w:t>
            </w:r>
          </w:p>
        </w:tc>
        <w:tc>
          <w:tcPr>
            <w:tcW w:w="8263" w:type="dxa"/>
          </w:tcPr>
          <w:p w14:paraId="4C295D7E">
            <w:pPr>
              <w:pStyle w:val="25"/>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left"/>
              <w:textAlignment w:val="auto"/>
              <w:rPr>
                <w:rFonts w:hint="eastAsia" w:ascii="Times New Roman" w:hAnsi="Times New Roman" w:cs="Times New Roman" w:eastAsiaTheme="minorEastAsia"/>
                <w:b/>
                <w:color w:val="auto"/>
                <w:sz w:val="24"/>
                <w:u w:val="none" w:color="auto"/>
                <w:lang w:eastAsia="zh-CN"/>
              </w:rPr>
            </w:pPr>
            <w:r>
              <w:rPr>
                <w:rFonts w:ascii="Times New Roman" w:hAnsi="Times New Roman" w:cs="Times New Roman"/>
                <w:b/>
                <w:color w:val="auto"/>
                <w:sz w:val="24"/>
                <w:u w:val="none" w:color="auto"/>
              </w:rPr>
              <w:t>1、项目</w:t>
            </w:r>
            <w:r>
              <w:rPr>
                <w:rFonts w:hint="eastAsia" w:ascii="Times New Roman" w:hAnsi="Times New Roman" w:cs="Times New Roman"/>
                <w:b/>
                <w:color w:val="auto"/>
                <w:sz w:val="24"/>
                <w:u w:val="none" w:color="auto"/>
                <w:lang w:val="en-US" w:eastAsia="zh-CN"/>
              </w:rPr>
              <w:t>由来</w:t>
            </w:r>
          </w:p>
          <w:p w14:paraId="196459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根据《中华人民共和国建筑法</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建设工程质量管理条例》（国务院令第279号）、《湖南省散装水泥条例</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建筑企业资质管理规定》（建设部令第159号）、《商务部公安部建设部交通部关于限期禁止在城市城区现场搅拌混凝土的通知》（商政发</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2003</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341号）等法规要求，所有城市建筑和道路建设均只能统一使用商品混凝土，以确保建设工程质量和改善城市环境。因此发展商品混凝土不仅符合国家产业政策导向，也是建筑业发展的内在需求，在现阶段建设商品混凝土搅拌站具有良好的市场环境和市场前景。</w:t>
            </w:r>
          </w:p>
          <w:p w14:paraId="1DF179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u w:val="none" w:color="auto"/>
              </w:rPr>
            </w:pPr>
            <w:r>
              <w:rPr>
                <w:rFonts w:hint="eastAsia" w:ascii="Times New Roman" w:hAnsi="Times New Roman" w:eastAsia="宋体" w:cs="Times New Roman"/>
                <w:color w:val="auto"/>
                <w:kern w:val="0"/>
                <w:sz w:val="24"/>
                <w:szCs w:val="24"/>
                <w:u w:val="none"/>
                <w:lang w:val="en-US" w:eastAsia="zh-CN"/>
              </w:rPr>
              <w:t>根据</w:t>
            </w:r>
            <w:r>
              <w:rPr>
                <w:rFonts w:hint="eastAsia" w:ascii="Times New Roman" w:hAnsi="Times New Roman" w:eastAsia="宋体" w:cs="Times New Roman"/>
                <w:color w:val="auto"/>
                <w:kern w:val="0"/>
                <w:sz w:val="24"/>
                <w:szCs w:val="24"/>
                <w:u w:val="none"/>
                <w:lang w:eastAsia="zh-CN"/>
              </w:rPr>
              <w:t>岳阳市住房和城乡建设局</w:t>
            </w:r>
            <w:r>
              <w:rPr>
                <w:rFonts w:hint="eastAsia" w:ascii="Times New Roman" w:hAnsi="Times New Roman" w:eastAsia="宋体" w:cs="Times New Roman"/>
                <w:color w:val="auto"/>
                <w:kern w:val="0"/>
                <w:sz w:val="24"/>
                <w:szCs w:val="24"/>
                <w:u w:val="none"/>
                <w:lang w:val="en-US" w:eastAsia="zh-CN"/>
              </w:rPr>
              <w:t>发布的《关于</w:t>
            </w:r>
            <w:r>
              <w:rPr>
                <w:rFonts w:hint="eastAsia" w:ascii="Times New Roman" w:hAnsi="Times New Roman" w:eastAsia="宋体" w:cs="Times New Roman"/>
                <w:color w:val="auto"/>
                <w:kern w:val="0"/>
                <w:sz w:val="24"/>
                <w:szCs w:val="24"/>
                <w:u w:val="none"/>
              </w:rPr>
              <w:t>岳阳县凌云混凝土有限公司迁建商品混凝土搅拌站</w:t>
            </w:r>
            <w:r>
              <w:rPr>
                <w:rFonts w:hint="eastAsia" w:ascii="Times New Roman" w:hAnsi="Times New Roman" w:eastAsia="宋体" w:cs="Times New Roman"/>
                <w:color w:val="auto"/>
                <w:kern w:val="0"/>
                <w:sz w:val="24"/>
                <w:szCs w:val="24"/>
                <w:u w:val="none"/>
                <w:lang w:val="en-US" w:eastAsia="zh-CN"/>
              </w:rPr>
              <w:t>的复函（</w:t>
            </w:r>
            <w:r>
              <w:rPr>
                <w:rFonts w:hint="eastAsia" w:ascii="Times New Roman" w:hAnsi="Times New Roman" w:eastAsia="宋体" w:cs="Times New Roman"/>
                <w:color w:val="auto"/>
                <w:kern w:val="0"/>
                <w:sz w:val="24"/>
                <w:szCs w:val="24"/>
                <w:u w:val="none"/>
              </w:rPr>
              <w:t>岳建函〔2023】63</w:t>
            </w:r>
            <w:r>
              <w:rPr>
                <w:rFonts w:hint="eastAsia" w:ascii="Times New Roman" w:hAnsi="Times New Roman" w:eastAsia="宋体" w:cs="Times New Roman"/>
                <w:color w:val="auto"/>
                <w:kern w:val="0"/>
                <w:sz w:val="24"/>
                <w:szCs w:val="24"/>
                <w:u w:val="none"/>
                <w:lang w:val="en-US" w:eastAsia="zh-CN"/>
              </w:rPr>
              <w:t>号）》（附件6），</w:t>
            </w:r>
            <w:r>
              <w:rPr>
                <w:rFonts w:hint="eastAsia" w:ascii="Times New Roman" w:hAnsi="Times New Roman" w:eastAsia="宋体" w:cs="Times New Roman"/>
                <w:color w:val="auto"/>
                <w:kern w:val="0"/>
                <w:sz w:val="24"/>
                <w:szCs w:val="24"/>
                <w:u w:val="none"/>
              </w:rPr>
              <w:t>岳阳县凌云混凝土有限公司</w:t>
            </w:r>
            <w:r>
              <w:rPr>
                <w:rFonts w:hint="eastAsia" w:ascii="Times New Roman" w:hAnsi="Times New Roman" w:eastAsia="宋体" w:cs="Times New Roman"/>
                <w:color w:val="auto"/>
                <w:kern w:val="0"/>
                <w:sz w:val="24"/>
                <w:szCs w:val="24"/>
                <w:u w:val="none"/>
                <w:lang w:val="en-US" w:eastAsia="zh-CN"/>
              </w:rPr>
              <w:t>原址位于岳阳县荣家湾镇大毛家湖八仙桥处，该处存在生态环境问题，已不适合生产要求，同意岳阳县凌云混凝土有限公司将其混凝土搅拌站迁建至岳阳县荣家湾镇欣荣村和荣鹿村交界处，建设规模为两条HZS180型预拌混凝土生产线，年设计产能为60万立方米。同时根据</w:t>
            </w:r>
            <w:r>
              <w:rPr>
                <w:rFonts w:hint="eastAsia" w:ascii="Times New Roman" w:hAnsi="Times New Roman" w:eastAsia="宋体" w:cs="Times New Roman"/>
                <w:color w:val="auto"/>
                <w:kern w:val="0"/>
                <w:sz w:val="24"/>
                <w:szCs w:val="24"/>
                <w:u w:val="none"/>
                <w:lang w:eastAsia="zh-CN"/>
              </w:rPr>
              <w:t>岳阳市住房和城乡建设局</w:t>
            </w:r>
            <w:r>
              <w:rPr>
                <w:rFonts w:hint="eastAsia" w:ascii="Times New Roman" w:hAnsi="Times New Roman" w:eastAsia="宋体" w:cs="Times New Roman"/>
                <w:color w:val="auto"/>
                <w:kern w:val="0"/>
                <w:sz w:val="24"/>
                <w:szCs w:val="24"/>
                <w:u w:val="none"/>
                <w:lang w:val="en-US" w:eastAsia="zh-CN"/>
              </w:rPr>
              <w:t>发布的《关于变更岳阳县凌云混凝土搅拌站建设主体的复函》（附件4），湖南茂源建材有限公司承接原</w:t>
            </w:r>
            <w:r>
              <w:rPr>
                <w:rFonts w:hint="eastAsia" w:ascii="Times New Roman" w:hAnsi="Times New Roman" w:eastAsia="宋体" w:cs="Times New Roman"/>
                <w:color w:val="auto"/>
                <w:kern w:val="0"/>
                <w:sz w:val="24"/>
                <w:szCs w:val="24"/>
                <w:u w:val="none"/>
              </w:rPr>
              <w:t>岳阳县凌云混凝土有限公司迁建商品混凝土搅拌站。</w:t>
            </w:r>
            <w:r>
              <w:rPr>
                <w:rFonts w:hint="default" w:ascii="Times New Roman" w:hAnsi="Times New Roman" w:cs="Times New Roman"/>
                <w:color w:val="auto"/>
                <w:sz w:val="24"/>
                <w:u w:val="none" w:color="auto"/>
              </w:rPr>
              <w:t>且</w:t>
            </w:r>
            <w:r>
              <w:rPr>
                <w:rFonts w:hint="eastAsia" w:ascii="Times New Roman" w:hAnsi="Times New Roman" w:cs="Times New Roman"/>
                <w:color w:val="auto"/>
                <w:sz w:val="24"/>
                <w:u w:val="none" w:color="auto"/>
                <w:lang w:val="en-US" w:eastAsia="zh-CN"/>
              </w:rPr>
              <w:t>岳阳县</w:t>
            </w:r>
            <w:r>
              <w:rPr>
                <w:rFonts w:hint="default" w:ascii="Times New Roman" w:hAnsi="Times New Roman" w:cs="Times New Roman"/>
                <w:color w:val="auto"/>
                <w:sz w:val="24"/>
                <w:u w:val="none" w:color="auto"/>
              </w:rPr>
              <w:t>及周边城市建设发展迅速，建材类制品得需求日益增大，对商品混凝土等建筑材料得需求量不断增长。</w:t>
            </w:r>
          </w:p>
          <w:p w14:paraId="40B7A662">
            <w:pPr>
              <w:keepNext w:val="0"/>
              <w:keepLines w:val="0"/>
              <w:pageBreakBefore w:val="0"/>
              <w:widowControl w:val="0"/>
              <w:kinsoku/>
              <w:wordWrap/>
              <w:overflowPunct/>
              <w:topLinePunct w:val="0"/>
              <w:autoSpaceDE/>
              <w:autoSpaceDN/>
              <w:bidi w:val="0"/>
              <w:adjustRightInd w:val="0"/>
              <w:snapToGrid w:val="0"/>
              <w:spacing w:line="360" w:lineRule="auto"/>
              <w:ind w:firstLine="488" w:firstLineChars="200"/>
              <w:textAlignment w:val="auto"/>
              <w:rPr>
                <w:rFonts w:hint="default" w:ascii="Times New Roman" w:hAnsi="Times New Roman" w:cs="Times New Roman"/>
                <w:color w:val="auto"/>
                <w:sz w:val="24"/>
                <w:u w:val="none" w:color="auto"/>
              </w:rPr>
            </w:pPr>
            <w:r>
              <w:rPr>
                <w:rFonts w:hint="default" w:ascii="Times New Roman" w:hAnsi="Times New Roman" w:cs="Times New Roman"/>
                <w:color w:val="auto"/>
                <w:spacing w:val="2"/>
                <w:kern w:val="0"/>
                <w:position w:val="-2"/>
                <w:sz w:val="24"/>
                <w:u w:val="none" w:color="auto"/>
              </w:rPr>
              <w:t>根据《中华人民共和国环境影响评价法》及《建设项目环境保护管理条例》等法律法规文件的要求，该项目属于《建设项目环境影响评价分类管理名录》（2021版）中的</w:t>
            </w:r>
            <w:r>
              <w:rPr>
                <w:rFonts w:hint="default" w:ascii="Times New Roman" w:hAnsi="Times New Roman" w:cs="Times New Roman"/>
                <w:color w:val="auto"/>
                <w:sz w:val="24"/>
                <w:u w:val="none" w:color="auto"/>
              </w:rPr>
              <w:t>“二十七、非金属矿物制品业55石膏、水泥制品及类似制品制造302-商品混凝土、砼结构构件制造、水泥制品制造”，</w:t>
            </w:r>
            <w:r>
              <w:rPr>
                <w:rFonts w:hint="eastAsia" w:ascii="Times New Roman" w:hAnsi="Times New Roman" w:cs="Times New Roman"/>
                <w:color w:val="auto"/>
                <w:sz w:val="24"/>
                <w:u w:val="none" w:color="auto"/>
                <w:lang w:val="en-US" w:eastAsia="zh-CN"/>
              </w:rPr>
              <w:t>应当</w:t>
            </w:r>
            <w:r>
              <w:rPr>
                <w:rFonts w:hint="default" w:ascii="Times New Roman" w:hAnsi="Times New Roman" w:cs="Times New Roman"/>
                <w:color w:val="auto"/>
                <w:sz w:val="24"/>
                <w:u w:val="none" w:color="auto"/>
              </w:rPr>
              <w:t>编制环境影响评价报告表。受</w:t>
            </w:r>
            <w:r>
              <w:rPr>
                <w:rFonts w:hint="eastAsia" w:ascii="Times New Roman" w:hAnsi="Times New Roman" w:eastAsia="宋体" w:cs="Times New Roman"/>
                <w:color w:val="auto"/>
                <w:sz w:val="24"/>
                <w:szCs w:val="24"/>
                <w:u w:val="none" w:color="auto"/>
                <w:lang w:eastAsia="zh-CN"/>
              </w:rPr>
              <w:t>湖南茂源建材有限公司</w:t>
            </w:r>
            <w:r>
              <w:rPr>
                <w:rFonts w:hint="default" w:ascii="Times New Roman" w:hAnsi="Times New Roman" w:cs="Times New Roman"/>
                <w:color w:val="auto"/>
                <w:sz w:val="24"/>
                <w:u w:val="none" w:color="auto"/>
              </w:rPr>
              <w:t>委托，</w:t>
            </w:r>
            <w:r>
              <w:rPr>
                <w:rFonts w:hint="default" w:ascii="Times New Roman" w:hAnsi="Times New Roman" w:cs="Times New Roman"/>
                <w:color w:val="auto"/>
                <w:sz w:val="24"/>
                <w:u w:val="none" w:color="auto"/>
                <w:lang w:val="en-US" w:eastAsia="zh-CN"/>
              </w:rPr>
              <w:t>我</w:t>
            </w:r>
            <w:r>
              <w:rPr>
                <w:rFonts w:hint="default" w:ascii="Times New Roman" w:hAnsi="Times New Roman" w:cs="Times New Roman"/>
                <w:color w:val="auto"/>
                <w:sz w:val="24"/>
                <w:u w:val="none" w:color="auto"/>
              </w:rPr>
              <w:t>公司承担</w:t>
            </w:r>
            <w:r>
              <w:rPr>
                <w:rFonts w:hint="eastAsia" w:ascii="Times New Roman" w:hAnsi="Times New Roman" w:cs="Times New Roman"/>
                <w:color w:val="auto"/>
                <w:sz w:val="24"/>
                <w:u w:val="none" w:color="auto"/>
                <w:lang w:val="en-US" w:eastAsia="zh-CN"/>
              </w:rPr>
              <w:t>该</w:t>
            </w:r>
            <w:r>
              <w:rPr>
                <w:rFonts w:hint="default" w:ascii="Times New Roman" w:hAnsi="Times New Roman" w:cs="Times New Roman"/>
                <w:color w:val="auto"/>
                <w:sz w:val="24"/>
                <w:u w:val="none" w:color="auto"/>
              </w:rPr>
              <w:t>项目环境影响评价工作</w:t>
            </w:r>
            <w:r>
              <w:rPr>
                <w:rFonts w:hint="eastAsia"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我</w:t>
            </w:r>
            <w:r>
              <w:rPr>
                <w:rFonts w:hint="eastAsia" w:ascii="Times New Roman" w:hAnsi="Times New Roman" w:cs="Times New Roman"/>
                <w:color w:val="auto"/>
                <w:sz w:val="24"/>
                <w:u w:val="none" w:color="auto"/>
                <w:lang w:val="en-US" w:eastAsia="zh-CN"/>
              </w:rPr>
              <w:t>公司</w:t>
            </w:r>
            <w:r>
              <w:rPr>
                <w:rFonts w:hint="default" w:ascii="Times New Roman" w:hAnsi="Times New Roman" w:cs="Times New Roman"/>
                <w:color w:val="auto"/>
                <w:sz w:val="24"/>
                <w:u w:val="none" w:color="auto"/>
              </w:rPr>
              <w:t>在现场踏勘、资料收集的基础上，依据《建设项目环境影响报告表编制技术指南（污染影响类）（试行）》等有关规范要求，编制本项目环境影响报告表。</w:t>
            </w:r>
          </w:p>
          <w:p w14:paraId="31ED5E4C">
            <w:pPr>
              <w:widowControl/>
              <w:adjustRightInd w:val="0"/>
              <w:snapToGrid w:val="0"/>
              <w:spacing w:line="360" w:lineRule="auto"/>
              <w:jc w:val="left"/>
              <w:rPr>
                <w:rFonts w:hint="eastAsia" w:ascii="Times New Roman" w:hAnsi="Times New Roman" w:cs="Times New Roman" w:eastAsiaTheme="minorEastAsia"/>
                <w:color w:val="auto"/>
                <w:sz w:val="24"/>
                <w:u w:val="none" w:color="auto"/>
                <w:lang w:eastAsia="zh-CN"/>
              </w:rPr>
            </w:pPr>
            <w:r>
              <w:rPr>
                <w:rFonts w:ascii="Times New Roman" w:hAnsi="Times New Roman" w:cs="Times New Roman"/>
                <w:b/>
                <w:bCs/>
                <w:color w:val="auto"/>
                <w:sz w:val="24"/>
                <w:u w:val="none" w:color="auto"/>
              </w:rPr>
              <w:t>2、</w:t>
            </w:r>
            <w:r>
              <w:rPr>
                <w:rFonts w:ascii="Times New Roman" w:hAnsi="Times New Roman" w:cs="Times New Roman"/>
                <w:b/>
                <w:color w:val="auto"/>
                <w:kern w:val="0"/>
                <w:sz w:val="24"/>
                <w:u w:val="none" w:color="auto"/>
              </w:rPr>
              <w:t>项目</w:t>
            </w:r>
            <w:r>
              <w:rPr>
                <w:rFonts w:hint="eastAsia" w:ascii="Times New Roman" w:hAnsi="Times New Roman" w:cs="Times New Roman"/>
                <w:b/>
                <w:color w:val="auto"/>
                <w:kern w:val="0"/>
                <w:sz w:val="24"/>
                <w:u w:val="none" w:color="auto"/>
                <w:lang w:val="en-US" w:eastAsia="zh-CN"/>
              </w:rPr>
              <w:t>基本情况</w:t>
            </w:r>
          </w:p>
          <w:p w14:paraId="42051811">
            <w:pPr>
              <w:spacing w:line="360" w:lineRule="auto"/>
              <w:ind w:firstLine="424" w:firstLineChars="177"/>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项目名称：</w:t>
            </w:r>
            <w:r>
              <w:rPr>
                <w:rFonts w:hint="eastAsia" w:ascii="Times New Roman" w:hAnsi="Times New Roman" w:eastAsia="宋体" w:cs="Times New Roman"/>
                <w:color w:val="auto"/>
                <w:sz w:val="24"/>
                <w:szCs w:val="24"/>
                <w:u w:val="none" w:color="auto"/>
                <w:lang w:val="en-US" w:eastAsia="zh-CN"/>
              </w:rPr>
              <w:t>建材混凝土搅拌站建设项目（年生产商品混凝土60万m</w:t>
            </w:r>
            <w:r>
              <w:rPr>
                <w:rFonts w:hint="eastAsia" w:ascii="Times New Roman" w:hAnsi="Times New Roman" w:eastAsia="宋体" w:cs="Times New Roman"/>
                <w:color w:val="auto"/>
                <w:sz w:val="24"/>
                <w:szCs w:val="24"/>
                <w:u w:val="none" w:color="auto"/>
                <w:vertAlign w:val="superscript"/>
                <w:lang w:val="en-US" w:eastAsia="zh-CN"/>
              </w:rPr>
              <w:t>3</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cs="Times New Roman"/>
                <w:color w:val="auto"/>
                <w:kern w:val="0"/>
                <w:sz w:val="24"/>
                <w:u w:val="none" w:color="auto"/>
              </w:rPr>
              <w:t>；</w:t>
            </w:r>
          </w:p>
          <w:p w14:paraId="68AD41DB">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建设性质：</w:t>
            </w:r>
            <w:r>
              <w:rPr>
                <w:rFonts w:ascii="Times New Roman" w:hAnsi="Times New Roman" w:cs="Times New Roman"/>
                <w:color w:val="auto"/>
                <w:sz w:val="24"/>
              </w:rPr>
              <w:t>新建</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迁建）</w:t>
            </w:r>
            <w:r>
              <w:rPr>
                <w:rFonts w:hint="default" w:ascii="Times New Roman" w:hAnsi="Times New Roman" w:cs="Times New Roman"/>
                <w:color w:val="auto"/>
                <w:sz w:val="24"/>
                <w:u w:val="none" w:color="auto"/>
              </w:rPr>
              <w:t>；</w:t>
            </w:r>
          </w:p>
          <w:p w14:paraId="647815BC">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建设单位：</w:t>
            </w:r>
            <w:r>
              <w:rPr>
                <w:rFonts w:hint="eastAsia" w:ascii="Times New Roman" w:hAnsi="Times New Roman" w:eastAsia="宋体" w:cs="Times New Roman"/>
                <w:color w:val="auto"/>
                <w:sz w:val="24"/>
                <w:szCs w:val="24"/>
                <w:u w:val="none" w:color="auto"/>
                <w:lang w:eastAsia="zh-CN"/>
              </w:rPr>
              <w:t>湖南茂源建材有限公司</w:t>
            </w:r>
            <w:r>
              <w:rPr>
                <w:rFonts w:hint="default" w:ascii="Times New Roman" w:hAnsi="Times New Roman" w:cs="Times New Roman"/>
                <w:color w:val="auto"/>
                <w:sz w:val="24"/>
                <w:u w:val="none" w:color="auto"/>
              </w:rPr>
              <w:t>；</w:t>
            </w:r>
          </w:p>
          <w:p w14:paraId="1A94E947">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建设地点：</w:t>
            </w:r>
            <w:r>
              <w:rPr>
                <w:rFonts w:hint="eastAsia" w:ascii="Times New Roman" w:hAnsi="Times New Roman" w:cs="Times New Roman"/>
                <w:color w:val="auto"/>
                <w:sz w:val="24"/>
                <w:szCs w:val="24"/>
                <w:u w:val="none" w:color="auto"/>
                <w:lang w:eastAsia="zh-CN"/>
              </w:rPr>
              <w:t>岳阳县荣家湾镇欣荣村与荣鹿村交界处</w:t>
            </w:r>
            <w:r>
              <w:rPr>
                <w:rFonts w:hint="default" w:ascii="Times New Roman" w:hAnsi="Times New Roman" w:cs="Times New Roman"/>
                <w:color w:val="auto"/>
                <w:sz w:val="24"/>
                <w:u w:val="none" w:color="auto"/>
              </w:rPr>
              <w:t>（</w:t>
            </w:r>
            <w:r>
              <w:rPr>
                <w:rFonts w:hint="default" w:ascii="Times New Roman" w:hAnsi="Times New Roman" w:eastAsia="宋体" w:cs="Times New Roman"/>
                <w:color w:val="auto"/>
                <w:sz w:val="24"/>
                <w:szCs w:val="24"/>
                <w:u w:val="none"/>
              </w:rPr>
              <w:t>E113°4′18.241″</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N29°8′26.688″</w:t>
            </w:r>
            <w:r>
              <w:rPr>
                <w:rFonts w:hint="default" w:ascii="Times New Roman" w:hAnsi="Times New Roman" w:cs="Times New Roman"/>
                <w:color w:val="auto"/>
                <w:sz w:val="24"/>
                <w:u w:val="none" w:color="auto"/>
              </w:rPr>
              <w:t>）。</w:t>
            </w:r>
          </w:p>
          <w:p w14:paraId="42A19D0D">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建设内容：建设</w:t>
            </w:r>
            <w:r>
              <w:rPr>
                <w:rFonts w:hint="eastAsia" w:ascii="Times New Roman" w:hAnsi="Times New Roman" w:cs="Times New Roman"/>
                <w:color w:val="auto"/>
                <w:sz w:val="24"/>
                <w:u w:val="none" w:color="auto"/>
                <w:lang w:val="en-US" w:eastAsia="zh-CN"/>
              </w:rPr>
              <w:t>2</w:t>
            </w:r>
            <w:r>
              <w:rPr>
                <w:rFonts w:hint="default" w:ascii="Times New Roman" w:hAnsi="Times New Roman" w:cs="Times New Roman"/>
                <w:color w:val="auto"/>
                <w:sz w:val="24"/>
                <w:u w:val="none" w:color="auto"/>
              </w:rPr>
              <w:t>条</w:t>
            </w:r>
            <w:r>
              <w:rPr>
                <w:rFonts w:hint="default" w:ascii="Times New Roman" w:hAnsi="Times New Roman" w:eastAsia="宋体" w:cs="Times New Roman"/>
                <w:color w:val="auto"/>
                <w:kern w:val="0"/>
                <w:sz w:val="24"/>
                <w:szCs w:val="24"/>
                <w:u w:val="none" w:color="auto"/>
              </w:rPr>
              <w:t>HZS180型混凝土搅拌站生产线，</w:t>
            </w:r>
            <w:r>
              <w:rPr>
                <w:rFonts w:hint="default" w:ascii="Times New Roman" w:hAnsi="Times New Roman" w:cs="Times New Roman"/>
                <w:color w:val="auto"/>
                <w:sz w:val="24"/>
                <w:u w:val="none" w:color="auto"/>
              </w:rPr>
              <w:t>主要建</w:t>
            </w:r>
            <w:r>
              <w:rPr>
                <w:rFonts w:hint="default" w:ascii="Times New Roman" w:hAnsi="Times New Roman" w:cs="Times New Roman"/>
                <w:color w:val="auto"/>
                <w:sz w:val="24"/>
                <w:u w:val="none" w:color="auto"/>
                <w:lang w:val="en-US" w:eastAsia="zh-CN"/>
              </w:rPr>
              <w:t>设</w:t>
            </w:r>
            <w:r>
              <w:rPr>
                <w:rFonts w:hint="eastAsia" w:ascii="Times New Roman" w:hAnsi="Times New Roman" w:cs="Times New Roman"/>
                <w:color w:val="auto"/>
                <w:sz w:val="24"/>
                <w:u w:val="none" w:color="auto"/>
                <w:lang w:val="en-US" w:eastAsia="zh-CN"/>
              </w:rPr>
              <w:t>搅拌楼</w:t>
            </w:r>
            <w:r>
              <w:rPr>
                <w:rFonts w:hint="default" w:ascii="Times New Roman" w:hAnsi="Times New Roman" w:cs="Times New Roman"/>
                <w:color w:val="auto"/>
                <w:sz w:val="24"/>
                <w:u w:val="none" w:color="auto"/>
              </w:rPr>
              <w:t>、沙石料场、综合楼</w:t>
            </w:r>
            <w:r>
              <w:rPr>
                <w:rFonts w:hint="default" w:ascii="Times New Roman" w:hAnsi="Times New Roman" w:cs="Times New Roman"/>
                <w:color w:val="auto"/>
                <w:sz w:val="24"/>
                <w:u w:val="none" w:color="auto"/>
                <w:lang w:val="en-US" w:eastAsia="zh-CN"/>
              </w:rPr>
              <w:t>及环保工程</w:t>
            </w:r>
            <w:r>
              <w:rPr>
                <w:rFonts w:hint="default" w:ascii="Times New Roman" w:hAnsi="Times New Roman" w:cs="Times New Roman"/>
                <w:color w:val="auto"/>
                <w:sz w:val="24"/>
                <w:u w:val="none" w:color="auto"/>
              </w:rPr>
              <w:t>。</w:t>
            </w:r>
          </w:p>
          <w:p w14:paraId="08D09A51">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占地面积：项目占地面积约</w:t>
            </w:r>
            <w:r>
              <w:rPr>
                <w:rFonts w:hint="eastAsia" w:ascii="Times New Roman" w:hAnsi="Times New Roman" w:eastAsia="宋体" w:cs="Times New Roman"/>
                <w:color w:val="auto"/>
                <w:sz w:val="24"/>
                <w:szCs w:val="24"/>
                <w:u w:val="none" w:color="auto"/>
                <w:lang w:val="en-US" w:eastAsia="zh-CN"/>
              </w:rPr>
              <w:t>29240.34</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cs="Times New Roman"/>
                <w:color w:val="auto"/>
                <w:sz w:val="24"/>
                <w:u w:val="none" w:color="auto"/>
              </w:rPr>
              <w:t>，</w:t>
            </w:r>
            <w:r>
              <w:rPr>
                <w:rFonts w:hint="default" w:ascii="Times New Roman" w:hAnsi="Times New Roman" w:cs="Times New Roman"/>
                <w:color w:val="auto"/>
                <w:sz w:val="24"/>
                <w:u w:val="none" w:color="auto"/>
                <w:lang w:val="en-US" w:eastAsia="zh-CN"/>
              </w:rPr>
              <w:t>其中</w:t>
            </w:r>
            <w:r>
              <w:rPr>
                <w:rFonts w:hint="eastAsia" w:ascii="Times New Roman" w:hAnsi="Times New Roman" w:cs="Times New Roman"/>
                <w:color w:val="auto"/>
                <w:sz w:val="24"/>
                <w:u w:val="none" w:color="auto"/>
                <w:lang w:val="en-US" w:eastAsia="zh-CN"/>
              </w:rPr>
              <w:t>建筑面积25686.83</w:t>
            </w:r>
            <w:r>
              <w:rPr>
                <w:rFonts w:hint="default" w:ascii="Times New Roman" w:hAnsi="Times New Roman" w:cs="Times New Roman"/>
                <w:color w:val="auto"/>
                <w:sz w:val="24"/>
                <w:u w:val="none" w:color="auto"/>
              </w:rPr>
              <w:t>m</w:t>
            </w:r>
            <w:r>
              <w:rPr>
                <w:rFonts w:hint="default" w:ascii="Times New Roman" w:hAnsi="Times New Roman" w:cs="Times New Roman"/>
                <w:color w:val="auto"/>
                <w:sz w:val="24"/>
                <w:u w:val="none" w:color="auto"/>
                <w:vertAlign w:val="superscript"/>
              </w:rPr>
              <w:t>2</w:t>
            </w:r>
            <w:r>
              <w:rPr>
                <w:rFonts w:hint="default" w:ascii="Times New Roman" w:hAnsi="Times New Roman" w:cs="Times New Roman"/>
                <w:color w:val="auto"/>
                <w:sz w:val="24"/>
                <w:u w:val="none" w:color="auto"/>
              </w:rPr>
              <w:t>；</w:t>
            </w:r>
          </w:p>
          <w:p w14:paraId="3BC90BDC">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项目投资：</w:t>
            </w:r>
            <w:r>
              <w:rPr>
                <w:rFonts w:hint="default" w:ascii="Times New Roman" w:hAnsi="Times New Roman" w:eastAsia="宋体"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lang w:val="en-US" w:eastAsia="zh-CN"/>
              </w:rPr>
              <w:t>00</w:t>
            </w:r>
            <w:r>
              <w:rPr>
                <w:rFonts w:hint="default" w:ascii="Times New Roman" w:hAnsi="Times New Roman" w:eastAsia="宋体" w:cs="Times New Roman"/>
                <w:color w:val="auto"/>
                <w:sz w:val="24"/>
                <w:szCs w:val="24"/>
                <w:u w:val="none" w:color="auto"/>
                <w:lang w:val="en-US" w:eastAsia="zh-CN"/>
              </w:rPr>
              <w:t>00</w:t>
            </w:r>
            <w:r>
              <w:rPr>
                <w:rFonts w:hint="default" w:ascii="Times New Roman" w:hAnsi="Times New Roman" w:cs="Times New Roman"/>
                <w:color w:val="auto"/>
                <w:sz w:val="24"/>
                <w:u w:val="none" w:color="auto"/>
              </w:rPr>
              <w:t>万元，其中环保投资</w:t>
            </w:r>
            <w:r>
              <w:rPr>
                <w:rFonts w:hint="eastAsia" w:ascii="Times New Roman" w:hAnsi="Times New Roman" w:cs="Times New Roman"/>
                <w:color w:val="auto"/>
                <w:sz w:val="24"/>
                <w:u w:val="none" w:color="auto"/>
                <w:lang w:val="en-US" w:eastAsia="zh-CN"/>
              </w:rPr>
              <w:t>200</w:t>
            </w:r>
            <w:r>
              <w:rPr>
                <w:rFonts w:hint="default" w:ascii="Times New Roman" w:hAnsi="Times New Roman" w:cs="Times New Roman"/>
                <w:color w:val="auto"/>
                <w:sz w:val="24"/>
                <w:u w:val="none" w:color="auto"/>
              </w:rPr>
              <w:t>万元。</w:t>
            </w:r>
          </w:p>
          <w:p w14:paraId="1985EC85">
            <w:pPr>
              <w:spacing w:line="360" w:lineRule="auto"/>
              <w:jc w:val="left"/>
              <w:rPr>
                <w:rFonts w:ascii="Times New Roman" w:hAnsi="Times New Roman" w:cs="Times New Roman"/>
                <w:color w:val="auto"/>
                <w:sz w:val="24"/>
                <w:u w:val="none" w:color="auto"/>
              </w:rPr>
            </w:pPr>
            <w:r>
              <w:rPr>
                <w:rFonts w:ascii="Times New Roman" w:hAnsi="Times New Roman" w:cs="Times New Roman"/>
                <w:b/>
                <w:color w:val="auto"/>
                <w:sz w:val="24"/>
                <w:u w:val="none" w:color="auto"/>
              </w:rPr>
              <w:t>3、</w:t>
            </w:r>
            <w:r>
              <w:rPr>
                <w:rFonts w:hint="eastAsia" w:ascii="Times New Roman" w:hAnsi="Times New Roman" w:cs="Times New Roman"/>
                <w:b/>
                <w:color w:val="auto"/>
                <w:sz w:val="24"/>
                <w:u w:val="none" w:color="auto"/>
                <w:lang w:val="en-US" w:eastAsia="zh-CN"/>
              </w:rPr>
              <w:t>建设</w:t>
            </w:r>
            <w:r>
              <w:rPr>
                <w:rFonts w:ascii="Times New Roman" w:hAnsi="Times New Roman" w:cs="Times New Roman"/>
                <w:b/>
                <w:color w:val="auto"/>
                <w:sz w:val="24"/>
                <w:u w:val="none" w:color="auto"/>
              </w:rPr>
              <w:t>内容及规模</w:t>
            </w:r>
          </w:p>
          <w:p w14:paraId="4A5A0654">
            <w:pPr>
              <w:adjustRightInd w:val="0"/>
              <w:snapToGrid w:val="0"/>
              <w:spacing w:line="360" w:lineRule="auto"/>
              <w:ind w:firstLine="480" w:firstLineChars="200"/>
              <w:rPr>
                <w:rFonts w:ascii="Times New Roman" w:hAnsi="Times New Roman" w:cs="Times New Roman"/>
                <w:color w:val="auto"/>
                <w:sz w:val="24"/>
                <w:szCs w:val="20"/>
                <w:u w:val="none" w:color="auto"/>
              </w:rPr>
            </w:pPr>
            <w:r>
              <w:rPr>
                <w:rFonts w:ascii="Times New Roman" w:hAnsi="Times New Roman" w:cs="Times New Roman"/>
                <w:color w:val="auto"/>
                <w:sz w:val="24"/>
                <w:szCs w:val="20"/>
                <w:u w:val="none" w:color="auto"/>
              </w:rPr>
              <w:t>本</w:t>
            </w:r>
            <w:r>
              <w:rPr>
                <w:rFonts w:ascii="Times New Roman" w:hAnsi="Times New Roman" w:cs="Times New Roman"/>
                <w:color w:val="auto"/>
                <w:sz w:val="24"/>
                <w:u w:val="none" w:color="auto"/>
              </w:rPr>
              <w:t>项目</w:t>
            </w:r>
            <w:r>
              <w:rPr>
                <w:rFonts w:ascii="Times New Roman" w:hAnsi="Times New Roman" w:cs="Times New Roman"/>
                <w:color w:val="auto"/>
                <w:sz w:val="24"/>
                <w:szCs w:val="20"/>
                <w:u w:val="none" w:color="auto"/>
              </w:rPr>
              <w:t>由主体工程、</w:t>
            </w:r>
            <w:r>
              <w:rPr>
                <w:rFonts w:hint="eastAsia" w:ascii="Times New Roman" w:hAnsi="Times New Roman" w:cs="Times New Roman"/>
                <w:color w:val="auto"/>
                <w:sz w:val="24"/>
                <w:szCs w:val="20"/>
                <w:u w:val="none" w:color="auto"/>
                <w:lang w:val="en-US" w:eastAsia="zh-CN"/>
              </w:rPr>
              <w:t>储运</w:t>
            </w:r>
            <w:r>
              <w:rPr>
                <w:rFonts w:ascii="Times New Roman" w:hAnsi="Times New Roman" w:cs="Times New Roman"/>
                <w:color w:val="auto"/>
                <w:sz w:val="24"/>
                <w:szCs w:val="20"/>
                <w:u w:val="none" w:color="auto"/>
              </w:rPr>
              <w:t>工程、辅助工程、公用工程、环保工程等组成，</w:t>
            </w:r>
            <w:r>
              <w:rPr>
                <w:rFonts w:hint="eastAsia" w:ascii="Times New Roman" w:hAnsi="Times New Roman" w:cs="Times New Roman"/>
                <w:color w:val="auto"/>
                <w:sz w:val="24"/>
                <w:szCs w:val="20"/>
                <w:u w:val="none" w:color="auto"/>
                <w:lang w:val="en-US" w:eastAsia="zh-CN"/>
              </w:rPr>
              <w:t>建设内容</w:t>
            </w:r>
            <w:r>
              <w:rPr>
                <w:rFonts w:ascii="Times New Roman" w:hAnsi="Times New Roman" w:cs="Times New Roman"/>
                <w:color w:val="auto"/>
                <w:sz w:val="24"/>
                <w:szCs w:val="20"/>
                <w:u w:val="none" w:color="auto"/>
              </w:rPr>
              <w:t>详见表2-1所示。</w:t>
            </w:r>
          </w:p>
          <w:p w14:paraId="05DB6F42">
            <w:pPr>
              <w:ind w:firstLine="472" w:firstLineChars="196"/>
              <w:jc w:val="center"/>
              <w:rPr>
                <w:rFonts w:ascii="Times New Roman" w:hAnsi="Times New Roman" w:cs="Times New Roman"/>
                <w:b/>
                <w:color w:val="auto"/>
                <w:sz w:val="24"/>
                <w:szCs w:val="24"/>
                <w:u w:val="none" w:color="auto"/>
              </w:rPr>
            </w:pPr>
            <w:r>
              <w:rPr>
                <w:rFonts w:ascii="Times New Roman" w:hAnsi="Times New Roman" w:cs="Times New Roman"/>
                <w:b/>
                <w:color w:val="auto"/>
                <w:sz w:val="24"/>
                <w:u w:val="none" w:color="auto"/>
              </w:rPr>
              <w:t>表2-1  建设内容一览表</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1000"/>
              <w:gridCol w:w="5582"/>
              <w:gridCol w:w="724"/>
            </w:tblGrid>
            <w:tr w14:paraId="1BA99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Align w:val="center"/>
                </w:tcPr>
                <w:p w14:paraId="27EADA1A">
                  <w:pPr>
                    <w:adjustRightInd w:val="0"/>
                    <w:snapToGrid w:val="0"/>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工程类别</w:t>
                  </w:r>
                </w:p>
              </w:tc>
              <w:tc>
                <w:tcPr>
                  <w:tcW w:w="623" w:type="pct"/>
                  <w:vAlign w:val="center"/>
                </w:tcPr>
                <w:p w14:paraId="75DE8228">
                  <w:pPr>
                    <w:adjustRightInd w:val="0"/>
                    <w:snapToGrid w:val="0"/>
                    <w:spacing w:line="240" w:lineRule="auto"/>
                    <w:jc w:val="center"/>
                    <w:rPr>
                      <w:rFonts w:hint="default" w:ascii="Times New Roman" w:hAnsi="Times New Roman" w:cs="Times New Roman" w:eastAsiaTheme="minorEastAsia"/>
                      <w:b/>
                      <w:bCs/>
                      <w:color w:val="auto"/>
                      <w:szCs w:val="21"/>
                      <w:u w:val="none" w:color="auto"/>
                      <w:lang w:val="en-US" w:eastAsia="zh-CN"/>
                    </w:rPr>
                  </w:pPr>
                  <w:r>
                    <w:rPr>
                      <w:rFonts w:hint="eastAsia" w:ascii="Times New Roman" w:hAnsi="Times New Roman" w:cs="Times New Roman"/>
                      <w:b/>
                      <w:bCs/>
                      <w:color w:val="auto"/>
                      <w:szCs w:val="21"/>
                      <w:u w:val="none" w:color="auto"/>
                      <w:lang w:val="en-US" w:eastAsia="zh-CN"/>
                    </w:rPr>
                    <w:t>工程内容</w:t>
                  </w:r>
                </w:p>
              </w:tc>
              <w:tc>
                <w:tcPr>
                  <w:tcW w:w="3482" w:type="pct"/>
                  <w:vAlign w:val="center"/>
                </w:tcPr>
                <w:p w14:paraId="780C8C04">
                  <w:pPr>
                    <w:adjustRightInd w:val="0"/>
                    <w:snapToGrid w:val="0"/>
                    <w:spacing w:line="240" w:lineRule="auto"/>
                    <w:jc w:val="center"/>
                    <w:rPr>
                      <w:rFonts w:ascii="Times New Roman" w:hAnsi="Times New Roman" w:cs="Times New Roman"/>
                      <w:b/>
                      <w:bCs/>
                      <w:color w:val="auto"/>
                      <w:szCs w:val="21"/>
                      <w:u w:val="none" w:color="auto"/>
                    </w:rPr>
                  </w:pPr>
                  <w:r>
                    <w:rPr>
                      <w:rFonts w:hint="eastAsia" w:ascii="Times New Roman" w:hAnsi="Times New Roman" w:cs="Times New Roman"/>
                      <w:b/>
                      <w:bCs/>
                      <w:color w:val="auto"/>
                      <w:szCs w:val="21"/>
                      <w:u w:val="none" w:color="auto"/>
                      <w:lang w:val="en-US" w:eastAsia="zh-CN"/>
                    </w:rPr>
                    <w:t>建设</w:t>
                  </w:r>
                  <w:r>
                    <w:rPr>
                      <w:rFonts w:ascii="Times New Roman" w:hAnsi="Times New Roman" w:cs="Times New Roman"/>
                      <w:b/>
                      <w:bCs/>
                      <w:color w:val="auto"/>
                      <w:szCs w:val="21"/>
                      <w:u w:val="none" w:color="auto"/>
                    </w:rPr>
                    <w:t>内容</w:t>
                  </w:r>
                </w:p>
              </w:tc>
              <w:tc>
                <w:tcPr>
                  <w:tcW w:w="451" w:type="pct"/>
                  <w:vAlign w:val="center"/>
                </w:tcPr>
                <w:p w14:paraId="7AC1549A">
                  <w:pPr>
                    <w:adjustRightInd w:val="0"/>
                    <w:snapToGrid w:val="0"/>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备注</w:t>
                  </w:r>
                </w:p>
              </w:tc>
            </w:tr>
            <w:tr w14:paraId="18E58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Align w:val="center"/>
                </w:tcPr>
                <w:p w14:paraId="77F54E2A">
                  <w:pPr>
                    <w:adjustRightInd w:val="0"/>
                    <w:snapToGrid w:val="0"/>
                    <w:spacing w:line="240" w:lineRule="auto"/>
                    <w:jc w:val="center"/>
                    <w:rPr>
                      <w:rFonts w:ascii="Times New Roman" w:hAnsi="Times New Roman" w:cs="Times New Roman"/>
                      <w:b/>
                      <w:bCs/>
                      <w:color w:val="auto"/>
                      <w:szCs w:val="21"/>
                      <w:u w:val="none" w:color="auto"/>
                    </w:rPr>
                  </w:pPr>
                  <w:r>
                    <w:rPr>
                      <w:rFonts w:ascii="Times New Roman" w:hAnsi="Times New Roman" w:cs="Times New Roman"/>
                      <w:b/>
                      <w:color w:val="auto"/>
                      <w:szCs w:val="21"/>
                      <w:u w:val="none" w:color="auto"/>
                    </w:rPr>
                    <w:t>主体工程</w:t>
                  </w:r>
                </w:p>
              </w:tc>
              <w:tc>
                <w:tcPr>
                  <w:tcW w:w="623" w:type="pct"/>
                  <w:vAlign w:val="center"/>
                </w:tcPr>
                <w:p w14:paraId="1A6D33BA">
                  <w:pPr>
                    <w:adjustRightInd w:val="0"/>
                    <w:snapToGrid w:val="0"/>
                    <w:spacing w:line="240" w:lineRule="auto"/>
                    <w:jc w:val="center"/>
                    <w:rPr>
                      <w:rFonts w:hint="eastAsia" w:ascii="Times New Roman" w:hAnsi="Times New Roman" w:cs="Times New Roman" w:eastAsiaTheme="minorEastAsia"/>
                      <w:color w:val="auto"/>
                      <w:szCs w:val="21"/>
                      <w:u w:val="none" w:color="auto"/>
                      <w:lang w:eastAsia="zh-CN"/>
                    </w:rPr>
                  </w:pPr>
                  <w:r>
                    <w:rPr>
                      <w:rFonts w:hint="eastAsia" w:ascii="Times New Roman" w:hAnsi="Times New Roman" w:cs="Times New Roman"/>
                      <w:color w:val="auto"/>
                      <w:szCs w:val="21"/>
                      <w:u w:val="none" w:color="auto"/>
                      <w:lang w:val="en-US" w:eastAsia="zh-CN"/>
                    </w:rPr>
                    <w:t>搅拌楼</w:t>
                  </w:r>
                </w:p>
              </w:tc>
              <w:tc>
                <w:tcPr>
                  <w:tcW w:w="3482" w:type="pct"/>
                  <w:vAlign w:val="center"/>
                </w:tcPr>
                <w:p w14:paraId="01F6AAEF">
                  <w:pPr>
                    <w:adjustRightInd w:val="0"/>
                    <w:snapToGrid w:val="0"/>
                    <w:spacing w:line="240" w:lineRule="auto"/>
                    <w:jc w:val="both"/>
                    <w:rPr>
                      <w:rFonts w:ascii="Times New Roman" w:hAnsi="Times New Roman" w:cs="Times New Roman"/>
                      <w:color w:val="auto"/>
                      <w:szCs w:val="21"/>
                      <w:u w:val="none" w:color="auto"/>
                    </w:rPr>
                  </w:pPr>
                  <w:r>
                    <w:rPr>
                      <w:rFonts w:ascii="Times New Roman" w:hAnsi="Times New Roman" w:cs="Times New Roman"/>
                      <w:color w:val="auto"/>
                      <w:szCs w:val="21"/>
                      <w:u w:val="none" w:color="auto"/>
                    </w:rPr>
                    <w:t>整体封闭式钢架结构，设置商品混凝土生产线</w:t>
                  </w: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条，单线生产能力180m</w:t>
                  </w:r>
                  <w:r>
                    <w:rPr>
                      <w:rFonts w:ascii="Times New Roman" w:hAnsi="Times New Roman" w:cs="Times New Roman"/>
                      <w:color w:val="auto"/>
                      <w:szCs w:val="21"/>
                      <w:u w:val="none" w:color="auto"/>
                      <w:vertAlign w:val="superscript"/>
                    </w:rPr>
                    <w:t>3</w:t>
                  </w:r>
                  <w:r>
                    <w:rPr>
                      <w:rFonts w:ascii="Times New Roman" w:hAnsi="Times New Roman" w:cs="Times New Roman"/>
                      <w:color w:val="auto"/>
                      <w:szCs w:val="21"/>
                      <w:u w:val="none" w:color="auto"/>
                    </w:rPr>
                    <w:t>/h，其中单线布置2个300t的水泥筒仓、1个300t的粉煤灰筒仓、1个300t的矿粉筒仓、1个100t的膨胀剂筒仓及2个10t外加剂罐；</w:t>
                  </w:r>
                  <w:r>
                    <w:rPr>
                      <w:rFonts w:hint="eastAsia" w:ascii="Times New Roman" w:hAnsi="Times New Roman" w:cs="Times New Roman"/>
                      <w:color w:val="auto"/>
                      <w:szCs w:val="21"/>
                      <w:u w:val="none" w:color="auto"/>
                      <w:lang w:val="en-US" w:eastAsia="zh-CN"/>
                    </w:rPr>
                    <w:t>占地</w:t>
                  </w:r>
                  <w:r>
                    <w:rPr>
                      <w:rFonts w:ascii="Times New Roman" w:hAnsi="Times New Roman" w:cs="Times New Roman"/>
                      <w:color w:val="auto"/>
                      <w:szCs w:val="21"/>
                      <w:u w:val="none" w:color="auto"/>
                      <w:shd w:val="clear" w:color="auto" w:fill="FFFFFF" w:themeFill="background1"/>
                    </w:rPr>
                    <w:t>面积</w:t>
                  </w:r>
                  <w:r>
                    <w:rPr>
                      <w:rFonts w:hint="eastAsia" w:ascii="Times New Roman" w:hAnsi="Times New Roman" w:cs="Times New Roman"/>
                      <w:color w:val="auto"/>
                      <w:szCs w:val="21"/>
                      <w:u w:val="none" w:color="auto"/>
                      <w:shd w:val="clear" w:color="auto" w:fill="FFFFFF" w:themeFill="background1"/>
                      <w:lang w:val="en-US" w:eastAsia="zh-CN"/>
                    </w:rPr>
                    <w:t>704.00</w:t>
                  </w:r>
                  <w:r>
                    <w:rPr>
                      <w:rFonts w:ascii="Times New Roman" w:hAnsi="Times New Roman" w:cs="Times New Roman"/>
                      <w:color w:val="auto"/>
                      <w:szCs w:val="21"/>
                      <w:u w:val="none" w:color="auto"/>
                    </w:rPr>
                    <w:t>m</w:t>
                  </w:r>
                  <w:r>
                    <w:rPr>
                      <w:rFonts w:ascii="Times New Roman" w:hAnsi="Times New Roman" w:cs="Times New Roman"/>
                      <w:color w:val="auto"/>
                      <w:szCs w:val="21"/>
                      <w:u w:val="none" w:color="auto"/>
                      <w:vertAlign w:val="superscript"/>
                    </w:rPr>
                    <w:t>2</w:t>
                  </w:r>
                </w:p>
              </w:tc>
              <w:tc>
                <w:tcPr>
                  <w:tcW w:w="451" w:type="pct"/>
                  <w:vAlign w:val="center"/>
                </w:tcPr>
                <w:p w14:paraId="0EA40AD4">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新建</w:t>
                  </w:r>
                </w:p>
              </w:tc>
            </w:tr>
            <w:tr w14:paraId="76F0E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Align w:val="center"/>
                </w:tcPr>
                <w:p w14:paraId="46D43E2B">
                  <w:pPr>
                    <w:adjustRightInd w:val="0"/>
                    <w:snapToGrid w:val="0"/>
                    <w:spacing w:line="240" w:lineRule="auto"/>
                    <w:jc w:val="center"/>
                    <w:rPr>
                      <w:rFonts w:ascii="Times New Roman" w:hAnsi="Times New Roman" w:cs="Times New Roman"/>
                      <w:b/>
                      <w:color w:val="auto"/>
                      <w:szCs w:val="21"/>
                      <w:u w:val="none" w:color="auto"/>
                    </w:rPr>
                  </w:pPr>
                  <w:r>
                    <w:rPr>
                      <w:rFonts w:ascii="Times New Roman" w:hAnsi="Times New Roman" w:cs="Times New Roman"/>
                      <w:b/>
                      <w:color w:val="auto"/>
                      <w:szCs w:val="21"/>
                      <w:u w:val="none" w:color="auto"/>
                    </w:rPr>
                    <w:t>辅助工程</w:t>
                  </w:r>
                </w:p>
              </w:tc>
              <w:tc>
                <w:tcPr>
                  <w:tcW w:w="623" w:type="pct"/>
                  <w:vAlign w:val="center"/>
                </w:tcPr>
                <w:p w14:paraId="2025371F">
                  <w:pPr>
                    <w:adjustRightInd w:val="0"/>
                    <w:snapToGrid w:val="0"/>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综合楼</w:t>
                  </w:r>
                </w:p>
              </w:tc>
              <w:tc>
                <w:tcPr>
                  <w:tcW w:w="3482" w:type="pct"/>
                  <w:vAlign w:val="center"/>
                </w:tcPr>
                <w:p w14:paraId="47B6CFA1">
                  <w:pPr>
                    <w:adjustRightInd w:val="0"/>
                    <w:snapToGrid w:val="0"/>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1栋</w:t>
                  </w:r>
                  <w:r>
                    <w:rPr>
                      <w:rFonts w:hint="eastAsia" w:ascii="Times New Roman" w:hAnsi="Times New Roman" w:cs="Times New Roman"/>
                      <w:color w:val="auto"/>
                      <w:szCs w:val="21"/>
                      <w:u w:val="none" w:color="auto"/>
                      <w:lang w:val="en-US" w:eastAsia="zh-CN"/>
                    </w:rPr>
                    <w:t>3</w:t>
                  </w:r>
                  <w:r>
                    <w:rPr>
                      <w:rFonts w:ascii="Times New Roman" w:hAnsi="Times New Roman" w:cs="Times New Roman"/>
                      <w:color w:val="auto"/>
                      <w:szCs w:val="21"/>
                      <w:u w:val="none" w:color="auto"/>
                    </w:rPr>
                    <w:t>F的综合楼，建筑面积约</w:t>
                  </w:r>
                  <w:r>
                    <w:rPr>
                      <w:rFonts w:hint="eastAsia" w:ascii="Times New Roman" w:hAnsi="Times New Roman" w:cs="Times New Roman"/>
                      <w:color w:val="auto"/>
                      <w:szCs w:val="21"/>
                      <w:u w:val="none" w:color="auto"/>
                      <w:lang w:val="en-US" w:eastAsia="zh-CN"/>
                    </w:rPr>
                    <w:t>1415</w:t>
                  </w:r>
                  <w:r>
                    <w:rPr>
                      <w:rFonts w:ascii="Times New Roman" w:hAnsi="Times New Roman" w:cs="Times New Roman"/>
                      <w:color w:val="auto"/>
                      <w:szCs w:val="21"/>
                      <w:u w:val="none" w:color="auto"/>
                    </w:rPr>
                    <w:t>m</w:t>
                  </w:r>
                  <w:r>
                    <w:rPr>
                      <w:rFonts w:ascii="Times New Roman" w:hAnsi="Times New Roman" w:cs="Times New Roman"/>
                      <w:color w:val="auto"/>
                      <w:szCs w:val="21"/>
                      <w:u w:val="none" w:color="auto"/>
                      <w:vertAlign w:val="superscript"/>
                    </w:rPr>
                    <w:t>2</w:t>
                  </w:r>
                  <w:r>
                    <w:rPr>
                      <w:rFonts w:ascii="Times New Roman" w:hAnsi="Times New Roman" w:cs="Times New Roman"/>
                      <w:color w:val="auto"/>
                      <w:szCs w:val="21"/>
                      <w:u w:val="none" w:color="auto"/>
                    </w:rPr>
                    <w:t>，主要设置磅房、实验室、工具房、仓库、危废暂存间</w:t>
                  </w:r>
                  <w:r>
                    <w:rPr>
                      <w:rFonts w:hint="eastAsia" w:ascii="Times New Roman" w:hAnsi="Times New Roman" w:cs="Times New Roman"/>
                      <w:color w:val="auto"/>
                      <w:szCs w:val="21"/>
                      <w:u w:val="none" w:color="auto"/>
                      <w:lang w:eastAsia="zh-CN"/>
                    </w:rPr>
                    <w:t>、</w:t>
                  </w:r>
                  <w:r>
                    <w:rPr>
                      <w:rFonts w:ascii="Times New Roman" w:hAnsi="Times New Roman" w:cs="Times New Roman"/>
                      <w:color w:val="auto"/>
                      <w:szCs w:val="21"/>
                      <w:u w:val="none" w:color="auto"/>
                    </w:rPr>
                    <w:t>办公、生活等</w:t>
                  </w:r>
                </w:p>
              </w:tc>
              <w:tc>
                <w:tcPr>
                  <w:tcW w:w="451" w:type="pct"/>
                  <w:vAlign w:val="center"/>
                </w:tcPr>
                <w:p w14:paraId="1EE259E5">
                  <w:pPr>
                    <w:adjustRightInd w:val="0"/>
                    <w:snapToGrid w:val="0"/>
                    <w:spacing w:line="240" w:lineRule="auto"/>
                    <w:jc w:val="center"/>
                    <w:rPr>
                      <w:rFonts w:hint="eastAsia" w:ascii="Times New Roman" w:hAnsi="Times New Roman" w:cs="Times New Roman" w:eastAsiaTheme="minorEastAsia"/>
                      <w:color w:val="auto"/>
                      <w:szCs w:val="21"/>
                      <w:u w:val="none" w:color="auto"/>
                      <w:lang w:eastAsia="zh-CN"/>
                    </w:rPr>
                  </w:pPr>
                  <w:r>
                    <w:rPr>
                      <w:rFonts w:hint="eastAsia" w:ascii="Times New Roman" w:hAnsi="Times New Roman" w:cs="Times New Roman"/>
                      <w:color w:val="auto"/>
                      <w:szCs w:val="21"/>
                      <w:u w:val="none" w:color="auto"/>
                      <w:lang w:eastAsia="zh-CN"/>
                    </w:rPr>
                    <w:t>新建</w:t>
                  </w:r>
                </w:p>
              </w:tc>
            </w:tr>
            <w:tr w14:paraId="360DC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restart"/>
                  <w:vAlign w:val="center"/>
                </w:tcPr>
                <w:p w14:paraId="49B25125">
                  <w:pPr>
                    <w:adjustRightInd w:val="0"/>
                    <w:snapToGrid w:val="0"/>
                    <w:spacing w:line="240" w:lineRule="auto"/>
                    <w:jc w:val="center"/>
                    <w:rPr>
                      <w:rFonts w:ascii="Times New Roman" w:hAnsi="Times New Roman" w:cs="Times New Roman"/>
                      <w:b/>
                      <w:color w:val="auto"/>
                      <w:szCs w:val="21"/>
                      <w:u w:val="none" w:color="auto"/>
                    </w:rPr>
                  </w:pPr>
                  <w:r>
                    <w:rPr>
                      <w:rFonts w:hint="eastAsia" w:ascii="Times New Roman" w:hAnsi="Times New Roman" w:cs="Times New Roman"/>
                      <w:b/>
                      <w:color w:val="auto"/>
                      <w:szCs w:val="21"/>
                      <w:u w:val="none" w:color="auto"/>
                      <w:lang w:val="en-US" w:eastAsia="zh-CN"/>
                    </w:rPr>
                    <w:t>储运</w:t>
                  </w:r>
                  <w:r>
                    <w:rPr>
                      <w:rFonts w:ascii="Times New Roman" w:hAnsi="Times New Roman" w:cs="Times New Roman"/>
                      <w:b/>
                      <w:color w:val="auto"/>
                      <w:szCs w:val="21"/>
                      <w:u w:val="none" w:color="auto"/>
                    </w:rPr>
                    <w:t>工程</w:t>
                  </w:r>
                </w:p>
              </w:tc>
              <w:tc>
                <w:tcPr>
                  <w:tcW w:w="623" w:type="pct"/>
                  <w:vAlign w:val="center"/>
                </w:tcPr>
                <w:p w14:paraId="35520B5B">
                  <w:pPr>
                    <w:adjustRightInd w:val="0"/>
                    <w:snapToGrid w:val="0"/>
                    <w:spacing w:line="240" w:lineRule="auto"/>
                    <w:jc w:val="center"/>
                    <w:rPr>
                      <w:rFonts w:hint="default" w:ascii="Times New Roman" w:hAnsi="Times New Roman" w:cs="Times New Roman" w:eastAsiaTheme="minorEastAsia"/>
                      <w:color w:val="auto"/>
                      <w:szCs w:val="21"/>
                      <w:u w:val="none" w:color="auto"/>
                      <w:lang w:val="en-US" w:eastAsia="zh-CN"/>
                    </w:rPr>
                  </w:pPr>
                  <w:r>
                    <w:rPr>
                      <w:rFonts w:ascii="Times New Roman" w:hAnsi="Times New Roman" w:cs="Times New Roman"/>
                      <w:color w:val="auto"/>
                      <w:szCs w:val="21"/>
                      <w:u w:val="none" w:color="auto"/>
                    </w:rPr>
                    <w:t>砂石料场</w:t>
                  </w:r>
                  <w:r>
                    <w:rPr>
                      <w:rFonts w:hint="eastAsia" w:ascii="Times New Roman" w:hAnsi="Times New Roman" w:cs="Times New Roman"/>
                      <w:color w:val="auto"/>
                      <w:szCs w:val="21"/>
                      <w:u w:val="none" w:color="auto"/>
                      <w:lang w:val="en-US" w:eastAsia="zh-CN"/>
                    </w:rPr>
                    <w:t>1#</w:t>
                  </w:r>
                </w:p>
              </w:tc>
              <w:tc>
                <w:tcPr>
                  <w:tcW w:w="3482" w:type="pct"/>
                  <w:vAlign w:val="center"/>
                </w:tcPr>
                <w:p w14:paraId="1F91DF01">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占地面积</w:t>
                  </w:r>
                  <w:r>
                    <w:rPr>
                      <w:rFonts w:hint="eastAsia" w:ascii="Times New Roman" w:hAnsi="Times New Roman" w:cs="Times New Roman"/>
                      <w:color w:val="auto"/>
                      <w:szCs w:val="21"/>
                      <w:u w:val="none" w:color="auto"/>
                      <w:lang w:val="en-US" w:eastAsia="zh-CN"/>
                    </w:rPr>
                    <w:t>5648.04</w:t>
                  </w:r>
                  <w:r>
                    <w:rPr>
                      <w:rFonts w:ascii="Times New Roman" w:hAnsi="Times New Roman" w:cs="Times New Roman"/>
                      <w:color w:val="auto"/>
                      <w:szCs w:val="21"/>
                      <w:u w:val="none" w:color="auto"/>
                    </w:rPr>
                    <w:t>m</w:t>
                  </w:r>
                  <w:r>
                    <w:rPr>
                      <w:rFonts w:ascii="Times New Roman" w:hAnsi="Times New Roman" w:cs="Times New Roman"/>
                      <w:color w:val="auto"/>
                      <w:szCs w:val="21"/>
                      <w:u w:val="none" w:color="auto"/>
                      <w:vertAlign w:val="superscript"/>
                    </w:rPr>
                    <w:t>2</w:t>
                  </w: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主要用于原材料堆放，</w:t>
                  </w:r>
                  <w:r>
                    <w:rPr>
                      <w:rFonts w:ascii="Times New Roman" w:hAnsi="Times New Roman" w:cs="Times New Roman"/>
                      <w:color w:val="auto"/>
                      <w:szCs w:val="21"/>
                      <w:u w:val="none" w:color="auto"/>
                    </w:rPr>
                    <w:t>设防雨顶棚及四面围挡，为全封闭式</w:t>
                  </w:r>
                </w:p>
              </w:tc>
              <w:tc>
                <w:tcPr>
                  <w:tcW w:w="451" w:type="pct"/>
                  <w:vAlign w:val="center"/>
                </w:tcPr>
                <w:p w14:paraId="215A4130">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604DF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10CC9E14">
                  <w:pPr>
                    <w:adjustRightInd w:val="0"/>
                    <w:snapToGrid w:val="0"/>
                    <w:spacing w:line="240" w:lineRule="auto"/>
                    <w:jc w:val="center"/>
                    <w:rPr>
                      <w:rFonts w:ascii="Times New Roman" w:hAnsi="Times New Roman" w:cs="Times New Roman"/>
                      <w:b/>
                      <w:color w:val="auto"/>
                      <w:szCs w:val="21"/>
                      <w:u w:val="none" w:color="auto"/>
                    </w:rPr>
                  </w:pPr>
                </w:p>
              </w:tc>
              <w:tc>
                <w:tcPr>
                  <w:tcW w:w="623" w:type="pct"/>
                  <w:vAlign w:val="center"/>
                </w:tcPr>
                <w:p w14:paraId="22050688">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砂石料场</w:t>
                  </w:r>
                  <w:r>
                    <w:rPr>
                      <w:rFonts w:hint="eastAsia" w:ascii="Times New Roman" w:hAnsi="Times New Roman" w:cs="Times New Roman"/>
                      <w:color w:val="auto"/>
                      <w:szCs w:val="21"/>
                      <w:u w:val="none" w:color="auto"/>
                      <w:lang w:val="en-US" w:eastAsia="zh-CN"/>
                    </w:rPr>
                    <w:t>2#</w:t>
                  </w:r>
                </w:p>
              </w:tc>
              <w:tc>
                <w:tcPr>
                  <w:tcW w:w="3482" w:type="pct"/>
                  <w:vAlign w:val="center"/>
                </w:tcPr>
                <w:p w14:paraId="35A4D977">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占地面积约</w:t>
                  </w:r>
                  <w:r>
                    <w:rPr>
                      <w:rFonts w:hint="eastAsia" w:ascii="Times New Roman" w:hAnsi="Times New Roman" w:cs="Times New Roman"/>
                      <w:color w:val="auto"/>
                      <w:szCs w:val="21"/>
                      <w:u w:val="none" w:color="auto"/>
                      <w:lang w:val="en-US" w:eastAsia="zh-CN"/>
                    </w:rPr>
                    <w:t>4566.04</w:t>
                  </w:r>
                  <w:r>
                    <w:rPr>
                      <w:rFonts w:ascii="Times New Roman" w:hAnsi="Times New Roman" w:cs="Times New Roman"/>
                      <w:color w:val="auto"/>
                      <w:szCs w:val="21"/>
                      <w:u w:val="none" w:color="auto"/>
                    </w:rPr>
                    <w:t>m</w:t>
                  </w:r>
                  <w:r>
                    <w:rPr>
                      <w:rFonts w:ascii="Times New Roman" w:hAnsi="Times New Roman" w:cs="Times New Roman"/>
                      <w:color w:val="auto"/>
                      <w:szCs w:val="21"/>
                      <w:u w:val="none" w:color="auto"/>
                      <w:vertAlign w:val="superscript"/>
                    </w:rPr>
                    <w:t>2</w:t>
                  </w:r>
                  <w:r>
                    <w:rPr>
                      <w:rFonts w:ascii="Times New Roman" w:hAnsi="Times New Roman" w:cs="Times New Roman"/>
                      <w:color w:val="auto"/>
                      <w:szCs w:val="21"/>
                      <w:u w:val="none" w:color="auto"/>
                    </w:rPr>
                    <w:t>，主要用于暂存</w:t>
                  </w:r>
                  <w:r>
                    <w:rPr>
                      <w:rFonts w:hint="eastAsia" w:ascii="Times New Roman" w:hAnsi="Times New Roman" w:cs="Times New Roman"/>
                      <w:color w:val="auto"/>
                      <w:szCs w:val="21"/>
                      <w:u w:val="none" w:color="auto"/>
                      <w:lang w:val="en-US" w:eastAsia="zh-CN"/>
                    </w:rPr>
                    <w:t>污泥、布袋除尘器收集粉尘和废弃试验样品</w:t>
                  </w:r>
                  <w:r>
                    <w:rPr>
                      <w:rFonts w:ascii="Times New Roman" w:hAnsi="Times New Roman" w:cs="Times New Roman"/>
                      <w:color w:val="auto"/>
                      <w:szCs w:val="21"/>
                      <w:u w:val="none" w:color="auto"/>
                    </w:rPr>
                    <w:t>，设防雨顶棚及四面围挡，为全封闭式</w:t>
                  </w:r>
                </w:p>
              </w:tc>
              <w:tc>
                <w:tcPr>
                  <w:tcW w:w="451" w:type="pct"/>
                  <w:vAlign w:val="center"/>
                </w:tcPr>
                <w:p w14:paraId="56A4A037">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4F684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restart"/>
                  <w:vAlign w:val="center"/>
                </w:tcPr>
                <w:p w14:paraId="6CD48EBD">
                  <w:pPr>
                    <w:adjustRightInd w:val="0"/>
                    <w:snapToGrid w:val="0"/>
                    <w:spacing w:line="240" w:lineRule="auto"/>
                    <w:jc w:val="center"/>
                    <w:rPr>
                      <w:rFonts w:ascii="Times New Roman" w:hAnsi="Times New Roman" w:cs="Times New Roman"/>
                      <w:b/>
                      <w:color w:val="auto"/>
                      <w:szCs w:val="21"/>
                      <w:u w:val="none" w:color="auto"/>
                    </w:rPr>
                  </w:pPr>
                  <w:r>
                    <w:rPr>
                      <w:rFonts w:ascii="Times New Roman" w:hAnsi="Times New Roman" w:cs="Times New Roman"/>
                      <w:b/>
                      <w:color w:val="auto"/>
                      <w:szCs w:val="21"/>
                      <w:u w:val="none" w:color="auto"/>
                    </w:rPr>
                    <w:t>公用工程</w:t>
                  </w:r>
                </w:p>
              </w:tc>
              <w:tc>
                <w:tcPr>
                  <w:tcW w:w="623" w:type="pct"/>
                  <w:vAlign w:val="center"/>
                </w:tcPr>
                <w:p w14:paraId="7797FD27">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供水</w:t>
                  </w:r>
                </w:p>
              </w:tc>
              <w:tc>
                <w:tcPr>
                  <w:tcW w:w="3482" w:type="pct"/>
                  <w:vAlign w:val="center"/>
                </w:tcPr>
                <w:p w14:paraId="6C61D65A">
                  <w:pPr>
                    <w:adjustRightInd w:val="0"/>
                    <w:snapToGrid w:val="0"/>
                    <w:spacing w:line="240" w:lineRule="auto"/>
                    <w:jc w:val="center"/>
                    <w:rPr>
                      <w:rFonts w:ascii="Times New Roman" w:hAnsi="Times New Roman" w:cs="Times New Roman"/>
                      <w:b/>
                      <w:color w:val="auto"/>
                      <w:szCs w:val="21"/>
                      <w:u w:val="none" w:color="auto"/>
                    </w:rPr>
                  </w:pPr>
                  <w:r>
                    <w:rPr>
                      <w:rFonts w:ascii="Times New Roman" w:hAnsi="Times New Roman" w:cs="Times New Roman"/>
                      <w:color w:val="auto"/>
                      <w:szCs w:val="21"/>
                      <w:u w:val="none" w:color="auto"/>
                    </w:rPr>
                    <w:t>市政给水管网及</w:t>
                  </w:r>
                  <w:r>
                    <w:rPr>
                      <w:rFonts w:hint="eastAsia" w:ascii="Times New Roman" w:hAnsi="Times New Roman" w:cs="Times New Roman"/>
                      <w:color w:val="auto"/>
                      <w:szCs w:val="21"/>
                      <w:u w:val="none" w:color="auto"/>
                      <w:lang w:eastAsia="zh-CN"/>
                    </w:rPr>
                    <w:t>初期</w:t>
                  </w:r>
                  <w:r>
                    <w:rPr>
                      <w:rFonts w:ascii="Times New Roman" w:hAnsi="Times New Roman" w:cs="Times New Roman"/>
                      <w:color w:val="auto"/>
                      <w:szCs w:val="21"/>
                      <w:u w:val="none" w:color="auto"/>
                    </w:rPr>
                    <w:t>雨水</w:t>
                  </w:r>
                </w:p>
              </w:tc>
              <w:tc>
                <w:tcPr>
                  <w:tcW w:w="451" w:type="pct"/>
                  <w:vAlign w:val="center"/>
                </w:tcPr>
                <w:p w14:paraId="3739BC0F">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6F6507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679986B3">
                  <w:pPr>
                    <w:widowControl/>
                    <w:spacing w:line="240" w:lineRule="auto"/>
                    <w:jc w:val="left"/>
                    <w:rPr>
                      <w:rFonts w:ascii="Times New Roman" w:hAnsi="Times New Roman" w:cs="Times New Roman"/>
                      <w:b/>
                      <w:color w:val="auto"/>
                      <w:szCs w:val="21"/>
                      <w:u w:val="none" w:color="auto"/>
                    </w:rPr>
                  </w:pPr>
                </w:p>
              </w:tc>
              <w:tc>
                <w:tcPr>
                  <w:tcW w:w="623" w:type="pct"/>
                  <w:vAlign w:val="center"/>
                </w:tcPr>
                <w:p w14:paraId="7B6A9881">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排水</w:t>
                  </w:r>
                </w:p>
              </w:tc>
              <w:tc>
                <w:tcPr>
                  <w:tcW w:w="3482" w:type="pct"/>
                  <w:vAlign w:val="center"/>
                </w:tcPr>
                <w:p w14:paraId="5FFFEC6F">
                  <w:pPr>
                    <w:adjustRightInd w:val="0"/>
                    <w:snapToGrid w:val="0"/>
                    <w:spacing w:line="240" w:lineRule="auto"/>
                    <w:jc w:val="center"/>
                    <w:rPr>
                      <w:rFonts w:ascii="Times New Roman" w:hAnsi="Times New Roman" w:cs="Times New Roman"/>
                      <w:color w:val="auto"/>
                      <w:szCs w:val="21"/>
                      <w:u w:val="none" w:color="auto"/>
                    </w:rPr>
                  </w:pPr>
                  <w:r>
                    <w:rPr>
                      <w:rStyle w:val="30"/>
                      <w:rFonts w:ascii="Times New Roman" w:hAnsi="Times New Roman" w:cs="Times New Roman"/>
                      <w:color w:val="auto"/>
                      <w:u w:val="none" w:color="auto"/>
                    </w:rPr>
                    <w:t>生产废水</w:t>
                  </w:r>
                  <w:r>
                    <w:rPr>
                      <w:rFonts w:ascii="Times New Roman" w:hAnsi="Times New Roman" w:cs="Times New Roman"/>
                      <w:color w:val="auto"/>
                      <w:szCs w:val="21"/>
                      <w:u w:val="none" w:color="auto"/>
                    </w:rPr>
                    <w:t>经</w:t>
                  </w:r>
                  <w:r>
                    <w:rPr>
                      <w:rFonts w:hint="eastAsia" w:ascii="Times New Roman" w:hAnsi="Times New Roman" w:cs="Times New Roman"/>
                      <w:color w:val="auto"/>
                      <w:szCs w:val="21"/>
                      <w:u w:val="none" w:color="auto"/>
                      <w:lang w:val="en-US" w:eastAsia="zh-CN"/>
                    </w:rPr>
                    <w:t>三</w:t>
                  </w:r>
                  <w:r>
                    <w:rPr>
                      <w:rFonts w:ascii="Times New Roman" w:hAnsi="Times New Roman" w:cs="Times New Roman"/>
                      <w:color w:val="auto"/>
                      <w:szCs w:val="21"/>
                      <w:u w:val="none" w:color="auto"/>
                    </w:rPr>
                    <w:t>级</w:t>
                  </w:r>
                  <w:r>
                    <w:rPr>
                      <w:rStyle w:val="30"/>
                      <w:rFonts w:ascii="Times New Roman" w:hAnsi="Times New Roman" w:cs="Times New Roman"/>
                      <w:color w:val="auto"/>
                      <w:u w:val="none" w:color="auto"/>
                    </w:rPr>
                    <w:t>沉淀</w:t>
                  </w:r>
                  <w:r>
                    <w:rPr>
                      <w:rStyle w:val="30"/>
                      <w:rFonts w:hint="eastAsia" w:ascii="Times New Roman" w:hAnsi="Times New Roman" w:cs="Times New Roman"/>
                      <w:color w:val="auto"/>
                      <w:u w:val="none" w:color="auto"/>
                      <w:lang w:eastAsia="zh-CN"/>
                    </w:rPr>
                    <w:t>（</w:t>
                  </w:r>
                  <w:r>
                    <w:rPr>
                      <w:rStyle w:val="30"/>
                      <w:rFonts w:hint="eastAsia" w:ascii="Times New Roman" w:hAnsi="Times New Roman" w:cs="Times New Roman"/>
                      <w:color w:val="auto"/>
                      <w:u w:val="none" w:color="auto"/>
                      <w:lang w:val="en-US" w:eastAsia="zh-CN"/>
                    </w:rPr>
                    <w:t>1#</w:t>
                  </w:r>
                  <w:r>
                    <w:rPr>
                      <w:rStyle w:val="30"/>
                      <w:rFonts w:hint="eastAsia" w:ascii="Times New Roman" w:hAnsi="Times New Roman" w:cs="Times New Roman"/>
                      <w:color w:val="auto"/>
                      <w:u w:val="none" w:color="auto"/>
                      <w:lang w:eastAsia="zh-CN"/>
                    </w:rPr>
                    <w:t>）</w:t>
                  </w:r>
                  <w:r>
                    <w:rPr>
                      <w:rStyle w:val="30"/>
                      <w:rFonts w:ascii="Times New Roman" w:hAnsi="Times New Roman" w:cs="Times New Roman"/>
                      <w:color w:val="auto"/>
                      <w:u w:val="none" w:color="auto"/>
                    </w:rPr>
                    <w:t>后回用</w:t>
                  </w:r>
                  <w:r>
                    <w:rPr>
                      <w:rStyle w:val="30"/>
                      <w:rFonts w:hint="eastAsia" w:ascii="Times New Roman" w:hAnsi="Times New Roman" w:cs="Times New Roman"/>
                      <w:color w:val="auto"/>
                      <w:u w:val="none" w:color="auto"/>
                      <w:lang w:val="en-US" w:eastAsia="zh-CN"/>
                    </w:rPr>
                    <w:t>与生产</w:t>
                  </w:r>
                  <w:r>
                    <w:rPr>
                      <w:rStyle w:val="30"/>
                      <w:rFonts w:ascii="Times New Roman" w:hAnsi="Times New Roman" w:cs="Times New Roman"/>
                      <w:color w:val="auto"/>
                      <w:u w:val="none" w:color="auto"/>
                    </w:rPr>
                    <w:t>，</w:t>
                  </w:r>
                  <w:r>
                    <w:rPr>
                      <w:rStyle w:val="30"/>
                      <w:rFonts w:hint="eastAsia" w:ascii="Times New Roman" w:hAnsi="Times New Roman" w:cs="Times New Roman"/>
                      <w:color w:val="auto"/>
                      <w:u w:val="none" w:color="auto"/>
                      <w:lang w:val="en-US" w:eastAsia="zh-CN"/>
                    </w:rPr>
                    <w:t>洗车废水经沉淀（2#）后回用于生产；</w:t>
                  </w:r>
                  <w:r>
                    <w:rPr>
                      <w:rStyle w:val="30"/>
                      <w:rFonts w:ascii="Times New Roman" w:hAnsi="Times New Roman" w:cs="Times New Roman"/>
                      <w:color w:val="auto"/>
                      <w:u w:val="none" w:color="auto"/>
                    </w:rPr>
                    <w:t>生活污水经化粪池处理后用于周边</w:t>
                  </w:r>
                  <w:r>
                    <w:rPr>
                      <w:rStyle w:val="30"/>
                      <w:rFonts w:hint="eastAsia" w:ascii="Times New Roman" w:hAnsi="Times New Roman" w:cs="Times New Roman"/>
                      <w:color w:val="auto"/>
                      <w:u w:val="none" w:color="auto"/>
                      <w:lang w:val="en-US" w:eastAsia="zh-CN"/>
                    </w:rPr>
                    <w:t>林地</w:t>
                  </w:r>
                  <w:r>
                    <w:rPr>
                      <w:rStyle w:val="30"/>
                      <w:rFonts w:hint="eastAsia" w:ascii="Times New Roman" w:hAnsi="Times New Roman" w:cs="Times New Roman"/>
                      <w:color w:val="auto"/>
                      <w:u w:val="none" w:color="auto"/>
                      <w:lang w:eastAsia="zh-CN"/>
                    </w:rPr>
                    <w:t>施肥</w:t>
                  </w:r>
                </w:p>
              </w:tc>
              <w:tc>
                <w:tcPr>
                  <w:tcW w:w="451" w:type="pct"/>
                  <w:vAlign w:val="center"/>
                </w:tcPr>
                <w:p w14:paraId="1D2247B6">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6CEED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0574D488">
                  <w:pPr>
                    <w:widowControl/>
                    <w:spacing w:line="240" w:lineRule="auto"/>
                    <w:jc w:val="left"/>
                    <w:rPr>
                      <w:rFonts w:ascii="Times New Roman" w:hAnsi="Times New Roman" w:cs="Times New Roman"/>
                      <w:b/>
                      <w:color w:val="auto"/>
                      <w:szCs w:val="21"/>
                      <w:u w:val="none" w:color="auto"/>
                    </w:rPr>
                  </w:pPr>
                </w:p>
              </w:tc>
              <w:tc>
                <w:tcPr>
                  <w:tcW w:w="623" w:type="pct"/>
                  <w:vAlign w:val="center"/>
                </w:tcPr>
                <w:p w14:paraId="72130BDA">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供电</w:t>
                  </w:r>
                </w:p>
              </w:tc>
              <w:tc>
                <w:tcPr>
                  <w:tcW w:w="3482" w:type="pct"/>
                  <w:vAlign w:val="center"/>
                </w:tcPr>
                <w:p w14:paraId="75C5E962">
                  <w:pPr>
                    <w:adjustRightInd w:val="0"/>
                    <w:snapToGrid w:val="0"/>
                    <w:spacing w:line="240" w:lineRule="auto"/>
                    <w:jc w:val="center"/>
                    <w:rPr>
                      <w:rFonts w:hint="eastAsia"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rPr>
                    <w:t>岳阳县荣家湾镇</w:t>
                  </w:r>
                  <w:r>
                    <w:rPr>
                      <w:rFonts w:ascii="Times New Roman" w:hAnsi="Times New Roman" w:cs="Times New Roman"/>
                      <w:color w:val="auto"/>
                      <w:szCs w:val="21"/>
                      <w:u w:val="none" w:color="auto"/>
                    </w:rPr>
                    <w:t>电网</w:t>
                  </w:r>
                  <w:r>
                    <w:rPr>
                      <w:rFonts w:hint="eastAsia" w:ascii="Times New Roman" w:hAnsi="Times New Roman" w:cs="Times New Roman"/>
                      <w:color w:val="auto"/>
                      <w:szCs w:val="21"/>
                      <w:u w:val="none" w:color="auto"/>
                      <w:lang w:val="en-US" w:eastAsia="zh-CN"/>
                    </w:rPr>
                    <w:t>供给</w:t>
                  </w:r>
                </w:p>
              </w:tc>
              <w:tc>
                <w:tcPr>
                  <w:tcW w:w="451" w:type="pct"/>
                  <w:vAlign w:val="center"/>
                </w:tcPr>
                <w:p w14:paraId="6B42F5D6">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4AB46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restart"/>
                  <w:vAlign w:val="center"/>
                </w:tcPr>
                <w:p w14:paraId="43D961A8">
                  <w:pPr>
                    <w:adjustRightInd w:val="0"/>
                    <w:snapToGrid w:val="0"/>
                    <w:spacing w:line="240" w:lineRule="auto"/>
                    <w:jc w:val="center"/>
                    <w:rPr>
                      <w:rFonts w:ascii="Times New Roman" w:hAnsi="Times New Roman" w:cs="Times New Roman"/>
                      <w:b/>
                      <w:color w:val="auto"/>
                      <w:szCs w:val="21"/>
                      <w:u w:val="none" w:color="auto"/>
                    </w:rPr>
                  </w:pPr>
                  <w:r>
                    <w:rPr>
                      <w:rFonts w:ascii="Times New Roman" w:hAnsi="Times New Roman" w:cs="Times New Roman"/>
                      <w:b/>
                      <w:color w:val="auto"/>
                      <w:szCs w:val="21"/>
                      <w:u w:val="none" w:color="auto"/>
                    </w:rPr>
                    <w:t>环保工程</w:t>
                  </w:r>
                </w:p>
              </w:tc>
              <w:tc>
                <w:tcPr>
                  <w:tcW w:w="623" w:type="pct"/>
                  <w:vAlign w:val="center"/>
                </w:tcPr>
                <w:p w14:paraId="3FAAECAA">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废水</w:t>
                  </w:r>
                </w:p>
              </w:tc>
              <w:tc>
                <w:tcPr>
                  <w:tcW w:w="3482" w:type="pct"/>
                  <w:vAlign w:val="center"/>
                </w:tcPr>
                <w:p w14:paraId="7004427F">
                  <w:pPr>
                    <w:spacing w:line="240" w:lineRule="auto"/>
                    <w:rPr>
                      <w:rFonts w:ascii="Times New Roman" w:hAnsi="Times New Roman" w:cs="Times New Roman"/>
                      <w:color w:val="auto"/>
                      <w:szCs w:val="21"/>
                      <w:u w:val="none" w:color="auto"/>
                    </w:rPr>
                  </w:pPr>
                  <w:r>
                    <w:rPr>
                      <w:rFonts w:ascii="Times New Roman" w:hAnsi="Times New Roman" w:cs="Times New Roman"/>
                      <w:color w:val="auto"/>
                      <w:szCs w:val="21"/>
                      <w:u w:val="none" w:color="auto"/>
                    </w:rPr>
                    <w:t>车辆冲洗废水</w:t>
                  </w:r>
                  <w:r>
                    <w:rPr>
                      <w:rFonts w:hint="eastAsia" w:ascii="Times New Roman" w:hAnsi="Times New Roman" w:cs="Times New Roman"/>
                      <w:color w:val="auto"/>
                      <w:szCs w:val="21"/>
                      <w:u w:val="none" w:color="auto"/>
                      <w:lang w:val="en-US" w:eastAsia="zh-CN"/>
                    </w:rPr>
                    <w:t>经沉淀池</w:t>
                  </w:r>
                  <w:r>
                    <w:rPr>
                      <w:rFonts w:ascii="Times New Roman" w:hAnsi="Times New Roman" w:cs="Times New Roman"/>
                      <w:color w:val="auto"/>
                      <w:szCs w:val="21"/>
                      <w:u w:val="none" w:color="auto"/>
                      <w:shd w:val="clear"/>
                    </w:rPr>
                    <w:t>（</w:t>
                  </w:r>
                  <w:r>
                    <w:rPr>
                      <w:rFonts w:hint="eastAsia" w:ascii="Times New Roman" w:hAnsi="Times New Roman"/>
                      <w:color w:val="auto"/>
                      <w:sz w:val="21"/>
                      <w:szCs w:val="20"/>
                      <w:u w:val="none" w:color="auto"/>
                      <w:shd w:val="clear"/>
                      <w:lang w:val="en-US" w:eastAsia="zh-CN"/>
                    </w:rPr>
                    <w:t>6m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4.5m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1.2</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lang w:eastAsia="zh-CN"/>
                    </w:rPr>
                    <w:t>，</w:t>
                  </w:r>
                  <w:r>
                    <w:rPr>
                      <w:rFonts w:hint="eastAsia" w:ascii="Times New Roman" w:hAnsi="Times New Roman"/>
                      <w:color w:val="auto"/>
                      <w:sz w:val="21"/>
                      <w:szCs w:val="20"/>
                      <w:u w:val="none" w:color="auto"/>
                      <w:shd w:val="clear"/>
                      <w:lang w:val="en-US" w:eastAsia="zh-CN"/>
                    </w:rPr>
                    <w:t>容积32.4</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vertAlign w:val="superscript"/>
                      <w:lang w:val="en-US" w:eastAsia="zh-CN"/>
                    </w:rPr>
                    <w:t>3</w:t>
                  </w:r>
                  <w:r>
                    <w:rPr>
                      <w:rFonts w:hint="eastAsia" w:ascii="Times New Roman" w:hAnsi="Times New Roman"/>
                      <w:color w:val="auto"/>
                      <w:sz w:val="21"/>
                      <w:szCs w:val="20"/>
                      <w:u w:val="none" w:color="auto"/>
                      <w:shd w:val="clear"/>
                      <w:lang w:eastAsia="zh-CN"/>
                    </w:rPr>
                    <w:t>，</w:t>
                  </w:r>
                  <w:r>
                    <w:rPr>
                      <w:rFonts w:hint="eastAsia" w:ascii="Times New Roman" w:hAnsi="Times New Roman"/>
                      <w:color w:val="auto"/>
                      <w:sz w:val="21"/>
                      <w:szCs w:val="20"/>
                      <w:u w:val="none" w:color="auto"/>
                      <w:shd w:val="clear"/>
                      <w:lang w:val="en-US" w:eastAsia="zh-CN"/>
                    </w:rPr>
                    <w:t>位于出入口东侧</w:t>
                  </w:r>
                  <w:r>
                    <w:rPr>
                      <w:rFonts w:ascii="Times New Roman" w:hAnsi="Times New Roman" w:cs="Times New Roman"/>
                      <w:color w:val="auto"/>
                      <w:szCs w:val="21"/>
                      <w:u w:val="none" w:color="auto"/>
                      <w:shd w:val="clear"/>
                    </w:rPr>
                    <w:t>）</w:t>
                  </w:r>
                  <w:r>
                    <w:rPr>
                      <w:rFonts w:hint="eastAsia" w:ascii="Times New Roman" w:hAnsi="Times New Roman" w:cs="Times New Roman"/>
                      <w:color w:val="auto"/>
                      <w:szCs w:val="21"/>
                      <w:u w:val="none" w:color="auto"/>
                      <w:lang w:val="en-US" w:eastAsia="zh-CN"/>
                    </w:rPr>
                    <w:t>处理</w:t>
                  </w:r>
                  <w:r>
                    <w:rPr>
                      <w:rFonts w:ascii="Times New Roman" w:hAnsi="Times New Roman" w:cs="Times New Roman"/>
                      <w:color w:val="auto"/>
                      <w:szCs w:val="21"/>
                      <w:u w:val="none" w:color="auto"/>
                    </w:rPr>
                    <w:t>后回用于生产</w:t>
                  </w:r>
                  <w:r>
                    <w:rPr>
                      <w:rFonts w:hint="eastAsia" w:ascii="Times New Roman" w:hAnsi="Times New Roman" w:cs="Times New Roman"/>
                      <w:color w:val="auto"/>
                      <w:szCs w:val="21"/>
                      <w:u w:val="none" w:color="auto"/>
                      <w:lang w:val="en-US" w:eastAsia="zh-CN"/>
                    </w:rPr>
                    <w:t>；</w:t>
                  </w:r>
                  <w:r>
                    <w:rPr>
                      <w:rFonts w:hint="eastAsia" w:ascii="Times New Roman" w:hAnsi="Times New Roman" w:cs="Times New Roman"/>
                      <w:color w:val="auto"/>
                      <w:szCs w:val="21"/>
                      <w:u w:val="none" w:color="auto"/>
                      <w:lang w:eastAsia="zh-CN"/>
                    </w:rPr>
                    <w:t>设备冲洗废水</w:t>
                  </w:r>
                  <w:r>
                    <w:rPr>
                      <w:rFonts w:ascii="Times New Roman" w:hAnsi="Times New Roman" w:cs="Times New Roman"/>
                      <w:color w:val="auto"/>
                      <w:szCs w:val="21"/>
                      <w:u w:val="none" w:color="auto"/>
                    </w:rPr>
                    <w:t>、地面冲洗废水</w:t>
                  </w:r>
                  <w:r>
                    <w:rPr>
                      <w:rFonts w:hint="eastAsia" w:ascii="Times New Roman" w:hAnsi="Times New Roman" w:cs="Times New Roman"/>
                      <w:color w:val="auto"/>
                      <w:szCs w:val="21"/>
                      <w:u w:val="none" w:color="auto"/>
                      <w:lang w:val="en-US" w:eastAsia="zh-CN"/>
                    </w:rPr>
                    <w:t>经三级沉淀池</w:t>
                  </w:r>
                  <w:r>
                    <w:rPr>
                      <w:rFonts w:ascii="Times New Roman" w:hAnsi="Times New Roman" w:cs="Times New Roman"/>
                      <w:color w:val="auto"/>
                      <w:szCs w:val="21"/>
                      <w:u w:val="none" w:color="auto"/>
                      <w:shd w:val="clear"/>
                    </w:rPr>
                    <w:t>（</w:t>
                  </w:r>
                  <w:r>
                    <w:rPr>
                      <w:rFonts w:hint="eastAsia" w:ascii="Times New Roman" w:hAnsi="Times New Roman" w:cs="Times New Roman"/>
                      <w:color w:val="auto"/>
                      <w:szCs w:val="21"/>
                      <w:u w:val="none" w:color="auto"/>
                      <w:shd w:val="clear"/>
                      <w:lang w:val="en-US" w:eastAsia="zh-CN"/>
                    </w:rPr>
                    <w:t>每级均为4.0</w:t>
                  </w:r>
                  <w:r>
                    <w:rPr>
                      <w:rFonts w:hint="eastAsia" w:ascii="Times New Roman" w:hAnsi="Times New Roman"/>
                      <w:color w:val="auto"/>
                      <w:sz w:val="21"/>
                      <w:szCs w:val="20"/>
                      <w:u w:val="none" w:color="auto"/>
                      <w:shd w:val="clear"/>
                      <w:lang w:val="en-US" w:eastAsia="zh-CN"/>
                    </w:rPr>
                    <w:t>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2.4m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2.0</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lang w:eastAsia="zh-CN"/>
                    </w:rPr>
                    <w:t>，</w:t>
                  </w:r>
                  <w:r>
                    <w:rPr>
                      <w:rFonts w:hint="eastAsia" w:ascii="Times New Roman" w:hAnsi="Times New Roman"/>
                      <w:color w:val="auto"/>
                      <w:sz w:val="21"/>
                      <w:szCs w:val="20"/>
                      <w:u w:val="none" w:color="auto"/>
                      <w:shd w:val="clear"/>
                      <w:lang w:val="en-US" w:eastAsia="zh-CN"/>
                    </w:rPr>
                    <w:t>总容积57.6</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vertAlign w:val="superscript"/>
                      <w:lang w:val="en-US" w:eastAsia="zh-CN"/>
                    </w:rPr>
                    <w:t>3</w:t>
                  </w:r>
                  <w:r>
                    <w:rPr>
                      <w:rFonts w:hint="eastAsia" w:ascii="Times New Roman" w:hAnsi="Times New Roman"/>
                      <w:color w:val="auto"/>
                      <w:sz w:val="21"/>
                      <w:szCs w:val="20"/>
                      <w:u w:val="none" w:color="auto"/>
                      <w:shd w:val="clear"/>
                      <w:lang w:eastAsia="zh-CN"/>
                    </w:rPr>
                    <w:t>，</w:t>
                  </w:r>
                  <w:r>
                    <w:rPr>
                      <w:rFonts w:hint="eastAsia" w:ascii="Times New Roman" w:hAnsi="Times New Roman"/>
                      <w:color w:val="auto"/>
                      <w:sz w:val="21"/>
                      <w:szCs w:val="20"/>
                      <w:u w:val="none" w:color="auto"/>
                      <w:shd w:val="clear"/>
                      <w:lang w:val="en-US" w:eastAsia="zh-CN"/>
                    </w:rPr>
                    <w:t>位于搅拌楼西南侧</w:t>
                  </w:r>
                  <w:r>
                    <w:rPr>
                      <w:rFonts w:ascii="Times New Roman" w:hAnsi="Times New Roman" w:cs="Times New Roman"/>
                      <w:color w:val="auto"/>
                      <w:szCs w:val="21"/>
                      <w:u w:val="none" w:color="auto"/>
                      <w:shd w:val="clear"/>
                    </w:rPr>
                    <w:t>）</w:t>
                  </w:r>
                  <w:r>
                    <w:rPr>
                      <w:rFonts w:hint="eastAsia" w:ascii="Times New Roman" w:hAnsi="Times New Roman" w:cs="Times New Roman"/>
                      <w:color w:val="auto"/>
                      <w:szCs w:val="21"/>
                      <w:u w:val="none" w:color="auto"/>
                      <w:lang w:val="en-US" w:eastAsia="zh-CN"/>
                    </w:rPr>
                    <w:t>处理</w:t>
                  </w:r>
                  <w:r>
                    <w:rPr>
                      <w:rFonts w:ascii="Times New Roman" w:hAnsi="Times New Roman" w:cs="Times New Roman"/>
                      <w:color w:val="auto"/>
                      <w:szCs w:val="21"/>
                      <w:u w:val="none" w:color="auto"/>
                    </w:rPr>
                    <w:t>后回用于生产；生活污水：经化粪池处理后</w:t>
                  </w:r>
                  <w:r>
                    <w:rPr>
                      <w:rStyle w:val="30"/>
                      <w:rFonts w:ascii="Times New Roman" w:hAnsi="Times New Roman" w:cs="Times New Roman"/>
                      <w:color w:val="auto"/>
                      <w:u w:val="none" w:color="auto"/>
                    </w:rPr>
                    <w:t>用于周</w:t>
                  </w:r>
                  <w:r>
                    <w:rPr>
                      <w:rStyle w:val="30"/>
                      <w:rFonts w:hint="eastAsia" w:ascii="Times New Roman" w:hAnsi="Times New Roman" w:cs="Times New Roman"/>
                      <w:color w:val="auto"/>
                      <w:u w:val="none" w:color="auto"/>
                      <w:lang w:eastAsia="zh-CN"/>
                    </w:rPr>
                    <w:t>边菜地施肥</w:t>
                  </w:r>
                </w:p>
              </w:tc>
              <w:tc>
                <w:tcPr>
                  <w:tcW w:w="451" w:type="pct"/>
                  <w:vAlign w:val="center"/>
                </w:tcPr>
                <w:p w14:paraId="66829B3E">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6E20F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01362AEF">
                  <w:pPr>
                    <w:widowControl/>
                    <w:spacing w:line="240" w:lineRule="auto"/>
                    <w:jc w:val="left"/>
                    <w:rPr>
                      <w:rFonts w:ascii="Times New Roman" w:hAnsi="Times New Roman" w:cs="Times New Roman"/>
                      <w:b/>
                      <w:color w:val="auto"/>
                      <w:szCs w:val="21"/>
                      <w:u w:val="none" w:color="auto"/>
                    </w:rPr>
                  </w:pPr>
                </w:p>
              </w:tc>
              <w:tc>
                <w:tcPr>
                  <w:tcW w:w="623" w:type="pct"/>
                  <w:vAlign w:val="center"/>
                </w:tcPr>
                <w:p w14:paraId="6B6AF637">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初期雨水</w:t>
                  </w:r>
                </w:p>
              </w:tc>
              <w:tc>
                <w:tcPr>
                  <w:tcW w:w="3482" w:type="pct"/>
                  <w:vAlign w:val="center"/>
                </w:tcPr>
                <w:p w14:paraId="1118EC09">
                  <w:pPr>
                    <w:adjustRightInd w:val="0"/>
                    <w:snapToGrid w:val="0"/>
                    <w:spacing w:line="240" w:lineRule="auto"/>
                    <w:jc w:val="both"/>
                    <w:rPr>
                      <w:rFonts w:hint="default" w:ascii="Times New Roman" w:hAnsi="Times New Roman" w:cs="Times New Roman" w:eastAsiaTheme="minorEastAsia"/>
                      <w:color w:val="auto"/>
                      <w:szCs w:val="21"/>
                      <w:u w:val="none" w:color="auto"/>
                      <w:lang w:val="en-US" w:eastAsia="zh-CN"/>
                    </w:rPr>
                  </w:pPr>
                  <w:r>
                    <w:rPr>
                      <w:rFonts w:ascii="Times New Roman" w:hAnsi="Times New Roman" w:cs="Times New Roman"/>
                      <w:color w:val="auto"/>
                      <w:szCs w:val="21"/>
                      <w:u w:val="none" w:color="auto"/>
                    </w:rPr>
                    <w:t>设置导流沟及初期雨水收集沉淀池（兼事故池）</w:t>
                  </w:r>
                  <w:r>
                    <w:rPr>
                      <w:rFonts w:hint="eastAsia" w:ascii="Times New Roman" w:hAnsi="Times New Roman" w:cs="Times New Roman"/>
                      <w:color w:val="auto"/>
                      <w:szCs w:val="21"/>
                      <w:u w:val="none" w:color="auto"/>
                      <w:lang w:eastAsia="zh-CN"/>
                    </w:rPr>
                    <w:t>，</w:t>
                  </w:r>
                  <w:r>
                    <w:rPr>
                      <w:rFonts w:hint="eastAsia" w:ascii="Times New Roman" w:hAnsi="Times New Roman" w:cs="Times New Roman"/>
                      <w:color w:val="auto"/>
                      <w:szCs w:val="21"/>
                      <w:u w:val="none" w:color="auto"/>
                      <w:lang w:val="en-US" w:eastAsia="zh-CN"/>
                    </w:rPr>
                    <w:t>初期雨水经收集沉淀（3#）处理后回用于厂区洒水降尘，不外排</w:t>
                  </w:r>
                  <w:r>
                    <w:rPr>
                      <w:rFonts w:ascii="Times New Roman" w:hAnsi="Times New Roman" w:cs="Times New Roman"/>
                      <w:color w:val="auto"/>
                      <w:szCs w:val="21"/>
                      <w:u w:val="none" w:color="auto"/>
                    </w:rPr>
                    <w:t>。</w:t>
                  </w:r>
                  <w:r>
                    <w:rPr>
                      <w:rFonts w:ascii="Times New Roman" w:hAnsi="Times New Roman" w:cs="Times New Roman"/>
                      <w:color w:val="auto"/>
                      <w:szCs w:val="21"/>
                      <w:u w:val="none" w:color="auto"/>
                      <w:shd w:val="clear"/>
                    </w:rPr>
                    <w:t>初期雨水收集沉淀池（兼事故池）规格为</w:t>
                  </w:r>
                  <w:r>
                    <w:rPr>
                      <w:rFonts w:hint="eastAsia" w:ascii="Times New Roman" w:hAnsi="Times New Roman"/>
                      <w:color w:val="auto"/>
                      <w:sz w:val="21"/>
                      <w:szCs w:val="20"/>
                      <w:u w:val="none" w:color="auto"/>
                      <w:shd w:val="clear"/>
                      <w:lang w:val="en-US" w:eastAsia="zh-CN"/>
                    </w:rPr>
                    <w:t>6m</w:t>
                  </w:r>
                  <w:r>
                    <w:rPr>
                      <w:rFonts w:ascii="Times New Roman" w:hAnsi="Times New Roman"/>
                      <w:color w:val="auto"/>
                      <w:sz w:val="21"/>
                      <w:szCs w:val="20"/>
                      <w:u w:val="none" w:color="auto"/>
                    </w:rPr>
                    <w:t>×</w:t>
                  </w:r>
                  <w:r>
                    <w:rPr>
                      <w:rFonts w:hint="eastAsia" w:ascii="Times New Roman" w:hAnsi="Times New Roman"/>
                      <w:color w:val="auto"/>
                      <w:sz w:val="21"/>
                      <w:szCs w:val="20"/>
                      <w:u w:val="none" w:color="auto"/>
                      <w:lang w:val="en-US" w:eastAsia="zh-CN"/>
                    </w:rPr>
                    <w:t>4m</w:t>
                  </w:r>
                  <w:r>
                    <w:rPr>
                      <w:rFonts w:ascii="Times New Roman" w:hAnsi="Times New Roman"/>
                      <w:color w:val="auto"/>
                      <w:sz w:val="21"/>
                      <w:szCs w:val="20"/>
                      <w:u w:val="none" w:color="auto"/>
                    </w:rPr>
                    <w:t>×</w:t>
                  </w:r>
                  <w:r>
                    <w:rPr>
                      <w:rFonts w:hint="eastAsia" w:ascii="Times New Roman" w:hAnsi="Times New Roman"/>
                      <w:color w:val="auto"/>
                      <w:sz w:val="21"/>
                      <w:szCs w:val="20"/>
                      <w:u w:val="none" w:color="auto"/>
                      <w:lang w:val="en-US" w:eastAsia="zh-CN"/>
                    </w:rPr>
                    <w:t>3</w:t>
                  </w:r>
                  <w:r>
                    <w:rPr>
                      <w:rFonts w:ascii="Times New Roman" w:hAnsi="Times New Roman"/>
                      <w:color w:val="auto"/>
                      <w:sz w:val="21"/>
                      <w:szCs w:val="20"/>
                      <w:u w:val="none" w:color="auto"/>
                    </w:rPr>
                    <w:t>m（</w:t>
                  </w:r>
                  <w:r>
                    <w:rPr>
                      <w:rFonts w:hint="eastAsia" w:ascii="Times New Roman" w:hAnsi="Times New Roman"/>
                      <w:color w:val="auto"/>
                      <w:sz w:val="21"/>
                      <w:szCs w:val="20"/>
                      <w:u w:val="none" w:color="auto"/>
                      <w:lang w:val="en-US" w:eastAsia="zh-CN"/>
                    </w:rPr>
                    <w:t>容积72</w:t>
                  </w:r>
                  <w:r>
                    <w:rPr>
                      <w:rFonts w:ascii="Times New Roman" w:hAnsi="Times New Roman"/>
                      <w:color w:val="auto"/>
                      <w:sz w:val="21"/>
                      <w:szCs w:val="20"/>
                      <w:u w:val="none" w:color="auto"/>
                    </w:rPr>
                    <w:t>m</w:t>
                  </w:r>
                  <w:r>
                    <w:rPr>
                      <w:rFonts w:ascii="Times New Roman" w:hAnsi="Times New Roman"/>
                      <w:color w:val="auto"/>
                      <w:sz w:val="21"/>
                      <w:szCs w:val="20"/>
                      <w:u w:val="none" w:color="auto"/>
                      <w:vertAlign w:val="superscript"/>
                    </w:rPr>
                    <w:t>3</w:t>
                  </w:r>
                  <w:r>
                    <w:rPr>
                      <w:rFonts w:hint="eastAsia" w:ascii="Times New Roman" w:hAnsi="Times New Roman"/>
                      <w:color w:val="auto"/>
                      <w:sz w:val="21"/>
                      <w:szCs w:val="20"/>
                      <w:u w:val="none" w:color="auto"/>
                      <w:lang w:eastAsia="zh-CN"/>
                    </w:rPr>
                    <w:t>，</w:t>
                  </w:r>
                  <w:r>
                    <w:rPr>
                      <w:rFonts w:hint="eastAsia" w:ascii="Times New Roman" w:hAnsi="Times New Roman"/>
                      <w:color w:val="auto"/>
                      <w:sz w:val="21"/>
                      <w:szCs w:val="20"/>
                      <w:u w:val="none" w:color="auto"/>
                      <w:lang w:val="en-US" w:eastAsia="zh-CN"/>
                    </w:rPr>
                    <w:t>位于厂区东北角</w:t>
                  </w: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w:t>
                  </w:r>
                </w:p>
              </w:tc>
              <w:tc>
                <w:tcPr>
                  <w:tcW w:w="451" w:type="pct"/>
                  <w:vAlign w:val="center"/>
                </w:tcPr>
                <w:p w14:paraId="2FDA8991">
                  <w:pPr>
                    <w:adjustRightInd w:val="0"/>
                    <w:snapToGrid w:val="0"/>
                    <w:spacing w:line="240" w:lineRule="auto"/>
                    <w:jc w:val="center"/>
                    <w:rPr>
                      <w:rFonts w:ascii="Times New Roman" w:hAnsi="Times New Roman" w:cs="Times New Roman"/>
                      <w:color w:val="auto"/>
                      <w:szCs w:val="21"/>
                      <w:u w:val="none" w:color="auto"/>
                      <w:shd w:val="clear" w:color="auto" w:fill="FFFFFF"/>
                    </w:rPr>
                  </w:pPr>
                  <w:r>
                    <w:rPr>
                      <w:rFonts w:ascii="Times New Roman" w:hAnsi="Times New Roman" w:cs="Times New Roman"/>
                      <w:color w:val="auto"/>
                      <w:szCs w:val="21"/>
                      <w:u w:val="none" w:color="auto"/>
                      <w:shd w:val="clear" w:color="auto" w:fill="FFFFFF"/>
                    </w:rPr>
                    <w:t>新建</w:t>
                  </w:r>
                </w:p>
              </w:tc>
            </w:tr>
            <w:tr w14:paraId="4154F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1C1B1DA5">
                  <w:pPr>
                    <w:widowControl/>
                    <w:spacing w:line="240" w:lineRule="auto"/>
                    <w:jc w:val="left"/>
                    <w:rPr>
                      <w:rFonts w:ascii="Times New Roman" w:hAnsi="Times New Roman" w:cs="Times New Roman"/>
                      <w:b/>
                      <w:color w:val="auto"/>
                      <w:szCs w:val="21"/>
                      <w:u w:val="none" w:color="auto"/>
                    </w:rPr>
                  </w:pPr>
                </w:p>
              </w:tc>
              <w:tc>
                <w:tcPr>
                  <w:tcW w:w="623" w:type="pct"/>
                  <w:vAlign w:val="center"/>
                </w:tcPr>
                <w:p w14:paraId="610C4DFF">
                  <w:pPr>
                    <w:adjustRightInd w:val="0"/>
                    <w:snapToGrid w:val="0"/>
                    <w:spacing w:line="240" w:lineRule="auto"/>
                    <w:jc w:val="center"/>
                    <w:rPr>
                      <w:rFonts w:ascii="Times New Roman" w:hAnsi="Times New Roman" w:cs="Times New Roman"/>
                      <w:color w:val="auto"/>
                      <w:szCs w:val="21"/>
                      <w:highlight w:val="yellow"/>
                      <w:u w:val="none" w:color="auto"/>
                    </w:rPr>
                  </w:pPr>
                  <w:r>
                    <w:rPr>
                      <w:rFonts w:ascii="Times New Roman" w:hAnsi="Times New Roman" w:cs="Times New Roman"/>
                      <w:color w:val="auto"/>
                      <w:szCs w:val="21"/>
                      <w:u w:val="none" w:color="auto"/>
                    </w:rPr>
                    <w:t>废气</w:t>
                  </w:r>
                </w:p>
              </w:tc>
              <w:tc>
                <w:tcPr>
                  <w:tcW w:w="3482" w:type="pct"/>
                  <w:vAlign w:val="center"/>
                </w:tcPr>
                <w:p w14:paraId="5BAA82FE">
                  <w:pPr>
                    <w:adjustRightInd w:val="0"/>
                    <w:snapToGrid w:val="0"/>
                    <w:spacing w:line="240" w:lineRule="auto"/>
                    <w:jc w:val="both"/>
                    <w:rPr>
                      <w:rFonts w:ascii="Times New Roman" w:hAnsi="Times New Roman" w:cs="Times New Roman"/>
                      <w:color w:val="auto"/>
                      <w:szCs w:val="21"/>
                      <w:u w:val="none" w:color="auto"/>
                    </w:rPr>
                  </w:pPr>
                  <w:r>
                    <w:rPr>
                      <w:rFonts w:ascii="Times New Roman" w:hAnsi="Times New Roman" w:cs="Times New Roman"/>
                      <w:color w:val="auto"/>
                      <w:szCs w:val="21"/>
                      <w:u w:val="none" w:color="auto"/>
                    </w:rPr>
                    <w:t>筒仓粉尘</w:t>
                  </w:r>
                  <w:r>
                    <w:rPr>
                      <w:rFonts w:hint="eastAsia" w:ascii="Times New Roman" w:hAnsi="Times New Roman" w:cs="Times New Roman"/>
                      <w:color w:val="auto"/>
                      <w:szCs w:val="21"/>
                      <w:u w:val="none" w:color="auto"/>
                      <w:lang w:eastAsia="zh-CN"/>
                    </w:rPr>
                    <w:t>：</w:t>
                  </w:r>
                  <w:r>
                    <w:rPr>
                      <w:rFonts w:ascii="Times New Roman" w:hAnsi="Times New Roman" w:eastAsia="宋体" w:cs="Times New Roman"/>
                      <w:color w:val="auto"/>
                      <w:szCs w:val="21"/>
                      <w:u w:val="none" w:color="auto"/>
                    </w:rPr>
                    <w:t>经筒仓自带的</w:t>
                  </w:r>
                  <w:r>
                    <w:rPr>
                      <w:rFonts w:hint="eastAsia" w:ascii="Times New Roman" w:hAnsi="Times New Roman" w:eastAsia="宋体" w:cs="Times New Roman"/>
                      <w:color w:val="auto"/>
                      <w:szCs w:val="21"/>
                      <w:u w:val="none" w:color="auto"/>
                      <w:lang w:eastAsia="zh-CN"/>
                    </w:rPr>
                    <w:t>脉冲布袋除尘器</w:t>
                  </w:r>
                  <w:r>
                    <w:rPr>
                      <w:rFonts w:ascii="Times New Roman" w:hAnsi="Times New Roman" w:eastAsia="宋体" w:cs="Times New Roman"/>
                      <w:color w:val="auto"/>
                      <w:szCs w:val="21"/>
                      <w:u w:val="none" w:color="auto"/>
                    </w:rPr>
                    <w:t>处理后在搅拌楼内自然沉降</w:t>
                  </w:r>
                  <w:r>
                    <w:rPr>
                      <w:rFonts w:ascii="Times New Roman" w:hAnsi="Times New Roman" w:cs="Times New Roman"/>
                      <w:color w:val="auto"/>
                      <w:szCs w:val="21"/>
                      <w:u w:val="none" w:color="auto"/>
                    </w:rPr>
                    <w:t>；</w:t>
                  </w:r>
                </w:p>
                <w:p w14:paraId="4C68EFDB">
                  <w:pPr>
                    <w:adjustRightInd w:val="0"/>
                    <w:snapToGrid w:val="0"/>
                    <w:spacing w:line="240" w:lineRule="auto"/>
                    <w:jc w:val="both"/>
                    <w:rPr>
                      <w:rFonts w:hint="eastAsia" w:ascii="Times New Roman" w:hAnsi="Times New Roman" w:eastAsia="宋体" w:cs="Times New Roman"/>
                      <w:color w:val="auto"/>
                      <w:szCs w:val="21"/>
                      <w:u w:val="none" w:color="auto"/>
                      <w:lang w:val="en-US" w:eastAsia="zh-CN"/>
                    </w:rPr>
                  </w:pPr>
                  <w:r>
                    <w:rPr>
                      <w:rFonts w:ascii="Times New Roman" w:hAnsi="Times New Roman" w:cs="Times New Roman"/>
                      <w:color w:val="auto"/>
                      <w:szCs w:val="21"/>
                      <w:u w:val="none" w:color="auto"/>
                    </w:rPr>
                    <w:t>投料及搅拌粉尘：</w:t>
                  </w:r>
                  <w:r>
                    <w:rPr>
                      <w:rFonts w:hint="eastAsia" w:ascii="Times New Roman" w:hAnsi="Times New Roman" w:eastAsia="宋体" w:cs="Times New Roman"/>
                      <w:color w:val="auto"/>
                      <w:szCs w:val="21"/>
                      <w:u w:val="none" w:color="auto"/>
                    </w:rPr>
                    <w:t>设置封闭式搅拌楼，粉尘</w:t>
                  </w:r>
                  <w:r>
                    <w:rPr>
                      <w:rFonts w:ascii="Times New Roman" w:hAnsi="Times New Roman" w:eastAsia="宋体" w:cs="Times New Roman"/>
                      <w:color w:val="auto"/>
                      <w:szCs w:val="21"/>
                      <w:u w:val="none" w:color="auto"/>
                    </w:rPr>
                    <w:t>经搅拌主机自带的</w:t>
                  </w:r>
                  <w:r>
                    <w:rPr>
                      <w:color w:val="auto"/>
                      <w:u w:val="none" w:color="auto"/>
                    </w:rPr>
                    <w:fldChar w:fldCharType="begin"/>
                  </w:r>
                  <w:r>
                    <w:rPr>
                      <w:color w:val="auto"/>
                      <w:u w:val="none" w:color="auto"/>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auto"/>
                      <w:u w:val="none" w:color="auto"/>
                    </w:rPr>
                    <w:fldChar w:fldCharType="separate"/>
                  </w:r>
                  <w:r>
                    <w:rPr>
                      <w:rFonts w:ascii="Times New Roman" w:hAnsi="Times New Roman" w:eastAsia="宋体" w:cs="Times New Roman"/>
                      <w:color w:val="auto"/>
                      <w:szCs w:val="21"/>
                      <w:u w:val="none" w:color="auto"/>
                    </w:rPr>
                    <w:t>脉冲布袋除尘器</w:t>
                  </w:r>
                  <w:r>
                    <w:rPr>
                      <w:rFonts w:ascii="Times New Roman" w:hAnsi="Times New Roman" w:eastAsia="宋体" w:cs="Times New Roman"/>
                      <w:color w:val="auto"/>
                      <w:szCs w:val="21"/>
                      <w:u w:val="none" w:color="auto"/>
                    </w:rPr>
                    <w:fldChar w:fldCharType="end"/>
                  </w:r>
                  <w:r>
                    <w:rPr>
                      <w:rFonts w:ascii="Times New Roman" w:hAnsi="Times New Roman" w:eastAsia="宋体" w:cs="Times New Roman"/>
                      <w:color w:val="auto"/>
                      <w:szCs w:val="21"/>
                      <w:u w:val="none" w:color="auto"/>
                    </w:rPr>
                    <w:t>处理后在搅拌楼内自然沉降</w:t>
                  </w:r>
                  <w:r>
                    <w:rPr>
                      <w:rFonts w:hint="eastAsia" w:ascii="Times New Roman" w:hAnsi="Times New Roman" w:eastAsia="宋体" w:cs="Times New Roman"/>
                      <w:color w:val="auto"/>
                      <w:szCs w:val="21"/>
                      <w:u w:val="none" w:color="auto"/>
                      <w:lang w:val="en-US" w:eastAsia="zh-CN"/>
                    </w:rPr>
                    <w:t>；</w:t>
                  </w:r>
                </w:p>
                <w:p w14:paraId="3B8C26C5">
                  <w:pPr>
                    <w:adjustRightInd w:val="0"/>
                    <w:snapToGrid w:val="0"/>
                    <w:spacing w:line="240" w:lineRule="auto"/>
                    <w:jc w:val="both"/>
                    <w:rPr>
                      <w:rFonts w:hint="eastAsia"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原料堆存扬</w:t>
                  </w:r>
                  <w:r>
                    <w:rPr>
                      <w:rFonts w:ascii="Times New Roman" w:hAnsi="Times New Roman" w:cs="Times New Roman"/>
                      <w:color w:val="auto"/>
                      <w:szCs w:val="21"/>
                      <w:u w:val="none" w:color="auto"/>
                    </w:rPr>
                    <w:t>尘：全封闭</w:t>
                  </w:r>
                  <w:r>
                    <w:rPr>
                      <w:rFonts w:hint="eastAsia" w:ascii="Times New Roman" w:hAnsi="Times New Roman" w:cs="Times New Roman"/>
                      <w:color w:val="auto"/>
                      <w:szCs w:val="21"/>
                      <w:u w:val="none" w:color="auto"/>
                      <w:lang w:val="en-US" w:eastAsia="zh-CN"/>
                    </w:rPr>
                    <w:t>厂房（</w:t>
                  </w:r>
                  <w:r>
                    <w:rPr>
                      <w:rFonts w:ascii="Times New Roman" w:hAnsi="Times New Roman" w:cs="Times New Roman"/>
                      <w:color w:val="auto"/>
                      <w:szCs w:val="21"/>
                      <w:u w:val="none" w:color="auto"/>
                    </w:rPr>
                    <w:t>四面围挡并设置顶棚</w:t>
                  </w:r>
                  <w:r>
                    <w:rPr>
                      <w:rFonts w:hint="eastAsia" w:ascii="Times New Roman" w:hAnsi="Times New Roman" w:cs="Times New Roman"/>
                      <w:color w:val="auto"/>
                      <w:szCs w:val="21"/>
                      <w:u w:val="none" w:color="auto"/>
                      <w:lang w:eastAsia="zh-CN"/>
                    </w:rPr>
                    <w:t>）</w:t>
                  </w:r>
                  <w:r>
                    <w:rPr>
                      <w:rFonts w:ascii="Times New Roman" w:hAnsi="Times New Roman" w:cs="Times New Roman"/>
                      <w:color w:val="auto"/>
                      <w:szCs w:val="21"/>
                      <w:u w:val="none" w:color="auto"/>
                    </w:rPr>
                    <w:t>，全封闭的皮带运输机</w:t>
                  </w:r>
                  <w:r>
                    <w:rPr>
                      <w:rFonts w:hint="eastAsia" w:ascii="Times New Roman" w:hAnsi="Times New Roman" w:cs="Times New Roman"/>
                      <w:color w:val="auto"/>
                      <w:szCs w:val="21"/>
                      <w:u w:val="none" w:color="auto"/>
                      <w:lang w:eastAsia="zh-CN"/>
                    </w:rPr>
                    <w:t>，</w:t>
                  </w:r>
                  <w:r>
                    <w:rPr>
                      <w:rFonts w:hint="eastAsia" w:ascii="Times New Roman" w:hAnsi="Times New Roman" w:cs="Times New Roman"/>
                      <w:color w:val="auto"/>
                      <w:szCs w:val="21"/>
                      <w:u w:val="none" w:color="auto"/>
                      <w:lang w:val="en-US" w:eastAsia="zh-CN"/>
                    </w:rPr>
                    <w:t>雾化喷淋除尘</w:t>
                  </w: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洒水降尘；</w:t>
                  </w:r>
                </w:p>
                <w:p w14:paraId="336B1EA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Cs w:val="21"/>
                      <w:u w:val="none" w:color="auto"/>
                      <w:lang w:val="en-US" w:eastAsia="zh-CN"/>
                    </w:rPr>
                  </w:pPr>
                  <w:r>
                    <w:rPr>
                      <w:rFonts w:ascii="Times New Roman" w:hAnsi="Times New Roman" w:eastAsia="宋体" w:cs="Times New Roman"/>
                      <w:color w:val="auto"/>
                      <w:szCs w:val="21"/>
                      <w:u w:val="none" w:color="auto"/>
                    </w:rPr>
                    <w:t>车辆运输</w:t>
                  </w:r>
                  <w:r>
                    <w:rPr>
                      <w:rFonts w:hint="eastAsia" w:ascii="Times New Roman" w:hAnsi="Times New Roman" w:eastAsia="宋体" w:cs="Times New Roman"/>
                      <w:color w:val="auto"/>
                      <w:szCs w:val="21"/>
                      <w:u w:val="none" w:color="auto"/>
                      <w:lang w:val="en-US" w:eastAsia="zh-CN"/>
                    </w:rPr>
                    <w:t>扬尘：</w:t>
                  </w:r>
                  <w:r>
                    <w:rPr>
                      <w:rFonts w:hint="eastAsia" w:ascii="Times New Roman" w:hAnsi="Times New Roman" w:eastAsia="宋体" w:cs="Times New Roman"/>
                      <w:i w:val="0"/>
                      <w:iCs w:val="0"/>
                      <w:color w:val="auto"/>
                      <w:kern w:val="0"/>
                      <w:sz w:val="21"/>
                      <w:szCs w:val="21"/>
                      <w:u w:val="none" w:color="auto"/>
                      <w:lang w:val="en-US" w:eastAsia="zh-CN" w:bidi="ar"/>
                    </w:rPr>
                    <w:t>生产车间、入厂道路进行水泥硬化；厂区入口设置洗车平台，车辆进出时对轮胎进行冲洗；运输车辆顶端设篷布遮盖，限制车速；定期对路面进行人工清扫并洒水降尘等。</w:t>
                  </w:r>
                </w:p>
              </w:tc>
              <w:tc>
                <w:tcPr>
                  <w:tcW w:w="451" w:type="pct"/>
                  <w:vAlign w:val="center"/>
                </w:tcPr>
                <w:p w14:paraId="26F5A25B">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新建</w:t>
                  </w:r>
                </w:p>
              </w:tc>
            </w:tr>
            <w:tr w14:paraId="288A7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4EDB0E43">
                  <w:pPr>
                    <w:widowControl/>
                    <w:spacing w:line="240" w:lineRule="auto"/>
                    <w:jc w:val="left"/>
                    <w:rPr>
                      <w:rFonts w:ascii="Times New Roman" w:hAnsi="Times New Roman" w:cs="Times New Roman"/>
                      <w:b/>
                      <w:color w:val="auto"/>
                      <w:szCs w:val="21"/>
                      <w:u w:val="none" w:color="auto"/>
                    </w:rPr>
                  </w:pPr>
                </w:p>
              </w:tc>
              <w:tc>
                <w:tcPr>
                  <w:tcW w:w="623" w:type="pct"/>
                  <w:vAlign w:val="center"/>
                </w:tcPr>
                <w:p w14:paraId="10836B34">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噪声</w:t>
                  </w:r>
                </w:p>
              </w:tc>
              <w:tc>
                <w:tcPr>
                  <w:tcW w:w="3482" w:type="pct"/>
                  <w:vAlign w:val="center"/>
                </w:tcPr>
                <w:p w14:paraId="66FF1CDB">
                  <w:pPr>
                    <w:adjustRightInd w:val="0"/>
                    <w:snapToGrid w:val="0"/>
                    <w:spacing w:line="240" w:lineRule="auto"/>
                    <w:jc w:val="both"/>
                    <w:rPr>
                      <w:rFonts w:hint="eastAsia" w:ascii="Times New Roman" w:hAnsi="Times New Roman" w:cs="Times New Roman" w:eastAsiaTheme="minorEastAsia"/>
                      <w:color w:val="auto"/>
                      <w:szCs w:val="21"/>
                      <w:u w:val="none" w:color="auto"/>
                      <w:lang w:eastAsia="zh-CN"/>
                    </w:rPr>
                  </w:pPr>
                  <w:r>
                    <w:rPr>
                      <w:rFonts w:hint="default" w:ascii="Times New Roman" w:hAnsi="Times New Roman" w:eastAsia="宋体" w:cs="Times New Roman"/>
                      <w:color w:val="auto"/>
                      <w:sz w:val="21"/>
                      <w:szCs w:val="21"/>
                      <w:u w:val="none" w:color="auto"/>
                    </w:rPr>
                    <w:t>合理布局</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选用低噪声设备、基础减振</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厂房</w:t>
                  </w:r>
                  <w:r>
                    <w:rPr>
                      <w:rFonts w:hint="default" w:ascii="Times New Roman" w:hAnsi="Times New Roman" w:eastAsia="宋体" w:cs="Times New Roman"/>
                      <w:color w:val="auto"/>
                      <w:sz w:val="21"/>
                      <w:szCs w:val="21"/>
                      <w:u w:val="none" w:color="auto"/>
                    </w:rPr>
                    <w:t>隔声</w:t>
                  </w:r>
                  <w:r>
                    <w:rPr>
                      <w:rFonts w:hint="eastAsia" w:ascii="Times New Roman" w:hAnsi="Times New Roman" w:eastAsia="宋体" w:cs="Times New Roman"/>
                      <w:color w:val="auto"/>
                      <w:szCs w:val="21"/>
                      <w:u w:val="none" w:color="auto"/>
                      <w:lang w:eastAsia="zh-CN"/>
                    </w:rPr>
                    <w:t>、</w:t>
                  </w:r>
                  <w:r>
                    <w:rPr>
                      <w:rFonts w:hint="eastAsia" w:ascii="Times New Roman" w:hAnsi="Times New Roman" w:cs="Times New Roman"/>
                      <w:color w:val="auto"/>
                      <w:szCs w:val="21"/>
                      <w:u w:val="none" w:color="auto"/>
                      <w:lang w:val="en-US" w:eastAsia="zh-CN"/>
                    </w:rPr>
                    <w:t>限速</w:t>
                  </w:r>
                  <w:r>
                    <w:rPr>
                      <w:rFonts w:ascii="Times New Roman" w:hAnsi="Times New Roman" w:cs="Times New Roman"/>
                      <w:color w:val="auto"/>
                      <w:szCs w:val="21"/>
                      <w:u w:val="none" w:color="auto"/>
                    </w:rPr>
                    <w:t>禁</w:t>
                  </w:r>
                  <w:r>
                    <w:rPr>
                      <w:rFonts w:hint="eastAsia" w:ascii="Times New Roman" w:hAnsi="Times New Roman" w:cs="Times New Roman"/>
                      <w:color w:val="auto"/>
                      <w:szCs w:val="21"/>
                      <w:u w:val="none" w:color="auto"/>
                      <w:lang w:val="en-US" w:eastAsia="zh-CN"/>
                    </w:rPr>
                    <w:t>鸣，</w:t>
                  </w:r>
                  <w:r>
                    <w:rPr>
                      <w:rFonts w:ascii="Times New Roman" w:hAnsi="Times New Roman" w:cs="Times New Roman"/>
                      <w:color w:val="auto"/>
                      <w:szCs w:val="21"/>
                      <w:u w:val="none" w:color="auto"/>
                    </w:rPr>
                    <w:t>加强管理</w:t>
                  </w:r>
                  <w:r>
                    <w:rPr>
                      <w:rFonts w:hint="eastAsia" w:ascii="Times New Roman" w:hAnsi="Times New Roman" w:cs="Times New Roman"/>
                      <w:color w:val="auto"/>
                      <w:szCs w:val="21"/>
                      <w:u w:val="none" w:color="auto"/>
                      <w:lang w:eastAsia="zh-CN"/>
                    </w:rPr>
                    <w:t>。</w:t>
                  </w:r>
                </w:p>
              </w:tc>
              <w:tc>
                <w:tcPr>
                  <w:tcW w:w="451" w:type="pct"/>
                  <w:vAlign w:val="center"/>
                </w:tcPr>
                <w:p w14:paraId="0CDE8F36">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新建</w:t>
                  </w:r>
                </w:p>
              </w:tc>
            </w:tr>
            <w:tr w14:paraId="6D93C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441" w:type="pct"/>
                  <w:vMerge w:val="continue"/>
                  <w:vAlign w:val="center"/>
                </w:tcPr>
                <w:p w14:paraId="079AC7AE">
                  <w:pPr>
                    <w:widowControl/>
                    <w:spacing w:line="240" w:lineRule="auto"/>
                    <w:jc w:val="left"/>
                    <w:rPr>
                      <w:rFonts w:ascii="Times New Roman" w:hAnsi="Times New Roman" w:cs="Times New Roman"/>
                      <w:b/>
                      <w:color w:val="auto"/>
                      <w:szCs w:val="21"/>
                      <w:u w:val="none" w:color="auto"/>
                    </w:rPr>
                  </w:pPr>
                </w:p>
              </w:tc>
              <w:tc>
                <w:tcPr>
                  <w:tcW w:w="623" w:type="pct"/>
                  <w:vAlign w:val="center"/>
                </w:tcPr>
                <w:p w14:paraId="51A4AA16">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固废</w:t>
                  </w:r>
                </w:p>
              </w:tc>
              <w:tc>
                <w:tcPr>
                  <w:tcW w:w="3482" w:type="pct"/>
                  <w:vAlign w:val="center"/>
                </w:tcPr>
                <w:p w14:paraId="2DD20B7A">
                  <w:pPr>
                    <w:adjustRightInd w:val="0"/>
                    <w:snapToGrid w:val="0"/>
                    <w:spacing w:line="240" w:lineRule="auto"/>
                    <w:jc w:val="both"/>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一般工业固废</w:t>
                  </w:r>
                  <w:r>
                    <w:rPr>
                      <w:rFonts w:ascii="Times New Roman" w:hAnsi="Times New Roman" w:cs="Times New Roman"/>
                      <w:color w:val="auto"/>
                      <w:szCs w:val="21"/>
                      <w:u w:val="none" w:color="auto"/>
                    </w:rPr>
                    <w:t>暂存于</w:t>
                  </w:r>
                  <w:r>
                    <w:rPr>
                      <w:rFonts w:hint="eastAsia" w:ascii="Times New Roman" w:hAnsi="Times New Roman" w:cs="Times New Roman"/>
                      <w:color w:val="auto"/>
                      <w:szCs w:val="21"/>
                      <w:u w:val="none" w:color="auto"/>
                      <w:lang w:val="en-US" w:eastAsia="zh-CN"/>
                    </w:rPr>
                    <w:t>集砂区</w:t>
                  </w:r>
                  <w:r>
                    <w:rPr>
                      <w:rFonts w:hint="eastAsia" w:ascii="Times New Roman" w:hAnsi="Times New Roman" w:cs="Times New Roman"/>
                      <w:color w:val="auto"/>
                      <w:szCs w:val="21"/>
                      <w:u w:val="none" w:color="auto"/>
                      <w:lang w:eastAsia="zh-CN"/>
                    </w:rPr>
                    <w:t>（</w:t>
                  </w:r>
                  <w:r>
                    <w:rPr>
                      <w:rFonts w:hint="eastAsia" w:ascii="Times New Roman" w:hAnsi="Times New Roman" w:cs="Times New Roman"/>
                      <w:color w:val="auto"/>
                      <w:szCs w:val="21"/>
                      <w:u w:val="none" w:color="auto"/>
                      <w:lang w:val="en-US" w:eastAsia="zh-CN"/>
                    </w:rPr>
                    <w:t>10</w:t>
                  </w:r>
                  <w:r>
                    <w:rPr>
                      <w:rFonts w:ascii="Times New Roman" w:hAnsi="Times New Roman" w:cs="Times New Roman"/>
                      <w:color w:val="auto"/>
                      <w:szCs w:val="21"/>
                      <w:u w:val="none" w:color="auto"/>
                    </w:rPr>
                    <w:t>m</w:t>
                  </w:r>
                  <w:r>
                    <w:rPr>
                      <w:rFonts w:ascii="Times New Roman" w:hAnsi="Times New Roman" w:cs="Times New Roman"/>
                      <w:color w:val="auto"/>
                      <w:szCs w:val="21"/>
                      <w:u w:val="none" w:color="auto"/>
                      <w:vertAlign w:val="superscript"/>
                    </w:rPr>
                    <w:t>2</w:t>
                  </w: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兼作一般固废仓库</w:t>
                  </w:r>
                  <w:r>
                    <w:rPr>
                      <w:rFonts w:hint="eastAsia" w:ascii="Times New Roman" w:hAnsi="Times New Roman" w:cs="Times New Roman"/>
                      <w:color w:val="auto"/>
                      <w:szCs w:val="21"/>
                      <w:u w:val="none" w:color="auto"/>
                      <w:lang w:eastAsia="zh-CN"/>
                    </w:rPr>
                    <w:t>）</w:t>
                  </w:r>
                  <w:r>
                    <w:rPr>
                      <w:rFonts w:ascii="Times New Roman" w:hAnsi="Times New Roman" w:cs="Times New Roman"/>
                      <w:color w:val="auto"/>
                      <w:szCs w:val="21"/>
                      <w:u w:val="none" w:color="auto"/>
                    </w:rPr>
                    <w:t>，回用于生产；办公生活垃圾实行集中</w:t>
                  </w:r>
                  <w:r>
                    <w:rPr>
                      <w:rFonts w:hint="eastAsia" w:ascii="Times New Roman" w:hAnsi="Times New Roman" w:cs="Times New Roman"/>
                      <w:color w:val="auto"/>
                      <w:szCs w:val="21"/>
                      <w:u w:val="none" w:color="auto"/>
                      <w:lang w:val="en-US" w:eastAsia="zh-CN"/>
                    </w:rPr>
                    <w:t>收集</w:t>
                  </w: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委托</w:t>
                  </w:r>
                  <w:r>
                    <w:rPr>
                      <w:rFonts w:ascii="Times New Roman" w:hAnsi="Times New Roman" w:cs="Times New Roman"/>
                      <w:color w:val="auto"/>
                      <w:szCs w:val="21"/>
                      <w:u w:val="none" w:color="auto"/>
                    </w:rPr>
                    <w:t>环卫部门统一</w:t>
                  </w:r>
                  <w:r>
                    <w:rPr>
                      <w:rFonts w:hint="eastAsia" w:ascii="Times New Roman" w:hAnsi="Times New Roman" w:cs="Times New Roman"/>
                      <w:color w:val="auto"/>
                      <w:szCs w:val="21"/>
                      <w:u w:val="none" w:color="auto"/>
                      <w:lang w:val="en-US" w:eastAsia="zh-CN"/>
                    </w:rPr>
                    <w:t>清运</w:t>
                  </w:r>
                  <w:r>
                    <w:rPr>
                      <w:rFonts w:ascii="Times New Roman" w:hAnsi="Times New Roman" w:cs="Times New Roman"/>
                      <w:color w:val="auto"/>
                      <w:szCs w:val="21"/>
                      <w:u w:val="none" w:color="auto"/>
                    </w:rPr>
                    <w:t>；危废暂存于危废暂存间</w:t>
                  </w:r>
                  <w:r>
                    <w:rPr>
                      <w:rFonts w:hint="eastAsia" w:ascii="Times New Roman" w:hAnsi="Times New Roman" w:cs="Times New Roman"/>
                      <w:color w:val="auto"/>
                      <w:szCs w:val="21"/>
                      <w:u w:val="none" w:color="auto"/>
                      <w:lang w:eastAsia="zh-CN"/>
                    </w:rPr>
                    <w:t>（</w:t>
                  </w:r>
                  <w:r>
                    <w:rPr>
                      <w:rFonts w:ascii="Times New Roman" w:hAnsi="Times New Roman" w:cs="Times New Roman"/>
                      <w:color w:val="auto"/>
                      <w:szCs w:val="21"/>
                      <w:u w:val="none" w:color="auto"/>
                    </w:rPr>
                    <w:t>位于综合楼内，面积约4m</w:t>
                  </w:r>
                  <w:r>
                    <w:rPr>
                      <w:rFonts w:ascii="Times New Roman" w:hAnsi="Times New Roman" w:cs="Times New Roman"/>
                      <w:color w:val="auto"/>
                      <w:szCs w:val="21"/>
                      <w:u w:val="none" w:color="auto"/>
                      <w:vertAlign w:val="superscript"/>
                    </w:rPr>
                    <w:t>2</w:t>
                  </w: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eastAsia="zh-CN"/>
                    </w:rPr>
                    <w:t>），</w:t>
                  </w:r>
                  <w:r>
                    <w:rPr>
                      <w:rFonts w:ascii="Times New Roman" w:hAnsi="Times New Roman" w:cs="Times New Roman"/>
                      <w:color w:val="auto"/>
                      <w:szCs w:val="21"/>
                      <w:u w:val="none" w:color="auto"/>
                    </w:rPr>
                    <w:t>定期交由资质单位处置</w:t>
                  </w:r>
                </w:p>
              </w:tc>
              <w:tc>
                <w:tcPr>
                  <w:tcW w:w="451" w:type="pct"/>
                  <w:vAlign w:val="center"/>
                </w:tcPr>
                <w:p w14:paraId="0CDF0569">
                  <w:pPr>
                    <w:adjustRightInd w:val="0"/>
                    <w:snapToGrid w:val="0"/>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新建</w:t>
                  </w:r>
                </w:p>
              </w:tc>
            </w:tr>
          </w:tbl>
          <w:p w14:paraId="7D99D6C5">
            <w:pPr>
              <w:spacing w:line="360" w:lineRule="auto"/>
              <w:ind w:right="105" w:rightChars="50"/>
              <w:jc w:val="left"/>
              <w:rPr>
                <w:rFonts w:ascii="Times New Roman" w:hAnsi="Times New Roman" w:cs="Times New Roman"/>
                <w:b/>
                <w:color w:val="auto"/>
                <w:sz w:val="24"/>
                <w:u w:val="none" w:color="auto"/>
              </w:rPr>
            </w:pPr>
            <w:r>
              <w:rPr>
                <w:rFonts w:hint="eastAsia" w:ascii="Times New Roman" w:hAnsi="Times New Roman" w:cs="Times New Roman"/>
                <w:b/>
                <w:color w:val="auto"/>
                <w:sz w:val="24"/>
                <w:u w:val="none" w:color="auto"/>
                <w:lang w:val="en-US" w:eastAsia="zh-CN"/>
              </w:rPr>
              <w:t>4</w:t>
            </w:r>
            <w:r>
              <w:rPr>
                <w:rFonts w:ascii="Times New Roman" w:hAnsi="Times New Roman" w:cs="Times New Roman"/>
                <w:b/>
                <w:color w:val="auto"/>
                <w:sz w:val="24"/>
                <w:u w:val="none" w:color="auto"/>
              </w:rPr>
              <w:t>、产品方案</w:t>
            </w:r>
          </w:p>
          <w:p w14:paraId="4FC11CF6">
            <w:pPr>
              <w:spacing w:line="360" w:lineRule="auto"/>
              <w:ind w:firstLine="480" w:firstLineChars="200"/>
              <w:jc w:val="left"/>
              <w:rPr>
                <w:rFonts w:ascii="Times New Roman" w:hAnsi="Times New Roman" w:cs="Times New Roman"/>
                <w:bCs/>
                <w:color w:val="auto"/>
                <w:sz w:val="24"/>
                <w:u w:val="none" w:color="auto"/>
              </w:rPr>
            </w:pPr>
            <w:r>
              <w:rPr>
                <w:rFonts w:ascii="Times New Roman" w:hAnsi="Times New Roman" w:cs="Times New Roman"/>
                <w:bCs/>
                <w:color w:val="auto"/>
                <w:sz w:val="24"/>
                <w:u w:val="none" w:color="auto"/>
              </w:rPr>
              <w:t>项目</w:t>
            </w:r>
            <w:r>
              <w:rPr>
                <w:rFonts w:ascii="Times New Roman" w:hAnsi="Times New Roman" w:cs="Times New Roman"/>
                <w:color w:val="auto"/>
                <w:sz w:val="24"/>
                <w:u w:val="none" w:color="auto"/>
              </w:rPr>
              <w:t>产品方案</w:t>
            </w:r>
            <w:r>
              <w:rPr>
                <w:rFonts w:ascii="Times New Roman" w:hAnsi="Times New Roman" w:cs="Times New Roman"/>
                <w:bCs/>
                <w:color w:val="auto"/>
                <w:sz w:val="24"/>
                <w:u w:val="none" w:color="auto"/>
              </w:rPr>
              <w:t>见下表2-</w:t>
            </w:r>
            <w:r>
              <w:rPr>
                <w:rFonts w:hint="eastAsia" w:ascii="Times New Roman" w:hAnsi="Times New Roman" w:cs="Times New Roman"/>
                <w:bCs/>
                <w:color w:val="auto"/>
                <w:sz w:val="24"/>
                <w:u w:val="none" w:color="auto"/>
                <w:lang w:val="en-US" w:eastAsia="zh-CN"/>
              </w:rPr>
              <w:t>2</w:t>
            </w:r>
            <w:r>
              <w:rPr>
                <w:rFonts w:ascii="Times New Roman" w:hAnsi="Times New Roman" w:cs="Times New Roman"/>
                <w:bCs/>
                <w:color w:val="auto"/>
                <w:sz w:val="24"/>
                <w:u w:val="none" w:color="auto"/>
              </w:rPr>
              <w:t>。</w:t>
            </w:r>
          </w:p>
          <w:p w14:paraId="1220A0BB">
            <w:pPr>
              <w:spacing w:line="360" w:lineRule="exact"/>
              <w:jc w:val="center"/>
              <w:rPr>
                <w:rFonts w:ascii="Times New Roman" w:hAnsi="Times New Roman" w:cs="Times New Roman"/>
                <w:b/>
                <w:bCs/>
                <w:color w:val="auto"/>
                <w:sz w:val="24"/>
                <w:u w:val="none" w:color="auto"/>
              </w:rPr>
            </w:pPr>
            <w:r>
              <w:rPr>
                <w:rFonts w:ascii="Times New Roman" w:hAnsi="Times New Roman" w:cs="Times New Roman"/>
                <w:b/>
                <w:bCs/>
                <w:color w:val="auto"/>
                <w:sz w:val="24"/>
                <w:u w:val="none" w:color="auto"/>
              </w:rPr>
              <w:t>表2-</w:t>
            </w:r>
            <w:r>
              <w:rPr>
                <w:rFonts w:hint="eastAsia" w:ascii="Times New Roman" w:hAnsi="Times New Roman" w:cs="Times New Roman"/>
                <w:b/>
                <w:bCs/>
                <w:color w:val="auto"/>
                <w:sz w:val="24"/>
                <w:u w:val="none" w:color="auto"/>
                <w:lang w:val="en-US" w:eastAsia="zh-CN"/>
              </w:rPr>
              <w:t>2</w:t>
            </w:r>
            <w:r>
              <w:rPr>
                <w:rFonts w:ascii="Times New Roman" w:hAnsi="Times New Roman" w:cs="Times New Roman"/>
                <w:b/>
                <w:bCs/>
                <w:color w:val="auto"/>
                <w:sz w:val="24"/>
                <w:u w:val="none" w:color="auto"/>
              </w:rPr>
              <w:t xml:space="preserve">  产品种类及规模</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9"/>
              <w:gridCol w:w="1575"/>
              <w:gridCol w:w="1385"/>
              <w:gridCol w:w="1424"/>
              <w:gridCol w:w="2844"/>
            </w:tblGrid>
            <w:tr w14:paraId="03E82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492" w:type="pct"/>
                  <w:vAlign w:val="center"/>
                </w:tcPr>
                <w:p w14:paraId="5AA87B04">
                  <w:pPr>
                    <w:pStyle w:val="102"/>
                    <w:spacing w:line="360" w:lineRule="exact"/>
                    <w:ind w:firstLine="0"/>
                    <w:jc w:val="center"/>
                    <w:rPr>
                      <w:b/>
                      <w:bCs/>
                      <w:color w:val="auto"/>
                      <w:sz w:val="21"/>
                      <w:szCs w:val="21"/>
                      <w:u w:val="none" w:color="auto"/>
                    </w:rPr>
                  </w:pPr>
                  <w:r>
                    <w:rPr>
                      <w:b/>
                      <w:bCs/>
                      <w:color w:val="auto"/>
                      <w:sz w:val="21"/>
                      <w:szCs w:val="21"/>
                      <w:u w:val="none" w:color="auto"/>
                    </w:rPr>
                    <w:t>序号</w:t>
                  </w:r>
                </w:p>
              </w:tc>
              <w:tc>
                <w:tcPr>
                  <w:tcW w:w="982" w:type="pct"/>
                  <w:vAlign w:val="center"/>
                </w:tcPr>
                <w:p w14:paraId="13751D9B">
                  <w:pPr>
                    <w:pStyle w:val="102"/>
                    <w:spacing w:line="360" w:lineRule="exact"/>
                    <w:ind w:firstLine="0"/>
                    <w:jc w:val="center"/>
                    <w:rPr>
                      <w:b/>
                      <w:bCs/>
                      <w:color w:val="auto"/>
                      <w:sz w:val="21"/>
                      <w:szCs w:val="21"/>
                      <w:u w:val="none" w:color="auto"/>
                    </w:rPr>
                  </w:pPr>
                  <w:r>
                    <w:rPr>
                      <w:b/>
                      <w:bCs/>
                      <w:color w:val="auto"/>
                      <w:sz w:val="21"/>
                      <w:szCs w:val="21"/>
                      <w:u w:val="none" w:color="auto"/>
                    </w:rPr>
                    <w:t>名称</w:t>
                  </w:r>
                </w:p>
              </w:tc>
              <w:tc>
                <w:tcPr>
                  <w:tcW w:w="863" w:type="pct"/>
                  <w:vAlign w:val="center"/>
                </w:tcPr>
                <w:p w14:paraId="7C22217F">
                  <w:pPr>
                    <w:pStyle w:val="102"/>
                    <w:spacing w:line="360" w:lineRule="exact"/>
                    <w:ind w:firstLine="0"/>
                    <w:jc w:val="center"/>
                    <w:rPr>
                      <w:b/>
                      <w:bCs/>
                      <w:color w:val="auto"/>
                      <w:sz w:val="21"/>
                      <w:szCs w:val="21"/>
                      <w:u w:val="none" w:color="auto"/>
                    </w:rPr>
                  </w:pPr>
                  <w:r>
                    <w:rPr>
                      <w:b/>
                      <w:bCs/>
                      <w:color w:val="auto"/>
                      <w:sz w:val="21"/>
                      <w:szCs w:val="21"/>
                      <w:u w:val="none" w:color="auto"/>
                    </w:rPr>
                    <w:t>单位</w:t>
                  </w:r>
                </w:p>
              </w:tc>
              <w:tc>
                <w:tcPr>
                  <w:tcW w:w="888" w:type="pct"/>
                  <w:vAlign w:val="center"/>
                </w:tcPr>
                <w:p w14:paraId="2AA0CD2B">
                  <w:pPr>
                    <w:pStyle w:val="102"/>
                    <w:spacing w:line="360" w:lineRule="exact"/>
                    <w:ind w:firstLine="0"/>
                    <w:jc w:val="center"/>
                    <w:rPr>
                      <w:b/>
                      <w:bCs/>
                      <w:color w:val="auto"/>
                      <w:sz w:val="21"/>
                      <w:szCs w:val="21"/>
                      <w:u w:val="none" w:color="auto"/>
                    </w:rPr>
                  </w:pPr>
                  <w:r>
                    <w:rPr>
                      <w:rFonts w:hint="eastAsia"/>
                      <w:b/>
                      <w:bCs/>
                      <w:color w:val="auto"/>
                      <w:sz w:val="21"/>
                      <w:szCs w:val="21"/>
                      <w:u w:val="none" w:color="auto"/>
                      <w:lang w:val="en-US" w:eastAsia="zh-CN"/>
                    </w:rPr>
                    <w:t>设计</w:t>
                  </w:r>
                  <w:r>
                    <w:rPr>
                      <w:b/>
                      <w:bCs/>
                      <w:color w:val="auto"/>
                      <w:sz w:val="21"/>
                      <w:szCs w:val="21"/>
                      <w:u w:val="none" w:color="auto"/>
                    </w:rPr>
                    <w:t>产量</w:t>
                  </w:r>
                </w:p>
              </w:tc>
              <w:tc>
                <w:tcPr>
                  <w:tcW w:w="1773" w:type="pct"/>
                  <w:vAlign w:val="center"/>
                </w:tcPr>
                <w:p w14:paraId="45AC83DE">
                  <w:pPr>
                    <w:pStyle w:val="102"/>
                    <w:spacing w:line="360" w:lineRule="exact"/>
                    <w:ind w:firstLine="0"/>
                    <w:jc w:val="center"/>
                    <w:rPr>
                      <w:b/>
                      <w:bCs/>
                      <w:color w:val="auto"/>
                      <w:sz w:val="21"/>
                      <w:szCs w:val="21"/>
                      <w:u w:val="none" w:color="auto"/>
                    </w:rPr>
                  </w:pPr>
                  <w:r>
                    <w:rPr>
                      <w:b/>
                      <w:bCs/>
                      <w:color w:val="auto"/>
                      <w:sz w:val="21"/>
                      <w:szCs w:val="21"/>
                      <w:u w:val="none" w:color="auto"/>
                    </w:rPr>
                    <w:t>规格</w:t>
                  </w:r>
                </w:p>
              </w:tc>
            </w:tr>
            <w:tr w14:paraId="311E4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92" w:type="pct"/>
                  <w:vAlign w:val="center"/>
                </w:tcPr>
                <w:p w14:paraId="1D6B1843">
                  <w:pPr>
                    <w:pStyle w:val="102"/>
                    <w:spacing w:line="360" w:lineRule="exact"/>
                    <w:ind w:firstLine="0"/>
                    <w:jc w:val="center"/>
                    <w:rPr>
                      <w:color w:val="auto"/>
                      <w:sz w:val="21"/>
                      <w:szCs w:val="21"/>
                      <w:u w:val="none" w:color="auto"/>
                    </w:rPr>
                  </w:pPr>
                  <w:r>
                    <w:rPr>
                      <w:color w:val="auto"/>
                      <w:sz w:val="21"/>
                      <w:szCs w:val="21"/>
                      <w:u w:val="none" w:color="auto"/>
                    </w:rPr>
                    <w:t>1</w:t>
                  </w:r>
                </w:p>
              </w:tc>
              <w:tc>
                <w:tcPr>
                  <w:tcW w:w="982" w:type="pct"/>
                  <w:vAlign w:val="center"/>
                </w:tcPr>
                <w:p w14:paraId="19C2AFA7">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商品</w:t>
                  </w:r>
                  <w:r>
                    <w:rPr>
                      <w:rFonts w:ascii="Times New Roman" w:hAnsi="Times New Roman" w:cs="Times New Roman"/>
                      <w:b w:val="0"/>
                      <w:bCs w:val="0"/>
                      <w:color w:val="auto"/>
                      <w:szCs w:val="21"/>
                      <w:u w:val="none" w:color="auto"/>
                    </w:rPr>
                    <w:t>混凝</w:t>
                  </w:r>
                  <w:r>
                    <w:rPr>
                      <w:rFonts w:ascii="Times New Roman" w:hAnsi="Times New Roman" w:cs="Times New Roman"/>
                      <w:color w:val="auto"/>
                      <w:szCs w:val="21"/>
                      <w:u w:val="none" w:color="auto"/>
                    </w:rPr>
                    <w:t>土</w:t>
                  </w:r>
                </w:p>
              </w:tc>
              <w:tc>
                <w:tcPr>
                  <w:tcW w:w="863" w:type="pct"/>
                  <w:vAlign w:val="center"/>
                </w:tcPr>
                <w:p w14:paraId="2F457BCA">
                  <w:pPr>
                    <w:pStyle w:val="102"/>
                    <w:spacing w:line="360" w:lineRule="exact"/>
                    <w:ind w:firstLine="0"/>
                    <w:jc w:val="center"/>
                    <w:rPr>
                      <w:color w:val="auto"/>
                      <w:sz w:val="21"/>
                      <w:szCs w:val="21"/>
                      <w:u w:val="none" w:color="auto"/>
                    </w:rPr>
                  </w:pPr>
                  <w:r>
                    <w:rPr>
                      <w:color w:val="auto"/>
                      <w:sz w:val="21"/>
                      <w:szCs w:val="21"/>
                      <w:u w:val="none" w:color="auto"/>
                    </w:rPr>
                    <w:t>万m</w:t>
                  </w:r>
                  <w:r>
                    <w:rPr>
                      <w:color w:val="auto"/>
                      <w:sz w:val="21"/>
                      <w:szCs w:val="21"/>
                      <w:u w:val="none" w:color="auto"/>
                      <w:vertAlign w:val="superscript"/>
                    </w:rPr>
                    <w:t>3</w:t>
                  </w:r>
                  <w:r>
                    <w:rPr>
                      <w:color w:val="auto"/>
                      <w:sz w:val="21"/>
                      <w:szCs w:val="21"/>
                      <w:u w:val="none" w:color="auto"/>
                    </w:rPr>
                    <w:t>/年</w:t>
                  </w:r>
                </w:p>
              </w:tc>
              <w:tc>
                <w:tcPr>
                  <w:tcW w:w="888" w:type="pct"/>
                  <w:vAlign w:val="center"/>
                </w:tcPr>
                <w:p w14:paraId="632FE72B">
                  <w:pPr>
                    <w:pStyle w:val="102"/>
                    <w:spacing w:line="360" w:lineRule="exact"/>
                    <w:ind w:firstLine="0"/>
                    <w:jc w:val="center"/>
                    <w:rPr>
                      <w:rFonts w:hint="default" w:ascii="宋体" w:hAnsi="宋体" w:eastAsia="宋体" w:cs="宋体"/>
                      <w:color w:val="auto"/>
                      <w:sz w:val="21"/>
                      <w:szCs w:val="21"/>
                      <w:u w:val="none" w:color="auto"/>
                      <w:vertAlign w:val="superscript"/>
                      <w:lang w:val="en-US" w:eastAsia="zh-CN"/>
                    </w:rPr>
                  </w:pPr>
                  <w:r>
                    <w:rPr>
                      <w:rFonts w:hint="eastAsia" w:cs="Times New Roman" w:eastAsiaTheme="minorEastAsia"/>
                      <w:b w:val="0"/>
                      <w:bCs w:val="0"/>
                      <w:color w:val="auto"/>
                      <w:kern w:val="2"/>
                      <w:sz w:val="21"/>
                      <w:szCs w:val="21"/>
                      <w:u w:val="none" w:color="auto"/>
                      <w:lang w:val="en-US" w:eastAsia="zh-CN" w:bidi="ar-SA"/>
                    </w:rPr>
                    <w:t>60</w:t>
                  </w:r>
                </w:p>
              </w:tc>
              <w:tc>
                <w:tcPr>
                  <w:tcW w:w="1773" w:type="pct"/>
                  <w:vAlign w:val="center"/>
                </w:tcPr>
                <w:p w14:paraId="5C9087C1">
                  <w:pPr>
                    <w:spacing w:line="360" w:lineRule="exact"/>
                    <w:jc w:val="center"/>
                    <w:rPr>
                      <w:rFonts w:ascii="Times New Roman" w:hAnsi="Times New Roman" w:cs="Times New Roman"/>
                      <w:color w:val="auto"/>
                      <w:szCs w:val="24"/>
                      <w:u w:val="none" w:color="auto"/>
                    </w:rPr>
                  </w:pPr>
                  <w:r>
                    <w:rPr>
                      <w:rFonts w:ascii="Times New Roman" w:hAnsi="Times New Roman" w:cs="Times New Roman"/>
                      <w:color w:val="auto"/>
                      <w:u w:val="none" w:color="auto"/>
                    </w:rPr>
                    <w:t>C10-C60，根据市场需求生产</w:t>
                  </w:r>
                </w:p>
              </w:tc>
            </w:tr>
          </w:tbl>
          <w:p w14:paraId="2CC6D264">
            <w:pPr>
              <w:snapToGrid w:val="0"/>
              <w:spacing w:line="360" w:lineRule="auto"/>
              <w:jc w:val="left"/>
              <w:rPr>
                <w:rFonts w:ascii="Times New Roman" w:hAnsi="Times New Roman" w:cs="Times New Roman"/>
                <w:b/>
                <w:bCs/>
                <w:color w:val="auto"/>
                <w:sz w:val="24"/>
                <w:u w:val="none" w:color="auto"/>
                <w:lang w:val="zh-CN"/>
              </w:rPr>
            </w:pPr>
            <w:r>
              <w:rPr>
                <w:rFonts w:hint="eastAsia" w:ascii="Times New Roman" w:hAnsi="Times New Roman" w:cs="Times New Roman"/>
                <w:b/>
                <w:bCs/>
                <w:color w:val="auto"/>
                <w:sz w:val="24"/>
                <w:u w:val="none" w:color="auto"/>
                <w:lang w:val="en-US" w:eastAsia="zh-CN"/>
              </w:rPr>
              <w:t>5</w:t>
            </w:r>
            <w:r>
              <w:rPr>
                <w:rFonts w:ascii="Times New Roman" w:hAnsi="Times New Roman" w:cs="Times New Roman"/>
                <w:b/>
                <w:bCs/>
                <w:color w:val="auto"/>
                <w:sz w:val="24"/>
                <w:u w:val="none" w:color="auto"/>
              </w:rPr>
              <w:t>、</w:t>
            </w:r>
            <w:r>
              <w:rPr>
                <w:rFonts w:ascii="Times New Roman" w:hAnsi="Times New Roman" w:cs="Times New Roman"/>
                <w:b/>
                <w:bCs/>
                <w:color w:val="auto"/>
                <w:sz w:val="24"/>
                <w:u w:val="none" w:color="auto"/>
                <w:lang w:val="zh-CN"/>
              </w:rPr>
              <w:t>原辅材料消耗主要设备</w:t>
            </w:r>
          </w:p>
          <w:p w14:paraId="26BA87B0">
            <w:pPr>
              <w:snapToGrid w:val="0"/>
              <w:spacing w:line="360" w:lineRule="auto"/>
              <w:ind w:firstLine="480" w:firstLineChars="200"/>
              <w:jc w:val="left"/>
              <w:rPr>
                <w:rFonts w:ascii="Times New Roman" w:hAnsi="Times New Roman" w:cs="Times New Roman"/>
                <w:color w:val="auto"/>
                <w:sz w:val="24"/>
                <w:u w:val="none" w:color="auto"/>
              </w:rPr>
            </w:pPr>
            <w:r>
              <w:rPr>
                <w:rFonts w:ascii="Times New Roman" w:hAnsi="Times New Roman" w:cs="Times New Roman"/>
                <w:color w:val="auto"/>
                <w:sz w:val="24"/>
                <w:u w:val="none" w:color="auto"/>
              </w:rPr>
              <w:t>（1）项目主要原辅材料消耗</w:t>
            </w:r>
          </w:p>
          <w:p w14:paraId="5FB4899E">
            <w:pPr>
              <w:widowControl/>
              <w:snapToGrid w:val="0"/>
              <w:spacing w:line="360" w:lineRule="auto"/>
              <w:ind w:firstLine="600" w:firstLineChars="250"/>
              <w:rPr>
                <w:rFonts w:hint="eastAsia" w:ascii="Times New Roman" w:hAnsi="Times New Roman" w:cs="Times New Roman" w:eastAsiaTheme="minorEastAsia"/>
                <w:color w:val="auto"/>
                <w:sz w:val="24"/>
                <w:u w:val="none" w:color="auto"/>
                <w:lang w:eastAsia="zh-CN"/>
              </w:rPr>
            </w:pPr>
            <w:r>
              <w:rPr>
                <w:rFonts w:ascii="Times New Roman" w:hAnsi="Times New Roman" w:cs="Times New Roman"/>
                <w:color w:val="auto"/>
                <w:sz w:val="24"/>
                <w:u w:val="none" w:color="auto"/>
              </w:rPr>
              <w:t>本项目所用原材料品种及年耗量如下表2-</w:t>
            </w:r>
            <w:r>
              <w:rPr>
                <w:rFonts w:hint="eastAsia" w:ascii="Times New Roman" w:hAnsi="Times New Roman" w:cs="Times New Roman"/>
                <w:color w:val="auto"/>
                <w:sz w:val="24"/>
                <w:u w:val="none" w:color="auto"/>
                <w:lang w:val="en-US" w:eastAsia="zh-CN"/>
              </w:rPr>
              <w:t>3</w:t>
            </w:r>
            <w:r>
              <w:rPr>
                <w:rFonts w:hint="eastAsia" w:ascii="Times New Roman" w:hAnsi="Times New Roman" w:cs="Times New Roman"/>
                <w:color w:val="auto"/>
                <w:sz w:val="24"/>
                <w:u w:val="none" w:color="auto"/>
                <w:lang w:eastAsia="zh-CN"/>
              </w:rPr>
              <w:t>。</w:t>
            </w:r>
          </w:p>
          <w:p w14:paraId="53657ACA">
            <w:pPr>
              <w:pStyle w:val="98"/>
              <w:keepNext w:val="0"/>
              <w:keepLines w:val="0"/>
              <w:pageBreakBefore w:val="0"/>
              <w:widowControl/>
              <w:kinsoku/>
              <w:wordWrap/>
              <w:overflowPunct/>
              <w:topLinePunct w:val="0"/>
              <w:autoSpaceDE/>
              <w:autoSpaceDN/>
              <w:bidi w:val="0"/>
              <w:adjustRightInd/>
              <w:snapToGrid w:val="0"/>
              <w:spacing w:beforeLines="0" w:afterLines="0" w:line="240" w:lineRule="auto"/>
              <w:ind w:firstLine="482" w:firstLineChars="0"/>
              <w:jc w:val="center"/>
              <w:textAlignment w:val="auto"/>
              <w:rPr>
                <w:b/>
                <w:color w:val="auto"/>
                <w:u w:val="none" w:color="auto"/>
              </w:rPr>
            </w:pPr>
            <w:r>
              <w:rPr>
                <w:b/>
                <w:color w:val="auto"/>
                <w:u w:val="none" w:color="auto"/>
              </w:rPr>
              <w:t>表2-</w:t>
            </w:r>
            <w:r>
              <w:rPr>
                <w:rFonts w:hint="eastAsia"/>
                <w:b/>
                <w:color w:val="auto"/>
                <w:u w:val="none" w:color="auto"/>
                <w:lang w:val="en-US" w:eastAsia="zh-CN"/>
              </w:rPr>
              <w:t>3</w:t>
            </w:r>
            <w:r>
              <w:rPr>
                <w:b/>
                <w:color w:val="auto"/>
                <w:u w:val="none" w:color="auto"/>
              </w:rPr>
              <w:t xml:space="preserve">  项目主要原辅材料及耗量</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3"/>
              <w:gridCol w:w="859"/>
              <w:gridCol w:w="902"/>
              <w:gridCol w:w="907"/>
              <w:gridCol w:w="2106"/>
              <w:gridCol w:w="1147"/>
              <w:gridCol w:w="1680"/>
            </w:tblGrid>
            <w:tr w14:paraId="6D4AB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11DE390F">
                  <w:pPr>
                    <w:jc w:val="center"/>
                    <w:rPr>
                      <w:rFonts w:hint="eastAsia" w:ascii="Times New Roman" w:hAnsi="Times New Roman" w:cs="Times New Roman" w:eastAsiaTheme="minorEastAsia"/>
                      <w:b/>
                      <w:bCs/>
                      <w:color w:val="auto"/>
                      <w:szCs w:val="21"/>
                      <w:u w:val="none" w:color="auto"/>
                      <w:lang w:eastAsia="zh-CN"/>
                    </w:rPr>
                  </w:pPr>
                  <w:r>
                    <w:rPr>
                      <w:rFonts w:hint="eastAsia" w:ascii="Times New Roman" w:hAnsi="Times New Roman" w:cs="Times New Roman"/>
                      <w:b/>
                      <w:bCs/>
                      <w:color w:val="auto"/>
                      <w:szCs w:val="21"/>
                      <w:u w:val="none" w:color="auto"/>
                      <w:lang w:val="en-US" w:eastAsia="zh-CN"/>
                    </w:rPr>
                    <w:t>序号</w:t>
                  </w:r>
                </w:p>
              </w:tc>
              <w:tc>
                <w:tcPr>
                  <w:tcW w:w="535" w:type="pct"/>
                  <w:vAlign w:val="center"/>
                </w:tcPr>
                <w:p w14:paraId="37FB7A76">
                  <w:pPr>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名称</w:t>
                  </w:r>
                </w:p>
              </w:tc>
              <w:tc>
                <w:tcPr>
                  <w:tcW w:w="562" w:type="pct"/>
                  <w:vAlign w:val="center"/>
                </w:tcPr>
                <w:p w14:paraId="77C57BEC">
                  <w:pPr>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年耗量</w:t>
                  </w:r>
                </w:p>
              </w:tc>
              <w:tc>
                <w:tcPr>
                  <w:tcW w:w="565" w:type="pct"/>
                  <w:vAlign w:val="center"/>
                </w:tcPr>
                <w:p w14:paraId="2E0B827D">
                  <w:pPr>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单位</w:t>
                  </w:r>
                </w:p>
              </w:tc>
              <w:tc>
                <w:tcPr>
                  <w:tcW w:w="1313" w:type="pct"/>
                  <w:vAlign w:val="center"/>
                </w:tcPr>
                <w:p w14:paraId="496B63E2">
                  <w:pPr>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储存情况</w:t>
                  </w:r>
                </w:p>
              </w:tc>
              <w:tc>
                <w:tcPr>
                  <w:tcW w:w="715" w:type="pct"/>
                  <w:vAlign w:val="center"/>
                </w:tcPr>
                <w:p w14:paraId="0BE13110">
                  <w:pPr>
                    <w:jc w:val="center"/>
                    <w:rPr>
                      <w:rFonts w:hint="default" w:ascii="Times New Roman" w:hAnsi="Times New Roman" w:cs="Times New Roman" w:eastAsiaTheme="minorEastAsia"/>
                      <w:b/>
                      <w:bCs/>
                      <w:color w:val="auto"/>
                      <w:szCs w:val="21"/>
                      <w:u w:val="none" w:color="auto"/>
                      <w:lang w:val="en-US" w:eastAsia="zh-CN"/>
                    </w:rPr>
                  </w:pPr>
                  <w:r>
                    <w:rPr>
                      <w:rFonts w:hint="eastAsia" w:ascii="Times New Roman" w:hAnsi="Times New Roman" w:cs="Times New Roman"/>
                      <w:b/>
                      <w:bCs/>
                      <w:color w:val="auto"/>
                      <w:szCs w:val="21"/>
                      <w:u w:val="none" w:color="auto"/>
                      <w:lang w:val="en-US" w:eastAsia="zh-CN"/>
                    </w:rPr>
                    <w:t>厂内最大储存量（t）</w:t>
                  </w:r>
                </w:p>
              </w:tc>
              <w:tc>
                <w:tcPr>
                  <w:tcW w:w="1048" w:type="pct"/>
                  <w:vAlign w:val="center"/>
                </w:tcPr>
                <w:p w14:paraId="14137A07">
                  <w:pPr>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备注</w:t>
                  </w:r>
                </w:p>
              </w:tc>
            </w:tr>
            <w:tr w14:paraId="662EB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000" w:type="pct"/>
                  <w:gridSpan w:val="7"/>
                  <w:vAlign w:val="center"/>
                </w:tcPr>
                <w:p w14:paraId="2025A7BD">
                  <w:pPr>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b/>
                      <w:bCs/>
                      <w:color w:val="auto"/>
                      <w:szCs w:val="21"/>
                      <w:u w:val="none" w:color="auto"/>
                      <w:lang w:val="en-US" w:eastAsia="zh-CN"/>
                    </w:rPr>
                    <w:t>原辅材料</w:t>
                  </w:r>
                </w:p>
              </w:tc>
            </w:tr>
            <w:tr w14:paraId="1DB37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20226D35">
                  <w:pPr>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1</w:t>
                  </w:r>
                </w:p>
              </w:tc>
              <w:tc>
                <w:tcPr>
                  <w:tcW w:w="535" w:type="pct"/>
                  <w:vAlign w:val="center"/>
                </w:tcPr>
                <w:p w14:paraId="00838CB7">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水泥</w:t>
                  </w:r>
                </w:p>
              </w:tc>
              <w:tc>
                <w:tcPr>
                  <w:tcW w:w="562" w:type="pct"/>
                  <w:vAlign w:val="center"/>
                </w:tcPr>
                <w:p w14:paraId="6C5115D3">
                  <w:pPr>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171000</w:t>
                  </w:r>
                </w:p>
              </w:tc>
              <w:tc>
                <w:tcPr>
                  <w:tcW w:w="565" w:type="pct"/>
                  <w:vAlign w:val="center"/>
                </w:tcPr>
                <w:p w14:paraId="0CFAE66A">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5A30B49C">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储存于300t的筒仓（</w:t>
                  </w:r>
                  <w:r>
                    <w:rPr>
                      <w:rFonts w:hint="eastAsia" w:ascii="Times New Roman" w:hAnsi="Times New Roman" w:cs="Times New Roman"/>
                      <w:color w:val="auto"/>
                      <w:szCs w:val="21"/>
                      <w:u w:val="none" w:color="auto"/>
                      <w:lang w:val="en-US" w:eastAsia="zh-CN"/>
                    </w:rPr>
                    <w:t>4</w:t>
                  </w:r>
                  <w:r>
                    <w:rPr>
                      <w:rFonts w:ascii="Times New Roman" w:hAnsi="Times New Roman" w:cs="Times New Roman"/>
                      <w:color w:val="auto"/>
                      <w:szCs w:val="21"/>
                      <w:u w:val="none" w:color="auto"/>
                    </w:rPr>
                    <w:t>个）</w:t>
                  </w:r>
                </w:p>
              </w:tc>
              <w:tc>
                <w:tcPr>
                  <w:tcW w:w="715" w:type="pct"/>
                  <w:vAlign w:val="center"/>
                </w:tcPr>
                <w:p w14:paraId="713C0188">
                  <w:pPr>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1200</w:t>
                  </w:r>
                </w:p>
              </w:tc>
              <w:tc>
                <w:tcPr>
                  <w:tcW w:w="1048" w:type="pct"/>
                  <w:vAlign w:val="center"/>
                </w:tcPr>
                <w:p w14:paraId="2E6A9775">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粉末状，罐车运输</w:t>
                  </w:r>
                </w:p>
              </w:tc>
            </w:tr>
            <w:tr w14:paraId="3DE95B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36AB904A">
                  <w:pPr>
                    <w:widowControl/>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2</w:t>
                  </w:r>
                </w:p>
              </w:tc>
              <w:tc>
                <w:tcPr>
                  <w:tcW w:w="535" w:type="pct"/>
                  <w:vAlign w:val="center"/>
                </w:tcPr>
                <w:p w14:paraId="40679B95">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砂</w:t>
                  </w:r>
                </w:p>
              </w:tc>
              <w:tc>
                <w:tcPr>
                  <w:tcW w:w="562" w:type="pct"/>
                  <w:vAlign w:val="center"/>
                </w:tcPr>
                <w:p w14:paraId="4725E989">
                  <w:pPr>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535200</w:t>
                  </w:r>
                </w:p>
              </w:tc>
              <w:tc>
                <w:tcPr>
                  <w:tcW w:w="565" w:type="pct"/>
                  <w:vAlign w:val="center"/>
                </w:tcPr>
                <w:p w14:paraId="15519333">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37387D58">
                  <w:pPr>
                    <w:spacing w:before="100" w:beforeAutospacing="1" w:after="100" w:afterAutospacing="1"/>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储存于砂石料场</w:t>
                  </w:r>
                </w:p>
              </w:tc>
              <w:tc>
                <w:tcPr>
                  <w:tcW w:w="715" w:type="pct"/>
                  <w:vAlign w:val="center"/>
                </w:tcPr>
                <w:p w14:paraId="12783205">
                  <w:pPr>
                    <w:spacing w:before="100" w:beforeAutospacing="1" w:after="100" w:afterAutospacing="1"/>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4000</w:t>
                  </w:r>
                </w:p>
              </w:tc>
              <w:tc>
                <w:tcPr>
                  <w:tcW w:w="1048" w:type="pct"/>
                  <w:vMerge w:val="restart"/>
                  <w:vAlign w:val="center"/>
                </w:tcPr>
                <w:p w14:paraId="4AF59DBC">
                  <w:pPr>
                    <w:spacing w:before="100" w:beforeAutospacing="1" w:after="100" w:afterAutospacing="1"/>
                    <w:jc w:val="center"/>
                    <w:rPr>
                      <w:rFonts w:hint="default" w:ascii="Times New Roman" w:hAnsi="Times New Roman" w:cs="Times New Roman" w:eastAsiaTheme="minorEastAsia"/>
                      <w:color w:val="auto"/>
                      <w:szCs w:val="21"/>
                      <w:u w:val="none" w:color="auto"/>
                      <w:lang w:val="en-US" w:eastAsia="zh-CN"/>
                    </w:rPr>
                  </w:pPr>
                  <w:r>
                    <w:rPr>
                      <w:rFonts w:ascii="Times New Roman" w:hAnsi="Times New Roman" w:cs="Times New Roman"/>
                      <w:color w:val="auto"/>
                      <w:szCs w:val="21"/>
                      <w:u w:val="none" w:color="auto"/>
                    </w:rPr>
                    <w:t>块状，采用密闭运输车运入</w:t>
                  </w:r>
                </w:p>
              </w:tc>
            </w:tr>
            <w:tr w14:paraId="1F56C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1E330C28">
                  <w:pPr>
                    <w:widowControl/>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3</w:t>
                  </w:r>
                </w:p>
              </w:tc>
              <w:tc>
                <w:tcPr>
                  <w:tcW w:w="535" w:type="pct"/>
                  <w:vAlign w:val="center"/>
                </w:tcPr>
                <w:p w14:paraId="742023F5">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碎石</w:t>
                  </w:r>
                </w:p>
              </w:tc>
              <w:tc>
                <w:tcPr>
                  <w:tcW w:w="562" w:type="pct"/>
                  <w:vAlign w:val="center"/>
                </w:tcPr>
                <w:p w14:paraId="2609DF7C">
                  <w:pPr>
                    <w:widowControl/>
                    <w:spacing w:line="360" w:lineRule="exact"/>
                    <w:jc w:val="center"/>
                    <w:textAlignment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552000</w:t>
                  </w:r>
                </w:p>
              </w:tc>
              <w:tc>
                <w:tcPr>
                  <w:tcW w:w="565" w:type="pct"/>
                  <w:vAlign w:val="center"/>
                </w:tcPr>
                <w:p w14:paraId="65D2B36D">
                  <w:pPr>
                    <w:widowControl/>
                    <w:spacing w:line="360" w:lineRule="exact"/>
                    <w:jc w:val="center"/>
                    <w:textAlignment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3E2F6C5E">
                  <w:pPr>
                    <w:spacing w:before="100" w:beforeAutospacing="1" w:after="100" w:afterAutospacing="1"/>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储存于砂石料场</w:t>
                  </w:r>
                </w:p>
              </w:tc>
              <w:tc>
                <w:tcPr>
                  <w:tcW w:w="715" w:type="pct"/>
                  <w:vAlign w:val="center"/>
                </w:tcPr>
                <w:p w14:paraId="29FB235D">
                  <w:pPr>
                    <w:widowControl/>
                    <w:jc w:val="center"/>
                    <w:rPr>
                      <w:rFonts w:hint="default" w:ascii="Times New Roman" w:hAnsi="Times New Roman" w:cs="Times New Roman" w:eastAsiaTheme="minorEastAsia"/>
                      <w:b/>
                      <w:bCs/>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4000</w:t>
                  </w:r>
                </w:p>
              </w:tc>
              <w:tc>
                <w:tcPr>
                  <w:tcW w:w="1048" w:type="pct"/>
                  <w:vMerge w:val="continue"/>
                  <w:vAlign w:val="center"/>
                </w:tcPr>
                <w:p w14:paraId="03DD8C4A">
                  <w:pPr>
                    <w:widowControl/>
                    <w:jc w:val="center"/>
                    <w:rPr>
                      <w:rFonts w:ascii="Times New Roman" w:hAnsi="Times New Roman" w:cs="Times New Roman"/>
                      <w:b/>
                      <w:bCs/>
                      <w:color w:val="auto"/>
                      <w:szCs w:val="21"/>
                      <w:u w:val="none" w:color="auto"/>
                    </w:rPr>
                  </w:pPr>
                </w:p>
              </w:tc>
            </w:tr>
            <w:tr w14:paraId="43401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69B1FE48">
                  <w:pPr>
                    <w:widowControl/>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4</w:t>
                  </w:r>
                </w:p>
              </w:tc>
              <w:tc>
                <w:tcPr>
                  <w:tcW w:w="535" w:type="pct"/>
                  <w:vAlign w:val="center"/>
                </w:tcPr>
                <w:p w14:paraId="31EACB2B">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粉煤灰</w:t>
                  </w:r>
                </w:p>
              </w:tc>
              <w:tc>
                <w:tcPr>
                  <w:tcW w:w="562" w:type="pct"/>
                  <w:vAlign w:val="center"/>
                </w:tcPr>
                <w:p w14:paraId="425270A5">
                  <w:pPr>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48000</w:t>
                  </w:r>
                </w:p>
              </w:tc>
              <w:tc>
                <w:tcPr>
                  <w:tcW w:w="565" w:type="pct"/>
                  <w:vAlign w:val="center"/>
                </w:tcPr>
                <w:p w14:paraId="6B938098">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6495574F">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储存于300t的筒仓（</w:t>
                  </w: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个）</w:t>
                  </w:r>
                </w:p>
              </w:tc>
              <w:tc>
                <w:tcPr>
                  <w:tcW w:w="715" w:type="pct"/>
                  <w:vAlign w:val="center"/>
                </w:tcPr>
                <w:p w14:paraId="64CF4012">
                  <w:pPr>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600</w:t>
                  </w:r>
                </w:p>
              </w:tc>
              <w:tc>
                <w:tcPr>
                  <w:tcW w:w="1048" w:type="pct"/>
                  <w:vMerge w:val="restart"/>
                  <w:vAlign w:val="center"/>
                </w:tcPr>
                <w:p w14:paraId="1FBC8ABC">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粉末状，采用密闭灌装车运入</w:t>
                  </w:r>
                </w:p>
              </w:tc>
            </w:tr>
            <w:tr w14:paraId="14D72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36AA8465">
                  <w:pPr>
                    <w:widowControl/>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5</w:t>
                  </w:r>
                </w:p>
              </w:tc>
              <w:tc>
                <w:tcPr>
                  <w:tcW w:w="535" w:type="pct"/>
                  <w:vAlign w:val="center"/>
                </w:tcPr>
                <w:p w14:paraId="6595A853">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矿粉</w:t>
                  </w:r>
                </w:p>
              </w:tc>
              <w:tc>
                <w:tcPr>
                  <w:tcW w:w="562" w:type="pct"/>
                  <w:vAlign w:val="center"/>
                </w:tcPr>
                <w:p w14:paraId="3940DE42">
                  <w:pPr>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30000</w:t>
                  </w:r>
                </w:p>
              </w:tc>
              <w:tc>
                <w:tcPr>
                  <w:tcW w:w="565" w:type="pct"/>
                  <w:vAlign w:val="center"/>
                </w:tcPr>
                <w:p w14:paraId="6444BA6E">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790DE1B4">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储存于300t的筒仓（</w:t>
                  </w: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个）</w:t>
                  </w:r>
                </w:p>
              </w:tc>
              <w:tc>
                <w:tcPr>
                  <w:tcW w:w="715" w:type="pct"/>
                  <w:vAlign w:val="center"/>
                </w:tcPr>
                <w:p w14:paraId="25DAD639">
                  <w:pPr>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600</w:t>
                  </w:r>
                </w:p>
              </w:tc>
              <w:tc>
                <w:tcPr>
                  <w:tcW w:w="1048" w:type="pct"/>
                  <w:vMerge w:val="continue"/>
                  <w:vAlign w:val="center"/>
                </w:tcPr>
                <w:p w14:paraId="2EA3F29C">
                  <w:pPr>
                    <w:jc w:val="center"/>
                    <w:rPr>
                      <w:rFonts w:ascii="Times New Roman" w:hAnsi="Times New Roman" w:cs="Times New Roman"/>
                      <w:color w:val="auto"/>
                      <w:szCs w:val="21"/>
                      <w:u w:val="none" w:color="auto"/>
                    </w:rPr>
                  </w:pPr>
                </w:p>
              </w:tc>
            </w:tr>
            <w:tr w14:paraId="410CB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0C035F56">
                  <w:pPr>
                    <w:widowControl/>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6</w:t>
                  </w:r>
                </w:p>
              </w:tc>
              <w:tc>
                <w:tcPr>
                  <w:tcW w:w="535" w:type="pct"/>
                  <w:vAlign w:val="center"/>
                </w:tcPr>
                <w:p w14:paraId="3E257AE7">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膨胀剂</w:t>
                  </w:r>
                </w:p>
              </w:tc>
              <w:tc>
                <w:tcPr>
                  <w:tcW w:w="562" w:type="pct"/>
                  <w:vAlign w:val="center"/>
                </w:tcPr>
                <w:p w14:paraId="7567C07F">
                  <w:pPr>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4800</w:t>
                  </w:r>
                </w:p>
              </w:tc>
              <w:tc>
                <w:tcPr>
                  <w:tcW w:w="565" w:type="pct"/>
                  <w:vAlign w:val="center"/>
                </w:tcPr>
                <w:p w14:paraId="7373E606">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5CDC9F2A">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储存于100t的筒仓（</w:t>
                  </w: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个）</w:t>
                  </w:r>
                </w:p>
              </w:tc>
              <w:tc>
                <w:tcPr>
                  <w:tcW w:w="715" w:type="pct"/>
                  <w:vAlign w:val="center"/>
                </w:tcPr>
                <w:p w14:paraId="26F1774D">
                  <w:pPr>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200</w:t>
                  </w:r>
                </w:p>
              </w:tc>
              <w:tc>
                <w:tcPr>
                  <w:tcW w:w="1048" w:type="pct"/>
                  <w:vMerge w:val="continue"/>
                  <w:vAlign w:val="center"/>
                </w:tcPr>
                <w:p w14:paraId="12866335">
                  <w:pPr>
                    <w:jc w:val="center"/>
                    <w:rPr>
                      <w:rFonts w:ascii="Times New Roman" w:hAnsi="Times New Roman" w:cs="Times New Roman"/>
                      <w:color w:val="auto"/>
                      <w:szCs w:val="21"/>
                      <w:u w:val="none" w:color="auto"/>
                    </w:rPr>
                  </w:pPr>
                </w:p>
              </w:tc>
            </w:tr>
            <w:tr w14:paraId="0C71D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48FA5A3A">
                  <w:pPr>
                    <w:widowControl/>
                    <w:jc w:val="center"/>
                    <w:rPr>
                      <w:rFonts w:hint="eastAsia" w:ascii="Times New Roman" w:hAnsi="Times New Roman" w:cs="Times New Roman" w:eastAsiaTheme="minorEastAsia"/>
                      <w:b w:val="0"/>
                      <w:bCs w:val="0"/>
                      <w:color w:val="auto"/>
                      <w:szCs w:val="21"/>
                      <w:u w:val="none" w:color="auto"/>
                      <w:lang w:val="en-US" w:eastAsia="zh-CN"/>
                    </w:rPr>
                  </w:pPr>
                  <w:r>
                    <w:rPr>
                      <w:rFonts w:hint="eastAsia" w:ascii="Times New Roman" w:hAnsi="Times New Roman" w:cs="Times New Roman"/>
                      <w:b w:val="0"/>
                      <w:bCs w:val="0"/>
                      <w:color w:val="auto"/>
                      <w:szCs w:val="21"/>
                      <w:u w:val="none" w:color="auto"/>
                      <w:lang w:val="en-US" w:eastAsia="zh-CN"/>
                    </w:rPr>
                    <w:t>7</w:t>
                  </w:r>
                </w:p>
              </w:tc>
              <w:tc>
                <w:tcPr>
                  <w:tcW w:w="535" w:type="pct"/>
                  <w:vAlign w:val="center"/>
                </w:tcPr>
                <w:p w14:paraId="51714AC0">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外加剂</w:t>
                  </w:r>
                </w:p>
              </w:tc>
              <w:tc>
                <w:tcPr>
                  <w:tcW w:w="562" w:type="pct"/>
                  <w:vAlign w:val="center"/>
                </w:tcPr>
                <w:p w14:paraId="721FE42A">
                  <w:pPr>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3000</w:t>
                  </w:r>
                </w:p>
              </w:tc>
              <w:tc>
                <w:tcPr>
                  <w:tcW w:w="565" w:type="pct"/>
                  <w:vAlign w:val="center"/>
                </w:tcPr>
                <w:p w14:paraId="2687EFD8">
                  <w:pPr>
                    <w:spacing w:line="360" w:lineRule="exact"/>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t/a</w:t>
                  </w:r>
                </w:p>
              </w:tc>
              <w:tc>
                <w:tcPr>
                  <w:tcW w:w="1313" w:type="pct"/>
                  <w:vAlign w:val="center"/>
                </w:tcPr>
                <w:p w14:paraId="40BD0DAF">
                  <w:pPr>
                    <w:spacing w:before="100" w:beforeAutospacing="1" w:after="100" w:afterAutospacing="1"/>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储存于10t的外加剂罐（</w:t>
                  </w:r>
                  <w:r>
                    <w:rPr>
                      <w:rFonts w:hint="eastAsia" w:ascii="Times New Roman" w:hAnsi="Times New Roman" w:cs="Times New Roman"/>
                      <w:color w:val="auto"/>
                      <w:szCs w:val="21"/>
                      <w:u w:val="none" w:color="auto"/>
                      <w:lang w:val="en-US" w:eastAsia="zh-CN"/>
                    </w:rPr>
                    <w:t>4</w:t>
                  </w:r>
                  <w:r>
                    <w:rPr>
                      <w:rFonts w:ascii="Times New Roman" w:hAnsi="Times New Roman" w:cs="Times New Roman"/>
                      <w:color w:val="auto"/>
                      <w:szCs w:val="21"/>
                      <w:u w:val="none" w:color="auto"/>
                    </w:rPr>
                    <w:t>个）</w:t>
                  </w:r>
                </w:p>
              </w:tc>
              <w:tc>
                <w:tcPr>
                  <w:tcW w:w="715" w:type="pct"/>
                  <w:vAlign w:val="center"/>
                </w:tcPr>
                <w:p w14:paraId="3C8EE955">
                  <w:pPr>
                    <w:spacing w:before="100" w:beforeAutospacing="1" w:after="100" w:afterAutospacing="1"/>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40</w:t>
                  </w:r>
                </w:p>
              </w:tc>
              <w:tc>
                <w:tcPr>
                  <w:tcW w:w="1048" w:type="pct"/>
                  <w:vAlign w:val="center"/>
                </w:tcPr>
                <w:p w14:paraId="3F82BA04">
                  <w:pPr>
                    <w:spacing w:before="100" w:beforeAutospacing="1" w:after="100" w:afterAutospacing="1"/>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液态，采用罐装，汽车运输</w:t>
                  </w:r>
                </w:p>
              </w:tc>
            </w:tr>
            <w:tr w14:paraId="762C6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000" w:type="pct"/>
                  <w:gridSpan w:val="7"/>
                  <w:vAlign w:val="center"/>
                </w:tcPr>
                <w:p w14:paraId="483DF4F1">
                  <w:pPr>
                    <w:spacing w:line="360" w:lineRule="exact"/>
                    <w:jc w:val="center"/>
                    <w:rPr>
                      <w:rFonts w:ascii="Times New Roman" w:hAnsi="Times New Roman" w:cs="Times New Roman"/>
                      <w:color w:val="auto"/>
                      <w:szCs w:val="21"/>
                      <w:u w:val="none" w:color="auto"/>
                    </w:rPr>
                  </w:pPr>
                  <w:r>
                    <w:rPr>
                      <w:rFonts w:ascii="Times New Roman" w:hAnsi="Times New Roman" w:cs="Times New Roman"/>
                      <w:b/>
                      <w:bCs/>
                      <w:color w:val="auto"/>
                      <w:szCs w:val="21"/>
                      <w:u w:val="none" w:color="auto"/>
                    </w:rPr>
                    <w:t>能源消耗</w:t>
                  </w:r>
                </w:p>
              </w:tc>
            </w:tr>
            <w:tr w14:paraId="41A8C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0E45A40F">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w:t>
                  </w:r>
                </w:p>
              </w:tc>
              <w:tc>
                <w:tcPr>
                  <w:tcW w:w="535" w:type="pct"/>
                  <w:vAlign w:val="center"/>
                </w:tcPr>
                <w:p w14:paraId="25D14739">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电</w:t>
                  </w:r>
                </w:p>
              </w:tc>
              <w:tc>
                <w:tcPr>
                  <w:tcW w:w="562" w:type="pct"/>
                  <w:vAlign w:val="center"/>
                </w:tcPr>
                <w:p w14:paraId="18B5581F">
                  <w:pPr>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20</w:t>
                  </w:r>
                  <w:r>
                    <w:rPr>
                      <w:rFonts w:ascii="Times New Roman" w:hAnsi="Times New Roman" w:cs="Times New Roman"/>
                      <w:color w:val="auto"/>
                      <w:szCs w:val="21"/>
                      <w:u w:val="none" w:color="auto"/>
                    </w:rPr>
                    <w:t>0</w:t>
                  </w:r>
                </w:p>
              </w:tc>
              <w:tc>
                <w:tcPr>
                  <w:tcW w:w="565" w:type="pct"/>
                  <w:vAlign w:val="center"/>
                </w:tcPr>
                <w:p w14:paraId="71A0A8AF">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万kWh/a</w:t>
                  </w:r>
                </w:p>
              </w:tc>
              <w:tc>
                <w:tcPr>
                  <w:tcW w:w="1313" w:type="pct"/>
                  <w:vAlign w:val="center"/>
                </w:tcPr>
                <w:p w14:paraId="453CE0CA">
                  <w:pPr>
                    <w:widowControl/>
                    <w:jc w:val="center"/>
                    <w:rPr>
                      <w:rFonts w:ascii="Times New Roman" w:hAnsi="Times New Roman" w:cs="Times New Roman"/>
                      <w:color w:val="auto"/>
                      <w:kern w:val="0"/>
                      <w:szCs w:val="21"/>
                      <w:u w:val="none" w:color="auto"/>
                    </w:rPr>
                  </w:pPr>
                  <w:r>
                    <w:rPr>
                      <w:rFonts w:ascii="Times New Roman" w:hAnsi="Times New Roman" w:cs="Times New Roman"/>
                      <w:color w:val="auto"/>
                      <w:kern w:val="0"/>
                      <w:szCs w:val="21"/>
                      <w:u w:val="none" w:color="auto"/>
                    </w:rPr>
                    <w:t>/</w:t>
                  </w:r>
                </w:p>
              </w:tc>
              <w:tc>
                <w:tcPr>
                  <w:tcW w:w="715" w:type="pct"/>
                  <w:vAlign w:val="center"/>
                </w:tcPr>
                <w:p w14:paraId="68EC68FB">
                  <w:pPr>
                    <w:widowControl/>
                    <w:jc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w:t>
                  </w:r>
                </w:p>
              </w:tc>
              <w:tc>
                <w:tcPr>
                  <w:tcW w:w="1048" w:type="pct"/>
                  <w:vAlign w:val="center"/>
                </w:tcPr>
                <w:p w14:paraId="565659E7">
                  <w:pPr>
                    <w:widowControl/>
                    <w:jc w:val="center"/>
                    <w:rPr>
                      <w:rFonts w:ascii="Times New Roman" w:hAnsi="Times New Roman" w:cs="Times New Roman"/>
                      <w:color w:val="auto"/>
                      <w:kern w:val="0"/>
                      <w:szCs w:val="21"/>
                      <w:u w:val="none" w:color="auto"/>
                    </w:rPr>
                  </w:pPr>
                  <w:r>
                    <w:rPr>
                      <w:rFonts w:hint="eastAsia" w:ascii="Times New Roman" w:hAnsi="Times New Roman" w:cs="Times New Roman"/>
                      <w:color w:val="auto"/>
                      <w:kern w:val="0"/>
                      <w:szCs w:val="21"/>
                      <w:u w:val="none" w:color="auto"/>
                      <w:lang w:eastAsia="zh-CN"/>
                    </w:rPr>
                    <w:t>荣家湾镇</w:t>
                  </w:r>
                  <w:r>
                    <w:rPr>
                      <w:rFonts w:ascii="Times New Roman" w:hAnsi="Times New Roman" w:cs="Times New Roman"/>
                      <w:color w:val="auto"/>
                      <w:kern w:val="0"/>
                      <w:szCs w:val="21"/>
                      <w:u w:val="none" w:color="auto"/>
                    </w:rPr>
                    <w:t>电网</w:t>
                  </w:r>
                </w:p>
              </w:tc>
            </w:tr>
            <w:tr w14:paraId="2B781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7" w:type="pct"/>
                  <w:vAlign w:val="center"/>
                </w:tcPr>
                <w:p w14:paraId="4EAB8AE4">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2</w:t>
                  </w:r>
                </w:p>
              </w:tc>
              <w:tc>
                <w:tcPr>
                  <w:tcW w:w="535" w:type="pct"/>
                  <w:vAlign w:val="center"/>
                </w:tcPr>
                <w:p w14:paraId="67269DA1">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水</w:t>
                  </w:r>
                </w:p>
              </w:tc>
              <w:tc>
                <w:tcPr>
                  <w:tcW w:w="562" w:type="pct"/>
                  <w:vAlign w:val="center"/>
                </w:tcPr>
                <w:p w14:paraId="7A278741">
                  <w:pPr>
                    <w:jc w:val="center"/>
                    <w:rPr>
                      <w:rFonts w:hint="default" w:ascii="Times New Roman" w:hAnsi="Times New Roman" w:cs="Times New Roman"/>
                      <w:color w:val="auto"/>
                      <w:szCs w:val="21"/>
                      <w:u w:val="none" w:color="auto"/>
                      <w:lang w:val="en-US"/>
                    </w:rPr>
                  </w:pPr>
                  <w:r>
                    <w:rPr>
                      <w:rFonts w:hint="eastAsia" w:ascii="Times New Roman" w:hAnsi="Times New Roman" w:cs="Times New Roman"/>
                      <w:color w:val="auto"/>
                      <w:szCs w:val="21"/>
                      <w:highlight w:val="none"/>
                      <w:u w:val="none" w:color="auto"/>
                      <w:lang w:val="en-US" w:eastAsia="zh-CN"/>
                    </w:rPr>
                    <w:t>97142</w:t>
                  </w:r>
                </w:p>
              </w:tc>
              <w:tc>
                <w:tcPr>
                  <w:tcW w:w="565" w:type="pct"/>
                  <w:vAlign w:val="center"/>
                </w:tcPr>
                <w:p w14:paraId="1D3902D8">
                  <w:pPr>
                    <w:jc w:val="center"/>
                    <w:rPr>
                      <w:rFonts w:hint="default" w:ascii="Times New Roman" w:hAnsi="Times New Roman" w:cs="Times New Roman" w:eastAsiaTheme="minorEastAsia"/>
                      <w:color w:val="auto"/>
                      <w:szCs w:val="21"/>
                      <w:u w:val="none" w:color="auto"/>
                      <w:lang w:val="en-US" w:eastAsia="zh-CN"/>
                    </w:rPr>
                  </w:pPr>
                  <w:r>
                    <w:rPr>
                      <w:rFonts w:ascii="Times New Roman" w:hAnsi="Times New Roman" w:cs="Times New Roman"/>
                      <w:color w:val="auto"/>
                      <w:szCs w:val="21"/>
                      <w:u w:val="none" w:color="auto"/>
                    </w:rPr>
                    <w:t>t/a</w:t>
                  </w:r>
                </w:p>
              </w:tc>
              <w:tc>
                <w:tcPr>
                  <w:tcW w:w="1313" w:type="pct"/>
                  <w:vAlign w:val="center"/>
                </w:tcPr>
                <w:p w14:paraId="49634DC9">
                  <w:pPr>
                    <w:widowControl/>
                    <w:jc w:val="center"/>
                    <w:rPr>
                      <w:rFonts w:ascii="Times New Roman" w:hAnsi="Times New Roman" w:cs="Times New Roman"/>
                      <w:color w:val="auto"/>
                      <w:kern w:val="0"/>
                      <w:szCs w:val="21"/>
                      <w:u w:val="none" w:color="auto"/>
                    </w:rPr>
                  </w:pPr>
                  <w:r>
                    <w:rPr>
                      <w:rFonts w:ascii="Times New Roman" w:hAnsi="Times New Roman" w:cs="Times New Roman"/>
                      <w:color w:val="auto"/>
                      <w:kern w:val="0"/>
                      <w:szCs w:val="21"/>
                      <w:u w:val="none" w:color="auto"/>
                    </w:rPr>
                    <w:t>/</w:t>
                  </w:r>
                </w:p>
              </w:tc>
              <w:tc>
                <w:tcPr>
                  <w:tcW w:w="715" w:type="pct"/>
                  <w:vAlign w:val="center"/>
                </w:tcPr>
                <w:p w14:paraId="3ED443F2">
                  <w:pPr>
                    <w:widowControl/>
                    <w:jc w:val="center"/>
                    <w:rPr>
                      <w:rFonts w:hint="eastAsia" w:ascii="Times New Roman" w:hAnsi="Times New Roman" w:cs="Times New Roman" w:eastAsiaTheme="minorEastAsia"/>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w:t>
                  </w:r>
                </w:p>
              </w:tc>
              <w:tc>
                <w:tcPr>
                  <w:tcW w:w="1048" w:type="pct"/>
                  <w:vAlign w:val="center"/>
                </w:tcPr>
                <w:p w14:paraId="5A00003B">
                  <w:pPr>
                    <w:widowControl/>
                    <w:jc w:val="center"/>
                    <w:rPr>
                      <w:rFonts w:ascii="Times New Roman" w:hAnsi="Times New Roman" w:cs="Times New Roman"/>
                      <w:color w:val="auto"/>
                      <w:kern w:val="0"/>
                      <w:szCs w:val="21"/>
                      <w:u w:val="none" w:color="auto"/>
                    </w:rPr>
                  </w:pPr>
                  <w:r>
                    <w:rPr>
                      <w:rFonts w:ascii="Times New Roman" w:hAnsi="Times New Roman" w:cs="Times New Roman"/>
                      <w:color w:val="auto"/>
                      <w:szCs w:val="21"/>
                      <w:u w:val="none" w:color="auto"/>
                    </w:rPr>
                    <w:t>市政供水管网</w:t>
                  </w:r>
                </w:p>
              </w:tc>
            </w:tr>
          </w:tbl>
          <w:p w14:paraId="6F8F80D0">
            <w:pPr>
              <w:spacing w:line="360" w:lineRule="auto"/>
              <w:ind w:firstLine="480" w:firstLineChars="200"/>
              <w:rPr>
                <w:rFonts w:ascii="Times New Roman" w:hAnsi="Times New Roman" w:cs="Times New Roman"/>
                <w:bCs/>
                <w:color w:val="auto"/>
                <w:kern w:val="0"/>
                <w:sz w:val="24"/>
                <w:u w:val="none" w:color="auto"/>
              </w:rPr>
            </w:pPr>
            <w:r>
              <w:rPr>
                <w:rFonts w:ascii="Times New Roman" w:hAnsi="Times New Roman" w:cs="Times New Roman"/>
                <w:bCs/>
                <w:color w:val="auto"/>
                <w:kern w:val="0"/>
                <w:sz w:val="24"/>
                <w:u w:val="none" w:color="auto"/>
              </w:rPr>
              <w:t>水泥：主要成分为硅酸钙、是由硅酸盐水泥熟料加入石膏，磨细制成的水硬性胶凝材料，加水搅拌后成</w:t>
            </w:r>
            <w:r>
              <w:rPr>
                <w:color w:val="auto"/>
                <w:u w:val="none" w:color="auto"/>
              </w:rPr>
              <w:fldChar w:fldCharType="begin"/>
            </w:r>
            <w:r>
              <w:rPr>
                <w:color w:val="auto"/>
                <w:u w:val="none" w:color="auto"/>
              </w:rPr>
              <w:instrText xml:space="preserve"> HYPERLINK "https://baike.baidu.com/item/%E6%B5%86%E4%BD%93/56169892" \t "_blank" </w:instrText>
            </w:r>
            <w:r>
              <w:rPr>
                <w:color w:val="auto"/>
                <w:u w:val="none" w:color="auto"/>
              </w:rPr>
              <w:fldChar w:fldCharType="separate"/>
            </w:r>
            <w:r>
              <w:rPr>
                <w:rFonts w:ascii="Times New Roman" w:hAnsi="Times New Roman" w:cs="Times New Roman"/>
                <w:bCs/>
                <w:color w:val="auto"/>
                <w:kern w:val="0"/>
                <w:sz w:val="24"/>
                <w:u w:val="none" w:color="auto"/>
              </w:rPr>
              <w:t>浆体</w:t>
            </w:r>
            <w:r>
              <w:rPr>
                <w:rFonts w:ascii="Times New Roman" w:hAnsi="Times New Roman" w:cs="Times New Roman"/>
                <w:bCs/>
                <w:color w:val="auto"/>
                <w:kern w:val="0"/>
                <w:sz w:val="24"/>
                <w:u w:val="none" w:color="auto"/>
              </w:rPr>
              <w:fldChar w:fldCharType="end"/>
            </w:r>
            <w:r>
              <w:rPr>
                <w:rFonts w:ascii="Times New Roman" w:hAnsi="Times New Roman" w:cs="Times New Roman"/>
                <w:bCs/>
                <w:color w:val="auto"/>
                <w:kern w:val="0"/>
                <w:sz w:val="24"/>
                <w:u w:val="none" w:color="auto"/>
              </w:rPr>
              <w:t>，能在空气中</w:t>
            </w:r>
            <w:r>
              <w:rPr>
                <w:color w:val="auto"/>
                <w:u w:val="none" w:color="auto"/>
              </w:rPr>
              <w:fldChar w:fldCharType="begin"/>
            </w:r>
            <w:r>
              <w:rPr>
                <w:color w:val="auto"/>
                <w:u w:val="none" w:color="auto"/>
              </w:rPr>
              <w:instrText xml:space="preserve"> HYPERLINK "https://baike.baidu.com/item/%E7%A1%AC%E5%8C%96/1588938" \t "_blank" </w:instrText>
            </w:r>
            <w:r>
              <w:rPr>
                <w:color w:val="auto"/>
                <w:u w:val="none" w:color="auto"/>
              </w:rPr>
              <w:fldChar w:fldCharType="separate"/>
            </w:r>
            <w:r>
              <w:rPr>
                <w:rFonts w:ascii="Times New Roman" w:hAnsi="Times New Roman" w:cs="Times New Roman"/>
                <w:bCs/>
                <w:color w:val="auto"/>
                <w:kern w:val="0"/>
                <w:sz w:val="24"/>
                <w:u w:val="none" w:color="auto"/>
              </w:rPr>
              <w:t>硬化</w:t>
            </w:r>
            <w:r>
              <w:rPr>
                <w:rFonts w:ascii="Times New Roman" w:hAnsi="Times New Roman" w:cs="Times New Roman"/>
                <w:bCs/>
                <w:color w:val="auto"/>
                <w:kern w:val="0"/>
                <w:sz w:val="24"/>
                <w:u w:val="none" w:color="auto"/>
              </w:rPr>
              <w:fldChar w:fldCharType="end"/>
            </w:r>
            <w:r>
              <w:rPr>
                <w:rFonts w:ascii="Times New Roman" w:hAnsi="Times New Roman" w:cs="Times New Roman"/>
                <w:bCs/>
                <w:color w:val="auto"/>
                <w:kern w:val="0"/>
                <w:sz w:val="24"/>
                <w:u w:val="none" w:color="auto"/>
              </w:rPr>
              <w:t>或者在水中硬化，并能把砂、石等材料牢固地</w:t>
            </w:r>
            <w:r>
              <w:rPr>
                <w:color w:val="auto"/>
                <w:u w:val="none" w:color="auto"/>
              </w:rPr>
              <w:fldChar w:fldCharType="begin"/>
            </w:r>
            <w:r>
              <w:rPr>
                <w:color w:val="auto"/>
                <w:u w:val="none" w:color="auto"/>
              </w:rPr>
              <w:instrText xml:space="preserve"> HYPERLINK "https://baike.baidu.com/item/%E8%83%B6%E7%BB%93/6481488" \t "_blank" </w:instrText>
            </w:r>
            <w:r>
              <w:rPr>
                <w:color w:val="auto"/>
                <w:u w:val="none" w:color="auto"/>
              </w:rPr>
              <w:fldChar w:fldCharType="separate"/>
            </w:r>
            <w:r>
              <w:rPr>
                <w:rFonts w:ascii="Times New Roman" w:hAnsi="Times New Roman" w:cs="Times New Roman"/>
                <w:bCs/>
                <w:color w:val="auto"/>
                <w:kern w:val="0"/>
                <w:sz w:val="24"/>
                <w:u w:val="none" w:color="auto"/>
              </w:rPr>
              <w:t>胶结</w:t>
            </w:r>
            <w:r>
              <w:rPr>
                <w:rFonts w:ascii="Times New Roman" w:hAnsi="Times New Roman" w:cs="Times New Roman"/>
                <w:bCs/>
                <w:color w:val="auto"/>
                <w:kern w:val="0"/>
                <w:sz w:val="24"/>
                <w:u w:val="none" w:color="auto"/>
              </w:rPr>
              <w:fldChar w:fldCharType="end"/>
            </w:r>
            <w:r>
              <w:rPr>
                <w:rFonts w:ascii="Times New Roman" w:hAnsi="Times New Roman" w:cs="Times New Roman"/>
                <w:bCs/>
                <w:color w:val="auto"/>
                <w:kern w:val="0"/>
                <w:sz w:val="24"/>
                <w:u w:val="none" w:color="auto"/>
              </w:rPr>
              <w:t>在一起。</w:t>
            </w:r>
          </w:p>
          <w:p w14:paraId="22FB1CD4">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粉煤灰：粉煤灰是从煤燃烧后的烟气中收捕下来的细灰，粉煤灰是燃煤电厂排出的主要固体废物。我国火电厂粉煤灰的主要氧化物组成为：SiO</w:t>
            </w:r>
            <w:r>
              <w:rPr>
                <w:rFonts w:ascii="Times New Roman" w:hAnsi="Times New Roman" w:cs="Times New Roman"/>
                <w:color w:val="auto"/>
                <w:sz w:val="24"/>
                <w:u w:val="none" w:color="auto"/>
                <w:vertAlign w:val="subscript"/>
              </w:rPr>
              <w:t>2</w:t>
            </w:r>
            <w:r>
              <w:rPr>
                <w:rFonts w:ascii="Times New Roman" w:hAnsi="Times New Roman" w:cs="Times New Roman"/>
                <w:color w:val="auto"/>
                <w:sz w:val="24"/>
                <w:u w:val="none" w:color="auto"/>
              </w:rPr>
              <w:t>、Al</w:t>
            </w:r>
            <w:r>
              <w:rPr>
                <w:rFonts w:ascii="Times New Roman" w:hAnsi="Times New Roman" w:cs="Times New Roman"/>
                <w:color w:val="auto"/>
                <w:sz w:val="24"/>
                <w:u w:val="none" w:color="auto"/>
                <w:vertAlign w:val="subscript"/>
              </w:rPr>
              <w:t>2</w:t>
            </w:r>
            <w:r>
              <w:rPr>
                <w:rFonts w:ascii="Times New Roman" w:hAnsi="Times New Roman" w:cs="Times New Roman"/>
                <w:color w:val="auto"/>
                <w:sz w:val="24"/>
                <w:u w:val="none" w:color="auto"/>
              </w:rPr>
              <w:t>O</w:t>
            </w:r>
            <w:r>
              <w:rPr>
                <w:rFonts w:ascii="Times New Roman" w:hAnsi="Times New Roman" w:cs="Times New Roman"/>
                <w:color w:val="auto"/>
                <w:sz w:val="24"/>
                <w:u w:val="none" w:color="auto"/>
                <w:vertAlign w:val="subscript"/>
              </w:rPr>
              <w:t>3</w:t>
            </w:r>
            <w:r>
              <w:rPr>
                <w:rFonts w:ascii="Times New Roman" w:hAnsi="Times New Roman" w:cs="Times New Roman"/>
                <w:color w:val="auto"/>
                <w:sz w:val="24"/>
                <w:u w:val="none" w:color="auto"/>
              </w:rPr>
              <w:t>、FeO、Fe</w:t>
            </w:r>
            <w:r>
              <w:rPr>
                <w:rFonts w:ascii="Times New Roman" w:hAnsi="Times New Roman" w:cs="Times New Roman"/>
                <w:color w:val="auto"/>
                <w:sz w:val="24"/>
                <w:u w:val="none" w:color="auto"/>
                <w:vertAlign w:val="subscript"/>
              </w:rPr>
              <w:t>2</w:t>
            </w:r>
            <w:r>
              <w:rPr>
                <w:rFonts w:ascii="Times New Roman" w:hAnsi="Times New Roman" w:cs="Times New Roman"/>
                <w:color w:val="auto"/>
                <w:sz w:val="24"/>
                <w:u w:val="none" w:color="auto"/>
              </w:rPr>
              <w:t>O</w:t>
            </w:r>
            <w:r>
              <w:rPr>
                <w:rFonts w:ascii="Times New Roman" w:hAnsi="Times New Roman" w:cs="Times New Roman"/>
                <w:color w:val="auto"/>
                <w:sz w:val="24"/>
                <w:u w:val="none" w:color="auto"/>
                <w:vertAlign w:val="subscript"/>
              </w:rPr>
              <w:t>3</w:t>
            </w:r>
            <w:r>
              <w:rPr>
                <w:rFonts w:ascii="Times New Roman" w:hAnsi="Times New Roman" w:cs="Times New Roman"/>
                <w:color w:val="auto"/>
                <w:sz w:val="24"/>
                <w:u w:val="none" w:color="auto"/>
              </w:rPr>
              <w:t>、CaO、TiO</w:t>
            </w:r>
            <w:r>
              <w:rPr>
                <w:rFonts w:ascii="Times New Roman" w:hAnsi="Times New Roman" w:cs="Times New Roman"/>
                <w:color w:val="auto"/>
                <w:sz w:val="24"/>
                <w:u w:val="none" w:color="auto"/>
                <w:vertAlign w:val="subscript"/>
              </w:rPr>
              <w:t>2</w:t>
            </w:r>
            <w:r>
              <w:rPr>
                <w:rFonts w:ascii="Times New Roman" w:hAnsi="Times New Roman" w:cs="Times New Roman"/>
                <w:color w:val="auto"/>
                <w:sz w:val="24"/>
                <w:u w:val="none" w:color="auto"/>
              </w:rPr>
              <w:t>等。项目采用的粉煤灰由粉煤灰厂家罐装车运输到厂内、自带气泵输送至项目粉煤灰筒仓。项目粉煤灰由筒仓存储，无地面堆放。</w:t>
            </w:r>
          </w:p>
          <w:p w14:paraId="78DA9E09">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矿粉：矿粉的主要成分有氧化钙、二氧化硅、三氧化二铝、氧化镁等，项目采用的矿粉由矿粉厂家罐装车运输到厂内、自带气泵输送至项目矿粉筒仓。项目矿粉由筒仓存储，无地面堆放。</w:t>
            </w:r>
          </w:p>
          <w:p w14:paraId="5F870882">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膨胀剂：主要成分为矾石、生石灰、氧化镁、蓝晶石等。膨胀剂是一种可以通过理化反应引起体积膨胀的材料，其体积膨胀可被应用于材料生产、无声爆破等多个领域。</w:t>
            </w:r>
          </w:p>
          <w:p w14:paraId="16A168B5">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外加剂：本项目使用的外加剂主要为聚羧酸高效减水剂、早强剂、抗冻剂、抗渗剂。理化性质分别如下：</w:t>
            </w:r>
            <w:r>
              <w:rPr>
                <w:rFonts w:ascii="宋体" w:hAnsi="Times New Roman" w:eastAsia="宋体" w:cs="Times New Roman"/>
                <w:color w:val="auto"/>
                <w:sz w:val="24"/>
                <w:u w:val="none" w:color="auto"/>
              </w:rPr>
              <w:t>①</w:t>
            </w:r>
            <w:r>
              <w:rPr>
                <w:rFonts w:ascii="Times New Roman" w:hAnsi="Times New Roman" w:cs="Times New Roman"/>
                <w:color w:val="auto"/>
                <w:sz w:val="24"/>
                <w:u w:val="none" w:color="auto"/>
              </w:rPr>
              <w:t>聚羧酸高效减水剂是集减水、保坍、增强、防收缩及环保等于一身的具有优良性能的系列减水剂。拌制混凝土拌合前或拌合过程中掺入用以改善混凝土性能的物质。掺量一般不大于水泥质量的5%。聚羧酸高效减水剂成分较为复杂，其质量执行《混凝土外加剂》（GB8076-2008）、《聚羧酸系高性能减水剂》（JG/T223-2017）相关标准；</w:t>
            </w:r>
            <w:r>
              <w:rPr>
                <w:rFonts w:ascii="Times New Roman" w:hAnsi="Times New Roman" w:eastAsia="宋体" w:cs="Times New Roman"/>
                <w:color w:val="auto"/>
                <w:sz w:val="24"/>
                <w:u w:val="none" w:color="auto"/>
              </w:rPr>
              <w:t>②</w:t>
            </w:r>
            <w:r>
              <w:rPr>
                <w:rFonts w:ascii="Times New Roman" w:hAnsi="Times New Roman" w:cs="Times New Roman"/>
                <w:color w:val="auto"/>
                <w:sz w:val="24"/>
                <w:u w:val="none" w:color="auto"/>
              </w:rPr>
              <w:t>早强剂混凝土外加剂之一。混凝土早强剂是指能提高混凝土早期强度，并且对后期强度无显著影响的外加剂。早强剂的主要作用在于加速水泥水化速度，促进混凝土早期强度的发展</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既具有早强功能，又具有一定减水增强功能，其质量执行《混凝土外加剂》（GB8076-2008）；</w:t>
            </w:r>
            <w:r>
              <w:rPr>
                <w:rFonts w:ascii="Times New Roman" w:hAnsi="Times New Roman" w:eastAsia="宋体" w:cs="Times New Roman"/>
                <w:color w:val="auto"/>
                <w:sz w:val="24"/>
                <w:u w:val="none" w:color="auto"/>
              </w:rPr>
              <w:t>③</w:t>
            </w:r>
            <w:r>
              <w:rPr>
                <w:rFonts w:ascii="Times New Roman" w:hAnsi="Times New Roman" w:cs="Times New Roman"/>
                <w:color w:val="auto"/>
                <w:sz w:val="24"/>
                <w:u w:val="none" w:color="auto"/>
              </w:rPr>
              <w:t>抗冻剂能有效降低混凝土的冰点，大大提高混凝土在负温下的抗冻性能。并能使混凝土的早期强度提高80%以上，后期强度不降低，从而保证在正负温和负温条件下强度得到同样发展，其性能指标执行性能指标参考JC/T475-2015)；</w:t>
            </w:r>
            <w:r>
              <w:rPr>
                <w:rFonts w:ascii="Times New Roman" w:hAnsi="Times New Roman" w:eastAsia="宋体" w:cs="Times New Roman"/>
                <w:color w:val="auto"/>
                <w:sz w:val="24"/>
                <w:u w:val="none" w:color="auto"/>
              </w:rPr>
              <w:t>④</w:t>
            </w:r>
            <w:r>
              <w:rPr>
                <w:rFonts w:ascii="Times New Roman" w:hAnsi="Times New Roman" w:cs="Times New Roman"/>
                <w:color w:val="auto"/>
                <w:sz w:val="24"/>
                <w:u w:val="none" w:color="auto"/>
              </w:rPr>
              <w:t>抗渗剂可代替水拌合混凝土，在与混凝土反应过程中，其主要成分高分子化合物的原子连接成线形并带有较长分支部网状，抗渗剂一般都是呈现乱向分布的立体结构，密布于混凝土层的高分子结构，并完全堵塞混凝土的毛细通道，使水泥及水泥砂浆具有憎水性，提高混凝土的抗渗能力，增加其密实度和抗渗性。抗渗剂在加热时不能熔融，只能变软；不能在任何溶剂中溶解，只能微溶胀；所以能够有效弥补在施工过程中各种微小瑕疵，抗渗剂具有耐高温、耐酸碱、耐腐蚀、无毒无味的特点；应用于各种防水工程中，其耐老化性能与建筑同寿命，其质量执行《混凝土外加剂》（GB8076-2008）。</w:t>
            </w:r>
          </w:p>
          <w:p w14:paraId="22810096">
            <w:pPr>
              <w:spacing w:line="360" w:lineRule="auto"/>
              <w:ind w:firstLine="482" w:firstLineChars="200"/>
              <w:rPr>
                <w:rFonts w:ascii="Times New Roman" w:hAnsi="Times New Roman" w:cs="Times New Roman"/>
                <w:color w:val="auto"/>
                <w:sz w:val="24"/>
                <w:u w:val="none" w:color="auto"/>
              </w:rPr>
            </w:pPr>
            <w:r>
              <w:rPr>
                <w:rFonts w:ascii="Times New Roman" w:hAnsi="Times New Roman" w:cs="Times New Roman"/>
                <w:b/>
                <w:color w:val="auto"/>
                <w:sz w:val="24"/>
                <w:szCs w:val="24"/>
                <w:u w:val="none" w:color="auto"/>
              </w:rPr>
              <w:t>原辅材料暂存场所要求：</w:t>
            </w:r>
            <w:r>
              <w:rPr>
                <w:rFonts w:ascii="Times New Roman" w:hAnsi="Times New Roman" w:cs="Times New Roman"/>
                <w:color w:val="auto"/>
                <w:sz w:val="24"/>
                <w:u w:val="none" w:color="auto"/>
              </w:rPr>
              <w:t>本项目砂石骨料贮存于砂石料场，砂石料场建设防雨顶棚及四面围挡（呈全封闭式堆场）；仓库设有防水、排水设施。应加强“三防”规范建设：防扬散、防流失、防渗漏。</w:t>
            </w:r>
            <w:r>
              <w:rPr>
                <w:rFonts w:ascii="Times New Roman" w:hAnsi="Times New Roman" w:eastAsia="宋体" w:cs="Times New Roman"/>
                <w:color w:val="auto"/>
                <w:sz w:val="24"/>
                <w:u w:val="none" w:color="auto"/>
              </w:rPr>
              <w:t>①</w:t>
            </w:r>
            <w:r>
              <w:rPr>
                <w:rFonts w:ascii="Times New Roman" w:hAnsi="Times New Roman" w:cs="Times New Roman"/>
                <w:color w:val="auto"/>
                <w:sz w:val="24"/>
                <w:u w:val="none" w:color="auto"/>
              </w:rPr>
              <w:t>砂石料场应采取防止粉尘污染的措施，如：建设围挡、原料应集中堆放。</w:t>
            </w:r>
            <w:r>
              <w:rPr>
                <w:rFonts w:ascii="Times New Roman" w:hAnsi="Times New Roman" w:eastAsia="宋体" w:cs="Times New Roman"/>
                <w:color w:val="auto"/>
                <w:sz w:val="24"/>
                <w:u w:val="none" w:color="auto"/>
              </w:rPr>
              <w:t>②</w:t>
            </w:r>
            <w:r>
              <w:rPr>
                <w:rFonts w:ascii="Times New Roman" w:hAnsi="Times New Roman" w:cs="Times New Roman"/>
                <w:color w:val="auto"/>
                <w:sz w:val="24"/>
                <w:u w:val="none" w:color="auto"/>
              </w:rPr>
              <w:t>为防止雨水径流进入仓库内，避免渗滤液量增加和滑坡，仓库周边应设置导流渠。</w:t>
            </w:r>
            <w:r>
              <w:rPr>
                <w:rFonts w:ascii="Times New Roman" w:hAnsi="Times New Roman" w:eastAsia="宋体" w:cs="Times New Roman"/>
                <w:color w:val="auto"/>
                <w:sz w:val="24"/>
                <w:u w:val="none" w:color="auto"/>
              </w:rPr>
              <w:t>③</w:t>
            </w:r>
            <w:r>
              <w:rPr>
                <w:rFonts w:ascii="Times New Roman" w:hAnsi="Times New Roman" w:cs="Times New Roman"/>
                <w:color w:val="auto"/>
                <w:sz w:val="24"/>
                <w:u w:val="none" w:color="auto"/>
              </w:rPr>
              <w:t>为了防止料场由于风蚀产生新的流失，堆场周围进行防护，采用彩钢板防护的措施。在仓库周围进行全部，彩钢板底部埋入地表以下0.2m，地表以上拦挡连接顶棚，挡板外侧采取钢支架支撑措施。</w:t>
            </w:r>
          </w:p>
          <w:p w14:paraId="31B0D8BA">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粉料仓要求：封闭式的罐体，应具备防雨、防潮、使用方便等特点。料仓应平整光滑，便于物料装卸；同时应配套除尘系统。</w:t>
            </w:r>
          </w:p>
          <w:p w14:paraId="45EB6E66">
            <w:pPr>
              <w:pStyle w:val="101"/>
              <w:ind w:firstLine="482"/>
              <w:rPr>
                <w:color w:val="auto"/>
                <w:u w:val="none" w:color="auto"/>
              </w:rPr>
            </w:pPr>
          </w:p>
          <w:p w14:paraId="2DCA0943">
            <w:pPr>
              <w:pStyle w:val="101"/>
              <w:ind w:firstLine="482"/>
              <w:rPr>
                <w:color w:val="auto"/>
                <w:u w:val="none" w:color="auto"/>
              </w:rPr>
            </w:pPr>
            <w:r>
              <w:rPr>
                <w:color w:val="auto"/>
                <w:u w:val="none" w:color="auto"/>
              </w:rPr>
              <w:t>运输方式及环保措施</w:t>
            </w:r>
          </w:p>
          <w:p w14:paraId="19DD3E45">
            <w:pPr>
              <w:spacing w:line="360" w:lineRule="auto"/>
              <w:ind w:firstLine="480" w:firstLineChars="200"/>
              <w:rPr>
                <w:rFonts w:ascii="Times New Roman" w:hAnsi="Times New Roman" w:cs="Times New Roman"/>
                <w:bCs/>
                <w:color w:val="auto"/>
                <w:sz w:val="24"/>
                <w:u w:val="none" w:color="auto"/>
              </w:rPr>
            </w:pPr>
            <w:r>
              <w:rPr>
                <w:rFonts w:ascii="宋体" w:hAnsi="Times New Roman" w:eastAsia="宋体" w:cs="Times New Roman"/>
                <w:color w:val="auto"/>
                <w:sz w:val="24"/>
                <w:u w:val="none" w:color="auto"/>
              </w:rPr>
              <w:t>①</w:t>
            </w:r>
            <w:r>
              <w:rPr>
                <w:rFonts w:ascii="Times New Roman" w:hAnsi="Times New Roman" w:cs="Times New Roman"/>
                <w:bCs/>
                <w:color w:val="auto"/>
                <w:sz w:val="24"/>
                <w:u w:val="none" w:color="auto"/>
              </w:rPr>
              <w:t>原辅材料运输路线：本项目砂石骨料由运输车辆从</w:t>
            </w:r>
            <w:r>
              <w:rPr>
                <w:rFonts w:hint="eastAsia" w:ascii="Times New Roman" w:hAnsi="Times New Roman" w:cs="Times New Roman"/>
                <w:bCs/>
                <w:color w:val="auto"/>
                <w:sz w:val="24"/>
                <w:u w:val="none" w:color="auto"/>
                <w:lang w:val="en-US" w:eastAsia="zh-CN"/>
              </w:rPr>
              <w:t>X109</w:t>
            </w:r>
            <w:r>
              <w:rPr>
                <w:rFonts w:ascii="Times New Roman" w:hAnsi="Times New Roman" w:cs="Times New Roman"/>
                <w:bCs/>
                <w:color w:val="auto"/>
                <w:sz w:val="24"/>
                <w:u w:val="none" w:color="auto"/>
              </w:rPr>
              <w:t>运输至本项目的砂石料场；水泥等粉末状物料采取专业散装运输车进行运输，且运输车的输送管路与配料仓的进料管路相接，通过散装运输车的气体压力将罐内物料输送到配料仓内。环保措施：</w:t>
            </w:r>
            <w:r>
              <w:rPr>
                <w:rFonts w:ascii="宋体" w:hAnsi="Times New Roman" w:eastAsia="宋体" w:cs="Times New Roman"/>
                <w:bCs/>
                <w:color w:val="auto"/>
                <w:sz w:val="24"/>
                <w:u w:val="none" w:color="auto"/>
              </w:rPr>
              <w:t>①</w:t>
            </w:r>
            <w:r>
              <w:rPr>
                <w:rFonts w:ascii="Times New Roman" w:hAnsi="Times New Roman" w:cs="Times New Roman"/>
                <w:bCs/>
                <w:color w:val="auto"/>
                <w:sz w:val="24"/>
                <w:u w:val="none" w:color="auto"/>
              </w:rPr>
              <w:t>运输车辆不得超载，防止物料泼洒；</w:t>
            </w:r>
            <w:r>
              <w:rPr>
                <w:rFonts w:ascii="宋体" w:hAnsi="Times New Roman" w:eastAsia="宋体" w:cs="Times New Roman"/>
                <w:bCs/>
                <w:color w:val="auto"/>
                <w:sz w:val="24"/>
                <w:u w:val="none" w:color="auto"/>
              </w:rPr>
              <w:t>②</w:t>
            </w:r>
            <w:r>
              <w:rPr>
                <w:rFonts w:ascii="Times New Roman" w:hAnsi="Times New Roman" w:cs="Times New Roman"/>
                <w:bCs/>
                <w:color w:val="auto"/>
                <w:sz w:val="24"/>
                <w:u w:val="none" w:color="auto"/>
              </w:rPr>
              <w:t>运输物料的车辆应当</w:t>
            </w:r>
            <w:r>
              <w:rPr>
                <w:rFonts w:ascii="Times New Roman" w:hAnsi="Times New Roman" w:cs="Times New Roman"/>
                <w:color w:val="auto"/>
                <w:sz w:val="24"/>
                <w:u w:val="none" w:color="auto"/>
              </w:rPr>
              <w:t>采用密闭车辆运输</w:t>
            </w:r>
            <w:r>
              <w:rPr>
                <w:rFonts w:ascii="Times New Roman" w:hAnsi="Times New Roman" w:cs="Times New Roman"/>
                <w:bCs/>
                <w:color w:val="auto"/>
                <w:sz w:val="24"/>
                <w:u w:val="none" w:color="auto"/>
              </w:rPr>
              <w:t>，并保证物料不遗撒外漏；</w:t>
            </w:r>
            <w:r>
              <w:rPr>
                <w:rFonts w:ascii="宋体" w:hAnsi="Times New Roman" w:eastAsia="宋体" w:cs="Times New Roman"/>
                <w:bCs/>
                <w:color w:val="auto"/>
                <w:sz w:val="24"/>
                <w:u w:val="none" w:color="auto"/>
              </w:rPr>
              <w:t>③</w:t>
            </w:r>
            <w:r>
              <w:rPr>
                <w:rFonts w:ascii="Times New Roman" w:hAnsi="Times New Roman" w:cs="Times New Roman"/>
                <w:bCs/>
                <w:color w:val="auto"/>
                <w:sz w:val="24"/>
                <w:u w:val="none" w:color="auto"/>
              </w:rPr>
              <w:t>厂区需设置洗车设施，车辆驶出装、卸场地前用水将车厢和轮胎冲洗干净；运输车辆</w:t>
            </w:r>
            <w:r>
              <w:rPr>
                <w:rFonts w:hint="eastAsia" w:ascii="Times New Roman" w:hAnsi="Times New Roman" w:cs="Times New Roman"/>
                <w:bCs/>
                <w:color w:val="auto"/>
                <w:sz w:val="24"/>
                <w:u w:val="none" w:color="auto"/>
                <w:lang w:eastAsia="zh-CN"/>
              </w:rPr>
              <w:t>驶出</w:t>
            </w:r>
            <w:r>
              <w:rPr>
                <w:rFonts w:ascii="Times New Roman" w:hAnsi="Times New Roman" w:cs="Times New Roman"/>
                <w:bCs/>
                <w:color w:val="auto"/>
                <w:sz w:val="24"/>
                <w:u w:val="none" w:color="auto"/>
              </w:rPr>
              <w:t>厂区前要将车轮和槽帮冲洗干净，确保车辆不带泥土驶离工地；场地内运输通道及时清扫并定期洒水，以减少汽车行驶扬尘；</w:t>
            </w:r>
            <w:r>
              <w:rPr>
                <w:rFonts w:ascii="宋体" w:hAnsi="Times New Roman" w:eastAsia="宋体" w:cs="Times New Roman"/>
                <w:bCs/>
                <w:color w:val="auto"/>
                <w:sz w:val="24"/>
                <w:u w:val="none" w:color="auto"/>
              </w:rPr>
              <w:t>④</w:t>
            </w:r>
            <w:r>
              <w:rPr>
                <w:rFonts w:ascii="Times New Roman" w:hAnsi="Times New Roman" w:cs="Times New Roman"/>
                <w:bCs/>
                <w:color w:val="auto"/>
                <w:sz w:val="24"/>
                <w:u w:val="none" w:color="auto"/>
              </w:rPr>
              <w:t>合理安排作业时间，尽量减少夜间运输频次，并进行线路优化。</w:t>
            </w:r>
          </w:p>
          <w:p w14:paraId="573C83DB">
            <w:pPr>
              <w:spacing w:line="360" w:lineRule="auto"/>
              <w:ind w:firstLine="480" w:firstLineChars="200"/>
              <w:rPr>
                <w:rFonts w:ascii="Times New Roman" w:hAnsi="Times New Roman" w:cs="Times New Roman"/>
                <w:bCs/>
                <w:color w:val="auto"/>
                <w:sz w:val="24"/>
                <w:u w:val="none" w:color="auto"/>
              </w:rPr>
            </w:pPr>
            <w:r>
              <w:rPr>
                <w:rFonts w:ascii="Times New Roman" w:hAnsi="Times New Roman" w:eastAsia="宋体" w:cs="Times New Roman"/>
                <w:color w:val="auto"/>
                <w:sz w:val="24"/>
                <w:u w:val="none" w:color="auto"/>
              </w:rPr>
              <w:t>②</w:t>
            </w:r>
            <w:r>
              <w:rPr>
                <w:rFonts w:hint="eastAsia" w:ascii="Times New Roman" w:hAnsi="Times New Roman" w:eastAsia="宋体" w:cs="Times New Roman"/>
                <w:color w:val="auto"/>
                <w:sz w:val="24"/>
                <w:u w:val="none" w:color="auto"/>
                <w:lang w:val="en-US" w:eastAsia="zh-CN"/>
              </w:rPr>
              <w:t>产</w:t>
            </w:r>
            <w:r>
              <w:rPr>
                <w:rFonts w:ascii="Times New Roman" w:hAnsi="Times New Roman" w:cs="Times New Roman"/>
                <w:bCs/>
                <w:color w:val="auto"/>
                <w:sz w:val="24"/>
                <w:u w:val="none" w:color="auto"/>
              </w:rPr>
              <w:t>品运输路线：项目产品经</w:t>
            </w:r>
            <w:r>
              <w:rPr>
                <w:rFonts w:hint="eastAsia" w:ascii="Times New Roman" w:hAnsi="Times New Roman" w:cs="Times New Roman"/>
                <w:bCs/>
                <w:color w:val="auto"/>
                <w:sz w:val="24"/>
                <w:u w:val="none" w:color="auto"/>
                <w:lang w:val="en-US" w:eastAsia="zh-CN"/>
              </w:rPr>
              <w:t>X109</w:t>
            </w:r>
            <w:r>
              <w:rPr>
                <w:rFonts w:ascii="Times New Roman" w:hAnsi="Times New Roman" w:cs="Times New Roman"/>
                <w:bCs/>
                <w:color w:val="auto"/>
                <w:sz w:val="24"/>
                <w:u w:val="none" w:color="auto"/>
              </w:rPr>
              <w:t>运至</w:t>
            </w:r>
            <w:r>
              <w:rPr>
                <w:rFonts w:hint="eastAsia" w:ascii="Times New Roman" w:hAnsi="Times New Roman" w:cs="Times New Roman"/>
                <w:bCs/>
                <w:color w:val="auto"/>
                <w:sz w:val="24"/>
                <w:u w:val="none" w:color="auto"/>
                <w:lang w:val="en-US" w:eastAsia="zh-CN"/>
              </w:rPr>
              <w:t>岳阳县县城及周边</w:t>
            </w:r>
            <w:r>
              <w:rPr>
                <w:rFonts w:ascii="Times New Roman" w:hAnsi="Times New Roman" w:cs="Times New Roman"/>
                <w:color w:val="auto"/>
                <w:sz w:val="24"/>
                <w:u w:val="none" w:color="auto"/>
              </w:rPr>
              <w:t>乡镇。</w:t>
            </w:r>
            <w:r>
              <w:rPr>
                <w:rFonts w:ascii="Times New Roman" w:hAnsi="Times New Roman" w:cs="Times New Roman"/>
                <w:bCs/>
                <w:color w:val="auto"/>
                <w:sz w:val="24"/>
                <w:u w:val="none" w:color="auto"/>
              </w:rPr>
              <w:t>环保措施：项目产品外运时尽可能选择最短路线，避开居民区运输，运输车辆均应</w:t>
            </w:r>
            <w:r>
              <w:rPr>
                <w:rFonts w:ascii="Times New Roman" w:hAnsi="Times New Roman" w:cs="Times New Roman"/>
                <w:color w:val="auto"/>
                <w:sz w:val="24"/>
                <w:u w:val="none" w:color="auto"/>
              </w:rPr>
              <w:t>采用专用车运输</w:t>
            </w:r>
            <w:r>
              <w:rPr>
                <w:rFonts w:ascii="Times New Roman" w:hAnsi="Times New Roman" w:cs="Times New Roman"/>
                <w:bCs/>
                <w:color w:val="auto"/>
                <w:sz w:val="24"/>
                <w:u w:val="none" w:color="auto"/>
              </w:rPr>
              <w:t>，避免物料的散落，运输道路沿线定期洒水，以减少汽车行驶扬尘。</w:t>
            </w:r>
          </w:p>
          <w:p w14:paraId="51ADE32B">
            <w:pPr>
              <w:widowControl/>
              <w:snapToGrid w:val="0"/>
              <w:spacing w:line="360" w:lineRule="auto"/>
              <w:ind w:right="105" w:rightChars="50" w:firstLine="480" w:firstLineChars="200"/>
              <w:jc w:val="left"/>
              <w:rPr>
                <w:rFonts w:ascii="Times New Roman" w:hAnsi="Times New Roman" w:cs="Times New Roman"/>
                <w:color w:val="auto"/>
                <w:sz w:val="24"/>
                <w:u w:val="none" w:color="auto"/>
              </w:rPr>
            </w:pPr>
            <w:r>
              <w:rPr>
                <w:rFonts w:ascii="Times New Roman" w:hAnsi="Times New Roman" w:cs="Times New Roman"/>
                <w:color w:val="auto"/>
                <w:sz w:val="24"/>
                <w:u w:val="none" w:color="auto"/>
              </w:rPr>
              <w:t>（2）项目主要设备</w:t>
            </w:r>
          </w:p>
          <w:p w14:paraId="0F50FD9A">
            <w:pPr>
              <w:widowControl/>
              <w:snapToGrid w:val="0"/>
              <w:spacing w:line="360" w:lineRule="auto"/>
              <w:ind w:right="105" w:rightChars="50" w:firstLine="480" w:firstLineChars="200"/>
              <w:jc w:val="both"/>
              <w:rPr>
                <w:b/>
                <w:bCs/>
                <w:color w:val="auto"/>
                <w:sz w:val="24"/>
                <w:szCs w:val="28"/>
                <w:u w:val="none" w:color="auto"/>
              </w:rPr>
            </w:pPr>
            <w:r>
              <w:rPr>
                <w:color w:val="auto"/>
                <w:sz w:val="24"/>
                <w:szCs w:val="28"/>
                <w:u w:val="none" w:color="auto"/>
              </w:rPr>
              <w:t>本项目主要生产设备</w:t>
            </w:r>
            <w:r>
              <w:rPr>
                <w:rFonts w:hint="eastAsia"/>
                <w:color w:val="auto"/>
                <w:sz w:val="24"/>
                <w:szCs w:val="28"/>
                <w:u w:val="none" w:color="auto"/>
                <w:lang w:val="en-US" w:eastAsia="zh-CN"/>
              </w:rPr>
              <w:t>如</w:t>
            </w:r>
            <w:r>
              <w:rPr>
                <w:color w:val="auto"/>
                <w:sz w:val="24"/>
                <w:szCs w:val="28"/>
                <w:u w:val="none" w:color="auto"/>
              </w:rPr>
              <w:t>下</w:t>
            </w:r>
            <w:r>
              <w:rPr>
                <w:rFonts w:hint="default" w:ascii="Times New Roman" w:hAnsi="Times New Roman" w:cs="Times New Roman"/>
                <w:color w:val="auto"/>
                <w:sz w:val="24"/>
                <w:szCs w:val="28"/>
                <w:u w:val="none" w:color="auto"/>
              </w:rPr>
              <w:t>表2-</w:t>
            </w:r>
            <w:r>
              <w:rPr>
                <w:rFonts w:hint="default" w:ascii="Times New Roman" w:hAnsi="Times New Roman" w:cs="Times New Roman"/>
                <w:color w:val="auto"/>
                <w:sz w:val="24"/>
                <w:szCs w:val="28"/>
                <w:u w:val="none" w:color="auto"/>
                <w:lang w:val="en-US" w:eastAsia="zh-CN"/>
              </w:rPr>
              <w:t>4</w:t>
            </w:r>
            <w:r>
              <w:rPr>
                <w:rFonts w:hint="default" w:ascii="Times New Roman" w:hAnsi="Times New Roman" w:cs="Times New Roman"/>
                <w:color w:val="auto"/>
                <w:sz w:val="24"/>
                <w:szCs w:val="28"/>
                <w:u w:val="none" w:color="auto"/>
              </w:rPr>
              <w:t>，对照《产业结构调整指导目录（20</w:t>
            </w:r>
            <w:r>
              <w:rPr>
                <w:rFonts w:hint="default" w:ascii="Times New Roman" w:hAnsi="Times New Roman" w:cs="Times New Roman"/>
                <w:color w:val="auto"/>
                <w:sz w:val="24"/>
                <w:szCs w:val="28"/>
                <w:u w:val="none" w:color="auto"/>
                <w:lang w:val="en-US" w:eastAsia="zh-CN"/>
              </w:rPr>
              <w:t>24</w:t>
            </w:r>
            <w:r>
              <w:rPr>
                <w:rFonts w:hint="default" w:ascii="Times New Roman" w:hAnsi="Times New Roman" w:cs="Times New Roman"/>
                <w:color w:val="auto"/>
                <w:sz w:val="24"/>
                <w:szCs w:val="28"/>
                <w:u w:val="none" w:color="auto"/>
              </w:rPr>
              <w:t>年本）》可知，项目主要生产设备不属于产业政策淘汰类。</w:t>
            </w:r>
          </w:p>
          <w:p w14:paraId="456D50AA">
            <w:pPr>
              <w:pStyle w:val="98"/>
              <w:keepNext w:val="0"/>
              <w:keepLines w:val="0"/>
              <w:pageBreakBefore w:val="0"/>
              <w:widowControl/>
              <w:kinsoku/>
              <w:wordWrap/>
              <w:overflowPunct/>
              <w:topLinePunct w:val="0"/>
              <w:autoSpaceDE/>
              <w:autoSpaceDN/>
              <w:bidi w:val="0"/>
              <w:adjustRightInd/>
              <w:snapToGrid w:val="0"/>
              <w:spacing w:beforeLines="0" w:afterLines="0" w:line="240" w:lineRule="auto"/>
              <w:ind w:firstLine="0" w:firstLineChars="0"/>
              <w:jc w:val="center"/>
              <w:textAlignment w:val="auto"/>
              <w:rPr>
                <w:b/>
                <w:color w:val="auto"/>
                <w:u w:val="none" w:color="auto"/>
              </w:rPr>
            </w:pPr>
            <w:r>
              <w:rPr>
                <w:b/>
                <w:color w:val="auto"/>
                <w:u w:val="none" w:color="auto"/>
              </w:rPr>
              <w:t>表2-</w:t>
            </w:r>
            <w:r>
              <w:rPr>
                <w:rFonts w:hint="eastAsia"/>
                <w:b/>
                <w:color w:val="auto"/>
                <w:u w:val="none" w:color="auto"/>
                <w:lang w:val="en-US" w:eastAsia="zh-CN"/>
              </w:rPr>
              <w:t>4</w:t>
            </w:r>
            <w:r>
              <w:rPr>
                <w:b/>
                <w:color w:val="auto"/>
                <w:u w:val="none" w:color="auto"/>
              </w:rPr>
              <w:t xml:space="preserve"> 本项目生产设备一览表</w:t>
            </w:r>
          </w:p>
          <w:tbl>
            <w:tblPr>
              <w:tblStyle w:val="2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720"/>
              <w:gridCol w:w="571"/>
              <w:gridCol w:w="1511"/>
              <w:gridCol w:w="1899"/>
              <w:gridCol w:w="950"/>
              <w:gridCol w:w="2363"/>
            </w:tblGrid>
            <w:tr w14:paraId="18A657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90" w:hRule="atLeast"/>
                <w:jc w:val="center"/>
              </w:trPr>
              <w:tc>
                <w:tcPr>
                  <w:tcW w:w="449" w:type="pct"/>
                  <w:shd w:val="clear" w:color="auto" w:fill="auto"/>
                  <w:vAlign w:val="center"/>
                </w:tcPr>
                <w:p w14:paraId="44D3609F">
                  <w:pPr>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类别</w:t>
                  </w:r>
                </w:p>
              </w:tc>
              <w:tc>
                <w:tcPr>
                  <w:tcW w:w="356" w:type="pct"/>
                  <w:shd w:val="clear" w:color="auto" w:fill="auto"/>
                  <w:vAlign w:val="center"/>
                </w:tcPr>
                <w:p w14:paraId="287EC816">
                  <w:pPr>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序号</w:t>
                  </w:r>
                </w:p>
              </w:tc>
              <w:tc>
                <w:tcPr>
                  <w:tcW w:w="942" w:type="pct"/>
                  <w:shd w:val="clear" w:color="auto" w:fill="auto"/>
                  <w:vAlign w:val="center"/>
                </w:tcPr>
                <w:p w14:paraId="7A8934F8">
                  <w:pPr>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设备名称</w:t>
                  </w:r>
                </w:p>
              </w:tc>
              <w:tc>
                <w:tcPr>
                  <w:tcW w:w="1184" w:type="pct"/>
                  <w:shd w:val="clear" w:color="auto" w:fill="auto"/>
                  <w:vAlign w:val="center"/>
                </w:tcPr>
                <w:p w14:paraId="2D10E430">
                  <w:pPr>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规格型号</w:t>
                  </w:r>
                </w:p>
              </w:tc>
              <w:tc>
                <w:tcPr>
                  <w:tcW w:w="592" w:type="pct"/>
                  <w:shd w:val="clear" w:color="auto" w:fill="auto"/>
                  <w:vAlign w:val="center"/>
                </w:tcPr>
                <w:p w14:paraId="614D913A">
                  <w:pPr>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数量</w:t>
                  </w:r>
                </w:p>
              </w:tc>
              <w:tc>
                <w:tcPr>
                  <w:tcW w:w="1474" w:type="pct"/>
                  <w:shd w:val="clear" w:color="auto" w:fill="auto"/>
                  <w:vAlign w:val="center"/>
                </w:tcPr>
                <w:p w14:paraId="6D4ED310">
                  <w:pPr>
                    <w:spacing w:line="240" w:lineRule="auto"/>
                    <w:jc w:val="center"/>
                    <w:rPr>
                      <w:rFonts w:ascii="Times New Roman" w:hAnsi="Times New Roman" w:cs="Times New Roman"/>
                      <w:b/>
                      <w:bCs/>
                      <w:color w:val="auto"/>
                      <w:szCs w:val="21"/>
                      <w:u w:val="none" w:color="auto"/>
                    </w:rPr>
                  </w:pPr>
                  <w:r>
                    <w:rPr>
                      <w:rFonts w:ascii="Times New Roman" w:hAnsi="Times New Roman" w:cs="Times New Roman"/>
                      <w:b/>
                      <w:bCs/>
                      <w:color w:val="auto"/>
                      <w:szCs w:val="21"/>
                      <w:u w:val="none" w:color="auto"/>
                    </w:rPr>
                    <w:t>备注</w:t>
                  </w:r>
                </w:p>
              </w:tc>
            </w:tr>
            <w:tr w14:paraId="435DB6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restart"/>
                  <w:shd w:val="clear" w:color="auto" w:fill="auto"/>
                  <w:vAlign w:val="center"/>
                </w:tcPr>
                <w:p w14:paraId="2938CFA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商品混凝土生产线</w:t>
                  </w:r>
                </w:p>
              </w:tc>
              <w:tc>
                <w:tcPr>
                  <w:tcW w:w="356" w:type="pct"/>
                  <w:shd w:val="clear" w:color="auto" w:fill="auto"/>
                  <w:vAlign w:val="center"/>
                </w:tcPr>
                <w:p w14:paraId="1DBF2402">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w:t>
                  </w:r>
                </w:p>
              </w:tc>
              <w:tc>
                <w:tcPr>
                  <w:tcW w:w="942" w:type="pct"/>
                  <w:shd w:val="clear" w:color="auto" w:fill="auto"/>
                  <w:vAlign w:val="center"/>
                </w:tcPr>
                <w:p w14:paraId="02DEBB55">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搅拌站主机</w:t>
                  </w:r>
                </w:p>
              </w:tc>
              <w:tc>
                <w:tcPr>
                  <w:tcW w:w="1184" w:type="pct"/>
                  <w:shd w:val="clear" w:color="auto" w:fill="auto"/>
                  <w:vAlign w:val="center"/>
                </w:tcPr>
                <w:p w14:paraId="52464E22">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HZS180</w:t>
                  </w:r>
                </w:p>
              </w:tc>
              <w:tc>
                <w:tcPr>
                  <w:tcW w:w="592" w:type="pct"/>
                  <w:shd w:val="clear" w:color="auto" w:fill="auto"/>
                  <w:vAlign w:val="center"/>
                </w:tcPr>
                <w:p w14:paraId="518F5FB0">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台</w:t>
                  </w:r>
                </w:p>
              </w:tc>
              <w:tc>
                <w:tcPr>
                  <w:tcW w:w="1474" w:type="pct"/>
                  <w:shd w:val="clear" w:color="auto" w:fill="auto"/>
                  <w:vAlign w:val="center"/>
                </w:tcPr>
                <w:p w14:paraId="261AE74C">
                  <w:pPr>
                    <w:widowControl/>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设计生产能力</w:t>
                  </w:r>
                  <w:r>
                    <w:rPr>
                      <w:rFonts w:ascii="Times New Roman" w:hAnsi="Times New Roman" w:cs="Times New Roman"/>
                      <w:color w:val="auto"/>
                      <w:szCs w:val="21"/>
                      <w:u w:val="none" w:color="auto"/>
                    </w:rPr>
                    <w:t>180m</w:t>
                  </w:r>
                  <w:r>
                    <w:rPr>
                      <w:rFonts w:ascii="Times New Roman" w:hAnsi="Times New Roman" w:cs="Times New Roman"/>
                      <w:color w:val="auto"/>
                      <w:szCs w:val="21"/>
                      <w:u w:val="none" w:color="auto"/>
                      <w:vertAlign w:val="superscript"/>
                    </w:rPr>
                    <w:t>3</w:t>
                  </w:r>
                  <w:r>
                    <w:rPr>
                      <w:rFonts w:ascii="Times New Roman" w:hAnsi="Times New Roman" w:cs="Times New Roman"/>
                      <w:color w:val="auto"/>
                      <w:szCs w:val="21"/>
                      <w:u w:val="none" w:color="auto"/>
                    </w:rPr>
                    <w:t>/h</w:t>
                  </w:r>
                </w:p>
              </w:tc>
            </w:tr>
            <w:tr w14:paraId="46AC80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449" w:type="pct"/>
                  <w:vMerge w:val="continue"/>
                  <w:shd w:val="clear" w:color="auto" w:fill="auto"/>
                  <w:vAlign w:val="center"/>
                </w:tcPr>
                <w:p w14:paraId="263AB5E5">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3F552EC2">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2</w:t>
                  </w:r>
                </w:p>
              </w:tc>
              <w:tc>
                <w:tcPr>
                  <w:tcW w:w="942" w:type="pct"/>
                  <w:shd w:val="clear" w:color="auto" w:fill="auto"/>
                  <w:vAlign w:val="center"/>
                </w:tcPr>
                <w:p w14:paraId="784B3A41">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水泥筒仓</w:t>
                  </w:r>
                </w:p>
              </w:tc>
              <w:tc>
                <w:tcPr>
                  <w:tcW w:w="1184" w:type="pct"/>
                  <w:shd w:val="clear" w:color="auto" w:fill="auto"/>
                  <w:vAlign w:val="center"/>
                </w:tcPr>
                <w:p w14:paraId="367B3944">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300t</w:t>
                  </w:r>
                </w:p>
              </w:tc>
              <w:tc>
                <w:tcPr>
                  <w:tcW w:w="592" w:type="pct"/>
                  <w:shd w:val="clear" w:color="auto" w:fill="auto"/>
                  <w:vAlign w:val="center"/>
                </w:tcPr>
                <w:p w14:paraId="3D39C552">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4</w:t>
                  </w:r>
                  <w:r>
                    <w:rPr>
                      <w:rFonts w:ascii="Times New Roman" w:hAnsi="Times New Roman" w:cs="Times New Roman"/>
                      <w:color w:val="auto"/>
                      <w:szCs w:val="21"/>
                      <w:u w:val="none" w:color="auto"/>
                    </w:rPr>
                    <w:t>个</w:t>
                  </w:r>
                </w:p>
              </w:tc>
              <w:tc>
                <w:tcPr>
                  <w:tcW w:w="1474" w:type="pct"/>
                  <w:shd w:val="clear" w:color="auto" w:fill="auto"/>
                  <w:vAlign w:val="center"/>
                </w:tcPr>
                <w:p w14:paraId="1DB0D3F9">
                  <w:pPr>
                    <w:widowControl/>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高25m，筒仓仓顶：自带脉冲式除尘器</w:t>
                  </w:r>
                </w:p>
              </w:tc>
            </w:tr>
            <w:tr w14:paraId="6B9701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449" w:type="pct"/>
                  <w:vMerge w:val="continue"/>
                  <w:shd w:val="clear" w:color="auto" w:fill="auto"/>
                  <w:vAlign w:val="center"/>
                </w:tcPr>
                <w:p w14:paraId="074B100A">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0F4CD527">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3</w:t>
                  </w:r>
                </w:p>
              </w:tc>
              <w:tc>
                <w:tcPr>
                  <w:tcW w:w="942" w:type="pct"/>
                  <w:shd w:val="clear" w:color="auto" w:fill="auto"/>
                  <w:vAlign w:val="center"/>
                </w:tcPr>
                <w:p w14:paraId="5680509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粉煤灰筒仓</w:t>
                  </w:r>
                </w:p>
              </w:tc>
              <w:tc>
                <w:tcPr>
                  <w:tcW w:w="1184" w:type="pct"/>
                  <w:shd w:val="clear" w:color="auto" w:fill="auto"/>
                  <w:vAlign w:val="center"/>
                </w:tcPr>
                <w:p w14:paraId="1EA7A96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300t</w:t>
                  </w:r>
                </w:p>
              </w:tc>
              <w:tc>
                <w:tcPr>
                  <w:tcW w:w="592" w:type="pct"/>
                  <w:shd w:val="clear" w:color="auto" w:fill="auto"/>
                  <w:vAlign w:val="center"/>
                </w:tcPr>
                <w:p w14:paraId="570E2723">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个</w:t>
                  </w:r>
                </w:p>
              </w:tc>
              <w:tc>
                <w:tcPr>
                  <w:tcW w:w="1474" w:type="pct"/>
                  <w:shd w:val="clear" w:color="auto" w:fill="auto"/>
                  <w:vAlign w:val="center"/>
                </w:tcPr>
                <w:p w14:paraId="20D6FC43">
                  <w:pPr>
                    <w:widowControl/>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高25m，筒仓仓顶：自带脉冲式除尘器</w:t>
                  </w:r>
                </w:p>
              </w:tc>
            </w:tr>
            <w:tr w14:paraId="4564BF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449" w:type="pct"/>
                  <w:vMerge w:val="continue"/>
                  <w:shd w:val="clear" w:color="auto" w:fill="auto"/>
                  <w:vAlign w:val="center"/>
                </w:tcPr>
                <w:p w14:paraId="4BEC443B">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0F31E6A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4</w:t>
                  </w:r>
                </w:p>
              </w:tc>
              <w:tc>
                <w:tcPr>
                  <w:tcW w:w="942" w:type="pct"/>
                  <w:shd w:val="clear" w:color="auto" w:fill="auto"/>
                  <w:vAlign w:val="center"/>
                </w:tcPr>
                <w:p w14:paraId="79D6AFB7">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矿粉筒仓</w:t>
                  </w:r>
                </w:p>
              </w:tc>
              <w:tc>
                <w:tcPr>
                  <w:tcW w:w="1184" w:type="pct"/>
                  <w:shd w:val="clear" w:color="auto" w:fill="auto"/>
                  <w:vAlign w:val="center"/>
                </w:tcPr>
                <w:p w14:paraId="74A4754C">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300t</w:t>
                  </w:r>
                </w:p>
              </w:tc>
              <w:tc>
                <w:tcPr>
                  <w:tcW w:w="592" w:type="pct"/>
                  <w:shd w:val="clear" w:color="auto" w:fill="auto"/>
                  <w:vAlign w:val="center"/>
                </w:tcPr>
                <w:p w14:paraId="61B1D562">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个</w:t>
                  </w:r>
                </w:p>
              </w:tc>
              <w:tc>
                <w:tcPr>
                  <w:tcW w:w="1474" w:type="pct"/>
                  <w:shd w:val="clear" w:color="auto" w:fill="auto"/>
                  <w:vAlign w:val="center"/>
                </w:tcPr>
                <w:p w14:paraId="418A3686">
                  <w:pPr>
                    <w:widowControl/>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高25m，筒仓仓顶：自带脉冲式除尘器</w:t>
                  </w:r>
                </w:p>
              </w:tc>
            </w:tr>
            <w:tr w14:paraId="657AFC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449" w:type="pct"/>
                  <w:vMerge w:val="continue"/>
                  <w:shd w:val="clear" w:color="auto" w:fill="auto"/>
                  <w:vAlign w:val="center"/>
                </w:tcPr>
                <w:p w14:paraId="60BCC237">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2777E794">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5</w:t>
                  </w:r>
                </w:p>
              </w:tc>
              <w:tc>
                <w:tcPr>
                  <w:tcW w:w="942" w:type="pct"/>
                  <w:shd w:val="clear" w:color="auto" w:fill="auto"/>
                  <w:vAlign w:val="center"/>
                </w:tcPr>
                <w:p w14:paraId="79D08423">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膨胀剂筒仓</w:t>
                  </w:r>
                </w:p>
              </w:tc>
              <w:tc>
                <w:tcPr>
                  <w:tcW w:w="1184" w:type="pct"/>
                  <w:shd w:val="clear" w:color="auto" w:fill="auto"/>
                  <w:vAlign w:val="center"/>
                </w:tcPr>
                <w:p w14:paraId="53CCF575">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100t</w:t>
                  </w:r>
                </w:p>
              </w:tc>
              <w:tc>
                <w:tcPr>
                  <w:tcW w:w="592" w:type="pct"/>
                  <w:shd w:val="clear" w:color="auto" w:fill="auto"/>
                  <w:vAlign w:val="center"/>
                </w:tcPr>
                <w:p w14:paraId="078DA9F9">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个</w:t>
                  </w:r>
                </w:p>
              </w:tc>
              <w:tc>
                <w:tcPr>
                  <w:tcW w:w="1474" w:type="pct"/>
                  <w:shd w:val="clear" w:color="auto" w:fill="auto"/>
                  <w:vAlign w:val="center"/>
                </w:tcPr>
                <w:p w14:paraId="532CF5EF">
                  <w:pPr>
                    <w:widowControl/>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高18m，筒仓仓顶：自带脉冲式除尘器</w:t>
                  </w:r>
                </w:p>
              </w:tc>
            </w:tr>
            <w:tr w14:paraId="3F197C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2643EB2C">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51504962">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6</w:t>
                  </w:r>
                </w:p>
              </w:tc>
              <w:tc>
                <w:tcPr>
                  <w:tcW w:w="942" w:type="pct"/>
                  <w:shd w:val="clear" w:color="auto" w:fill="auto"/>
                  <w:vAlign w:val="center"/>
                </w:tcPr>
                <w:p w14:paraId="09DB7969">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外加剂罐</w:t>
                  </w:r>
                </w:p>
              </w:tc>
              <w:tc>
                <w:tcPr>
                  <w:tcW w:w="1184" w:type="pct"/>
                  <w:shd w:val="clear" w:color="auto" w:fill="auto"/>
                  <w:vAlign w:val="center"/>
                </w:tcPr>
                <w:p w14:paraId="397E768C">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10t</w:t>
                  </w:r>
                </w:p>
              </w:tc>
              <w:tc>
                <w:tcPr>
                  <w:tcW w:w="592" w:type="pct"/>
                  <w:shd w:val="clear" w:color="auto" w:fill="auto"/>
                  <w:vAlign w:val="center"/>
                </w:tcPr>
                <w:p w14:paraId="671DF121">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4</w:t>
                  </w:r>
                  <w:r>
                    <w:rPr>
                      <w:rFonts w:ascii="Times New Roman" w:hAnsi="Times New Roman" w:cs="Times New Roman"/>
                      <w:color w:val="auto"/>
                      <w:szCs w:val="21"/>
                      <w:u w:val="none" w:color="auto"/>
                    </w:rPr>
                    <w:t>个</w:t>
                  </w:r>
                </w:p>
              </w:tc>
              <w:tc>
                <w:tcPr>
                  <w:tcW w:w="1474" w:type="pct"/>
                  <w:shd w:val="clear" w:color="auto" w:fill="auto"/>
                  <w:vAlign w:val="center"/>
                </w:tcPr>
                <w:p w14:paraId="6D1A667E">
                  <w:pPr>
                    <w:widowControl/>
                    <w:spacing w:line="240" w:lineRule="auto"/>
                    <w:jc w:val="center"/>
                    <w:rPr>
                      <w:rFonts w:ascii="Times New Roman" w:hAnsi="Times New Roman" w:cs="Times New Roman"/>
                      <w:color w:val="auto"/>
                      <w:szCs w:val="21"/>
                      <w:u w:val="none" w:color="auto"/>
                    </w:rPr>
                  </w:pPr>
                </w:p>
              </w:tc>
            </w:tr>
            <w:tr w14:paraId="4BAFAC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3D123F97">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2B731754">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7</w:t>
                  </w:r>
                </w:p>
              </w:tc>
              <w:tc>
                <w:tcPr>
                  <w:tcW w:w="942" w:type="pct"/>
                  <w:shd w:val="clear" w:color="auto" w:fill="auto"/>
                  <w:vAlign w:val="center"/>
                </w:tcPr>
                <w:p w14:paraId="0E00184E">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螺旋输送机</w:t>
                  </w:r>
                </w:p>
              </w:tc>
              <w:tc>
                <w:tcPr>
                  <w:tcW w:w="1184" w:type="pct"/>
                  <w:shd w:val="clear" w:color="auto" w:fill="auto"/>
                  <w:vAlign w:val="center"/>
                </w:tcPr>
                <w:p w14:paraId="719EE601">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shd w:val="clear" w:color="auto" w:fill="FFFFFF"/>
                    </w:rPr>
                    <w:t>Φ313</w:t>
                  </w:r>
                </w:p>
              </w:tc>
              <w:tc>
                <w:tcPr>
                  <w:tcW w:w="592" w:type="pct"/>
                  <w:shd w:val="clear" w:color="auto" w:fill="auto"/>
                  <w:vAlign w:val="center"/>
                </w:tcPr>
                <w:p w14:paraId="1F2BC65E">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8</w:t>
                  </w:r>
                  <w:r>
                    <w:rPr>
                      <w:rFonts w:ascii="Times New Roman" w:hAnsi="Times New Roman" w:cs="Times New Roman"/>
                      <w:color w:val="auto"/>
                      <w:szCs w:val="21"/>
                      <w:u w:val="none" w:color="auto"/>
                    </w:rPr>
                    <w:t>套</w:t>
                  </w:r>
                </w:p>
              </w:tc>
              <w:tc>
                <w:tcPr>
                  <w:tcW w:w="1474" w:type="pct"/>
                  <w:shd w:val="clear" w:color="auto" w:fill="auto"/>
                  <w:vAlign w:val="center"/>
                </w:tcPr>
                <w:p w14:paraId="2908B98E">
                  <w:pPr>
                    <w:widowControl/>
                    <w:spacing w:line="240" w:lineRule="auto"/>
                    <w:jc w:val="center"/>
                    <w:rPr>
                      <w:rFonts w:ascii="Times New Roman" w:hAnsi="Times New Roman" w:cs="Times New Roman"/>
                      <w:color w:val="auto"/>
                      <w:szCs w:val="21"/>
                      <w:u w:val="none" w:color="auto"/>
                    </w:rPr>
                  </w:pPr>
                </w:p>
              </w:tc>
            </w:tr>
            <w:tr w14:paraId="6EDD74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29AB6056">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5D88BE9F">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8</w:t>
                  </w:r>
                </w:p>
              </w:tc>
              <w:tc>
                <w:tcPr>
                  <w:tcW w:w="942" w:type="pct"/>
                  <w:shd w:val="clear" w:color="auto" w:fill="auto"/>
                  <w:vAlign w:val="center"/>
                </w:tcPr>
                <w:p w14:paraId="42437E5F">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皮带输送机</w:t>
                  </w:r>
                </w:p>
              </w:tc>
              <w:tc>
                <w:tcPr>
                  <w:tcW w:w="1184" w:type="pct"/>
                  <w:shd w:val="clear" w:color="auto" w:fill="auto"/>
                  <w:vAlign w:val="center"/>
                </w:tcPr>
                <w:p w14:paraId="7A3BF313">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shd w:val="clear" w:color="auto" w:fill="FFFFFF"/>
                    </w:rPr>
                    <w:t>Φ313</w:t>
                  </w:r>
                </w:p>
              </w:tc>
              <w:tc>
                <w:tcPr>
                  <w:tcW w:w="592" w:type="pct"/>
                  <w:shd w:val="clear" w:color="auto" w:fill="auto"/>
                  <w:vAlign w:val="center"/>
                </w:tcPr>
                <w:p w14:paraId="5BEEF2CF">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套</w:t>
                  </w:r>
                </w:p>
              </w:tc>
              <w:tc>
                <w:tcPr>
                  <w:tcW w:w="1474" w:type="pct"/>
                  <w:shd w:val="clear" w:color="auto" w:fill="auto"/>
                  <w:vAlign w:val="center"/>
                </w:tcPr>
                <w:p w14:paraId="419DCA4A">
                  <w:pPr>
                    <w:widowControl/>
                    <w:spacing w:line="240" w:lineRule="auto"/>
                    <w:jc w:val="center"/>
                    <w:rPr>
                      <w:rFonts w:ascii="Times New Roman" w:hAnsi="Times New Roman" w:cs="Times New Roman"/>
                      <w:color w:val="auto"/>
                      <w:szCs w:val="21"/>
                      <w:u w:val="none" w:color="auto"/>
                    </w:rPr>
                  </w:pPr>
                </w:p>
              </w:tc>
            </w:tr>
            <w:tr w14:paraId="6E8B6D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restart"/>
                  <w:shd w:val="clear" w:color="auto" w:fill="auto"/>
                  <w:vAlign w:val="center"/>
                </w:tcPr>
                <w:p w14:paraId="196EE651">
                  <w:pPr>
                    <w:widowControl/>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公用设备</w:t>
                  </w:r>
                </w:p>
              </w:tc>
              <w:tc>
                <w:tcPr>
                  <w:tcW w:w="356" w:type="pct"/>
                  <w:shd w:val="clear" w:color="auto" w:fill="auto"/>
                  <w:vAlign w:val="center"/>
                </w:tcPr>
                <w:p w14:paraId="13169B26">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w:t>
                  </w:r>
                </w:p>
              </w:tc>
              <w:tc>
                <w:tcPr>
                  <w:tcW w:w="942" w:type="pct"/>
                  <w:shd w:val="clear" w:color="auto" w:fill="auto"/>
                  <w:vAlign w:val="center"/>
                </w:tcPr>
                <w:p w14:paraId="4FFB39DF">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混凝土搅拌车</w:t>
                  </w:r>
                </w:p>
              </w:tc>
              <w:tc>
                <w:tcPr>
                  <w:tcW w:w="1184" w:type="pct"/>
                  <w:shd w:val="clear" w:color="auto" w:fill="auto"/>
                  <w:vAlign w:val="center"/>
                </w:tcPr>
                <w:p w14:paraId="229CC8A8">
                  <w:pPr>
                    <w:spacing w:line="240" w:lineRule="auto"/>
                    <w:jc w:val="center"/>
                    <w:rPr>
                      <w:rFonts w:ascii="Times New Roman" w:hAnsi="Times New Roman" w:cs="Times New Roman"/>
                      <w:color w:val="auto"/>
                      <w:szCs w:val="21"/>
                      <w:u w:val="none" w:color="auto"/>
                      <w:vertAlign w:val="superscript"/>
                    </w:rPr>
                  </w:pPr>
                  <w:r>
                    <w:rPr>
                      <w:rFonts w:hint="eastAsia" w:ascii="Times New Roman" w:hAnsi="Times New Roman" w:cs="Times New Roman"/>
                      <w:color w:val="auto"/>
                      <w:szCs w:val="21"/>
                      <w:u w:val="none" w:color="auto"/>
                      <w:lang w:val="en-US" w:eastAsia="zh-CN"/>
                    </w:rPr>
                    <w:t>8</w:t>
                  </w:r>
                  <w:r>
                    <w:rPr>
                      <w:rFonts w:ascii="Times New Roman" w:hAnsi="Times New Roman" w:cs="Times New Roman"/>
                      <w:color w:val="auto"/>
                      <w:szCs w:val="21"/>
                      <w:u w:val="none" w:color="auto"/>
                    </w:rPr>
                    <w:t>m</w:t>
                  </w:r>
                  <w:r>
                    <w:rPr>
                      <w:rFonts w:ascii="Times New Roman" w:hAnsi="Times New Roman" w:cs="Times New Roman"/>
                      <w:color w:val="auto"/>
                      <w:szCs w:val="21"/>
                      <w:u w:val="none" w:color="auto"/>
                      <w:vertAlign w:val="superscript"/>
                    </w:rPr>
                    <w:t>3</w:t>
                  </w:r>
                </w:p>
              </w:tc>
              <w:tc>
                <w:tcPr>
                  <w:tcW w:w="592" w:type="pct"/>
                  <w:shd w:val="clear" w:color="auto" w:fill="auto"/>
                  <w:vAlign w:val="center"/>
                </w:tcPr>
                <w:p w14:paraId="559BFCA1">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15</w:t>
                  </w:r>
                  <w:r>
                    <w:rPr>
                      <w:rFonts w:ascii="Times New Roman" w:hAnsi="Times New Roman" w:cs="Times New Roman"/>
                      <w:color w:val="auto"/>
                      <w:szCs w:val="21"/>
                      <w:u w:val="none" w:color="auto"/>
                    </w:rPr>
                    <w:t>辆</w:t>
                  </w:r>
                </w:p>
              </w:tc>
              <w:tc>
                <w:tcPr>
                  <w:tcW w:w="1474" w:type="pct"/>
                  <w:shd w:val="clear" w:color="auto" w:fill="auto"/>
                  <w:vAlign w:val="center"/>
                </w:tcPr>
                <w:p w14:paraId="2DEDAD41">
                  <w:pPr>
                    <w:spacing w:line="240" w:lineRule="auto"/>
                    <w:jc w:val="center"/>
                    <w:rPr>
                      <w:rFonts w:ascii="Times New Roman" w:hAnsi="Times New Roman" w:cs="Times New Roman"/>
                      <w:color w:val="auto"/>
                      <w:szCs w:val="21"/>
                      <w:u w:val="none" w:color="auto"/>
                    </w:rPr>
                  </w:pPr>
                </w:p>
              </w:tc>
            </w:tr>
            <w:tr w14:paraId="529652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2E6B96D5">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6BF73114">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2</w:t>
                  </w:r>
                </w:p>
              </w:tc>
              <w:tc>
                <w:tcPr>
                  <w:tcW w:w="942" w:type="pct"/>
                  <w:shd w:val="clear" w:color="auto" w:fill="auto"/>
                  <w:vAlign w:val="center"/>
                </w:tcPr>
                <w:p w14:paraId="15D49679">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混凝土泵车</w:t>
                  </w:r>
                </w:p>
              </w:tc>
              <w:tc>
                <w:tcPr>
                  <w:tcW w:w="1184" w:type="pct"/>
                  <w:shd w:val="clear" w:color="auto" w:fill="auto"/>
                  <w:vAlign w:val="center"/>
                </w:tcPr>
                <w:p w14:paraId="43A11DC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w:t>
                  </w:r>
                </w:p>
              </w:tc>
              <w:tc>
                <w:tcPr>
                  <w:tcW w:w="592" w:type="pct"/>
                  <w:shd w:val="clear" w:color="auto" w:fill="auto"/>
                  <w:vAlign w:val="center"/>
                </w:tcPr>
                <w:p w14:paraId="501BD4C4">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ascii="Times New Roman" w:hAnsi="Times New Roman" w:cs="Times New Roman"/>
                      <w:color w:val="auto"/>
                      <w:szCs w:val="21"/>
                      <w:u w:val="none" w:color="auto"/>
                    </w:rPr>
                    <w:t>辆</w:t>
                  </w:r>
                </w:p>
              </w:tc>
              <w:tc>
                <w:tcPr>
                  <w:tcW w:w="1474" w:type="pct"/>
                  <w:shd w:val="clear" w:color="auto" w:fill="auto"/>
                  <w:vAlign w:val="center"/>
                </w:tcPr>
                <w:p w14:paraId="14A01A70">
                  <w:pPr>
                    <w:spacing w:line="240" w:lineRule="auto"/>
                    <w:jc w:val="center"/>
                    <w:rPr>
                      <w:rFonts w:ascii="Times New Roman" w:hAnsi="Times New Roman" w:cs="Times New Roman"/>
                      <w:color w:val="auto"/>
                      <w:szCs w:val="21"/>
                      <w:u w:val="none" w:color="auto"/>
                    </w:rPr>
                  </w:pPr>
                </w:p>
              </w:tc>
            </w:tr>
            <w:tr w14:paraId="47C4DB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2BADF9B6">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28E0138D">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3</w:t>
                  </w:r>
                </w:p>
              </w:tc>
              <w:tc>
                <w:tcPr>
                  <w:tcW w:w="942" w:type="pct"/>
                  <w:shd w:val="clear" w:color="auto" w:fill="auto"/>
                  <w:vAlign w:val="center"/>
                </w:tcPr>
                <w:p w14:paraId="1993BE5F">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装载机</w:t>
                  </w:r>
                </w:p>
              </w:tc>
              <w:tc>
                <w:tcPr>
                  <w:tcW w:w="1184" w:type="pct"/>
                  <w:shd w:val="clear" w:color="auto" w:fill="auto"/>
                  <w:vAlign w:val="center"/>
                </w:tcPr>
                <w:p w14:paraId="5F12300E">
                  <w:pPr>
                    <w:spacing w:line="240" w:lineRule="auto"/>
                    <w:jc w:val="center"/>
                    <w:rPr>
                      <w:rFonts w:ascii="Times New Roman" w:hAnsi="Times New Roman" w:cs="Times New Roman"/>
                      <w:color w:val="auto"/>
                      <w:szCs w:val="21"/>
                      <w:u w:val="none" w:color="auto"/>
                    </w:rPr>
                  </w:pPr>
                </w:p>
              </w:tc>
              <w:tc>
                <w:tcPr>
                  <w:tcW w:w="592" w:type="pct"/>
                  <w:shd w:val="clear" w:color="auto" w:fill="auto"/>
                  <w:vAlign w:val="center"/>
                </w:tcPr>
                <w:p w14:paraId="33461A53">
                  <w:pPr>
                    <w:spacing w:line="240" w:lineRule="auto"/>
                    <w:jc w:val="center"/>
                    <w:rPr>
                      <w:rFonts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2</w:t>
                  </w:r>
                  <w:r>
                    <w:rPr>
                      <w:rFonts w:ascii="Times New Roman" w:hAnsi="Times New Roman" w:cs="Times New Roman"/>
                      <w:color w:val="auto"/>
                      <w:szCs w:val="21"/>
                      <w:u w:val="none" w:color="auto"/>
                    </w:rPr>
                    <w:t>辆</w:t>
                  </w:r>
                </w:p>
              </w:tc>
              <w:tc>
                <w:tcPr>
                  <w:tcW w:w="1474" w:type="pct"/>
                  <w:shd w:val="clear" w:color="auto" w:fill="auto"/>
                  <w:vAlign w:val="center"/>
                </w:tcPr>
                <w:p w14:paraId="5E984369">
                  <w:pPr>
                    <w:spacing w:line="240" w:lineRule="auto"/>
                    <w:jc w:val="center"/>
                    <w:rPr>
                      <w:rFonts w:ascii="Times New Roman" w:hAnsi="Times New Roman" w:cs="Times New Roman"/>
                      <w:color w:val="auto"/>
                      <w:szCs w:val="21"/>
                      <w:u w:val="none" w:color="auto"/>
                    </w:rPr>
                  </w:pPr>
                </w:p>
              </w:tc>
            </w:tr>
            <w:tr w14:paraId="7DFC33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449" w:type="pct"/>
                  <w:vMerge w:val="continue"/>
                  <w:shd w:val="clear" w:color="auto" w:fill="auto"/>
                  <w:vAlign w:val="center"/>
                </w:tcPr>
                <w:p w14:paraId="065CF0C3">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1821D8C7">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4</w:t>
                  </w:r>
                </w:p>
              </w:tc>
              <w:tc>
                <w:tcPr>
                  <w:tcW w:w="942" w:type="pct"/>
                  <w:shd w:val="clear" w:color="auto" w:fill="auto"/>
                  <w:vAlign w:val="center"/>
                </w:tcPr>
                <w:p w14:paraId="59F0C2E7">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砂石分离机、污水处理回收系统</w:t>
                  </w:r>
                </w:p>
              </w:tc>
              <w:tc>
                <w:tcPr>
                  <w:tcW w:w="1184" w:type="pct"/>
                  <w:shd w:val="clear" w:color="auto" w:fill="auto"/>
                  <w:vAlign w:val="center"/>
                </w:tcPr>
                <w:p w14:paraId="183AD3B7">
                  <w:pPr>
                    <w:spacing w:line="240" w:lineRule="auto"/>
                    <w:jc w:val="center"/>
                    <w:rPr>
                      <w:rFonts w:ascii="Times New Roman" w:hAnsi="Times New Roman" w:cs="Times New Roman"/>
                      <w:color w:val="auto"/>
                      <w:szCs w:val="21"/>
                      <w:u w:val="none" w:color="auto"/>
                    </w:rPr>
                  </w:pPr>
                </w:p>
              </w:tc>
              <w:tc>
                <w:tcPr>
                  <w:tcW w:w="592" w:type="pct"/>
                  <w:shd w:val="clear" w:color="auto" w:fill="auto"/>
                  <w:vAlign w:val="center"/>
                </w:tcPr>
                <w:p w14:paraId="0E0185E9">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1套</w:t>
                  </w:r>
                </w:p>
              </w:tc>
              <w:tc>
                <w:tcPr>
                  <w:tcW w:w="1474" w:type="pct"/>
                  <w:shd w:val="clear" w:color="auto" w:fill="auto"/>
                  <w:vAlign w:val="center"/>
                </w:tcPr>
                <w:p w14:paraId="34955FA4">
                  <w:pPr>
                    <w:spacing w:line="240" w:lineRule="auto"/>
                    <w:jc w:val="center"/>
                    <w:rPr>
                      <w:rFonts w:ascii="Times New Roman" w:hAnsi="Times New Roman" w:cs="Times New Roman"/>
                      <w:color w:val="auto"/>
                      <w:szCs w:val="21"/>
                      <w:u w:val="none" w:color="auto"/>
                    </w:rPr>
                  </w:pPr>
                </w:p>
              </w:tc>
            </w:tr>
            <w:tr w14:paraId="37720E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276AC965">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31A35B4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5</w:t>
                  </w:r>
                </w:p>
              </w:tc>
              <w:tc>
                <w:tcPr>
                  <w:tcW w:w="942" w:type="pct"/>
                  <w:shd w:val="clear" w:color="auto" w:fill="auto"/>
                  <w:vAlign w:val="center"/>
                </w:tcPr>
                <w:p w14:paraId="31036D3B">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压滤机</w:t>
                  </w:r>
                </w:p>
              </w:tc>
              <w:tc>
                <w:tcPr>
                  <w:tcW w:w="1184" w:type="pct"/>
                  <w:shd w:val="clear" w:color="auto" w:fill="auto"/>
                  <w:vAlign w:val="center"/>
                </w:tcPr>
                <w:p w14:paraId="344356F7">
                  <w:pPr>
                    <w:spacing w:line="240" w:lineRule="auto"/>
                    <w:jc w:val="center"/>
                    <w:rPr>
                      <w:rFonts w:ascii="Times New Roman" w:hAnsi="Times New Roman" w:cs="Times New Roman"/>
                      <w:color w:val="auto"/>
                      <w:szCs w:val="21"/>
                      <w:u w:val="none" w:color="auto"/>
                    </w:rPr>
                  </w:pPr>
                </w:p>
              </w:tc>
              <w:tc>
                <w:tcPr>
                  <w:tcW w:w="592" w:type="pct"/>
                  <w:shd w:val="clear" w:color="auto" w:fill="auto"/>
                  <w:vAlign w:val="center"/>
                </w:tcPr>
                <w:p w14:paraId="21E84626">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1套</w:t>
                  </w:r>
                </w:p>
              </w:tc>
              <w:tc>
                <w:tcPr>
                  <w:tcW w:w="1474" w:type="pct"/>
                  <w:shd w:val="clear" w:color="auto" w:fill="auto"/>
                  <w:vAlign w:val="center"/>
                </w:tcPr>
                <w:p w14:paraId="7F0DF7EC">
                  <w:pPr>
                    <w:spacing w:line="240" w:lineRule="auto"/>
                    <w:jc w:val="center"/>
                    <w:rPr>
                      <w:rFonts w:ascii="Times New Roman" w:hAnsi="Times New Roman" w:cs="Times New Roman"/>
                      <w:color w:val="auto"/>
                      <w:szCs w:val="21"/>
                      <w:u w:val="none" w:color="auto"/>
                    </w:rPr>
                  </w:pPr>
                </w:p>
              </w:tc>
            </w:tr>
            <w:tr w14:paraId="3D7573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708163E9">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03F9422F">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6</w:t>
                  </w:r>
                </w:p>
              </w:tc>
              <w:tc>
                <w:tcPr>
                  <w:tcW w:w="942" w:type="pct"/>
                  <w:shd w:val="clear" w:color="auto" w:fill="auto"/>
                  <w:vAlign w:val="center"/>
                </w:tcPr>
                <w:p w14:paraId="4A0B39A0">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实验室设备</w:t>
                  </w:r>
                </w:p>
              </w:tc>
              <w:tc>
                <w:tcPr>
                  <w:tcW w:w="1184" w:type="pct"/>
                  <w:shd w:val="clear" w:color="auto" w:fill="auto"/>
                  <w:vAlign w:val="center"/>
                </w:tcPr>
                <w:p w14:paraId="2DE7A7D1">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w:t>
                  </w:r>
                </w:p>
              </w:tc>
              <w:tc>
                <w:tcPr>
                  <w:tcW w:w="592" w:type="pct"/>
                  <w:shd w:val="clear" w:color="auto" w:fill="auto"/>
                  <w:vAlign w:val="center"/>
                </w:tcPr>
                <w:p w14:paraId="547AE89C">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1套</w:t>
                  </w:r>
                </w:p>
              </w:tc>
              <w:tc>
                <w:tcPr>
                  <w:tcW w:w="1474" w:type="pct"/>
                  <w:shd w:val="clear" w:color="auto" w:fill="auto"/>
                  <w:vAlign w:val="center"/>
                </w:tcPr>
                <w:p w14:paraId="60DDE69E">
                  <w:pPr>
                    <w:spacing w:line="240" w:lineRule="auto"/>
                    <w:jc w:val="center"/>
                    <w:rPr>
                      <w:rFonts w:ascii="Times New Roman" w:hAnsi="Times New Roman" w:cs="Times New Roman"/>
                      <w:color w:val="auto"/>
                      <w:szCs w:val="21"/>
                      <w:u w:val="none" w:color="auto"/>
                    </w:rPr>
                  </w:pPr>
                </w:p>
              </w:tc>
            </w:tr>
            <w:tr w14:paraId="165638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668CAB6F">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2A97AED3">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7</w:t>
                  </w:r>
                </w:p>
              </w:tc>
              <w:tc>
                <w:tcPr>
                  <w:tcW w:w="942" w:type="pct"/>
                  <w:shd w:val="clear" w:color="auto" w:fill="auto"/>
                  <w:vAlign w:val="center"/>
                </w:tcPr>
                <w:p w14:paraId="10EE773C">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室外雾桩</w:t>
                  </w:r>
                </w:p>
              </w:tc>
              <w:tc>
                <w:tcPr>
                  <w:tcW w:w="1184" w:type="pct"/>
                  <w:shd w:val="clear" w:color="auto" w:fill="auto"/>
                  <w:vAlign w:val="center"/>
                </w:tcPr>
                <w:p w14:paraId="130EC17F">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w:t>
                  </w:r>
                </w:p>
              </w:tc>
              <w:tc>
                <w:tcPr>
                  <w:tcW w:w="592" w:type="pct"/>
                  <w:shd w:val="clear" w:color="auto" w:fill="auto"/>
                  <w:vAlign w:val="center"/>
                </w:tcPr>
                <w:p w14:paraId="653D35D7">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1</w:t>
                  </w:r>
                  <w:r>
                    <w:rPr>
                      <w:rFonts w:ascii="Times New Roman" w:hAnsi="Times New Roman" w:cs="Times New Roman"/>
                      <w:color w:val="auto"/>
                      <w:szCs w:val="21"/>
                      <w:u w:val="none" w:color="auto"/>
                    </w:rPr>
                    <w:t>台</w:t>
                  </w:r>
                </w:p>
              </w:tc>
              <w:tc>
                <w:tcPr>
                  <w:tcW w:w="1474" w:type="pct"/>
                  <w:shd w:val="clear" w:color="auto" w:fill="auto"/>
                  <w:vAlign w:val="center"/>
                </w:tcPr>
                <w:p w14:paraId="10FA93F3">
                  <w:pPr>
                    <w:spacing w:line="240" w:lineRule="auto"/>
                    <w:jc w:val="center"/>
                    <w:rPr>
                      <w:rFonts w:ascii="Times New Roman" w:hAnsi="Times New Roman" w:cs="Times New Roman"/>
                      <w:color w:val="auto"/>
                      <w:szCs w:val="21"/>
                      <w:u w:val="none" w:color="auto"/>
                    </w:rPr>
                  </w:pPr>
                </w:p>
              </w:tc>
            </w:tr>
            <w:tr w14:paraId="456E65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379C05DE">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12DE38A8">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8</w:t>
                  </w:r>
                </w:p>
              </w:tc>
              <w:tc>
                <w:tcPr>
                  <w:tcW w:w="942" w:type="pct"/>
                  <w:shd w:val="clear" w:color="auto" w:fill="auto"/>
                  <w:vAlign w:val="center"/>
                </w:tcPr>
                <w:p w14:paraId="06BB8DEB">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仓库喷雾</w:t>
                  </w:r>
                </w:p>
              </w:tc>
              <w:tc>
                <w:tcPr>
                  <w:tcW w:w="1184" w:type="pct"/>
                  <w:shd w:val="clear" w:color="auto" w:fill="auto"/>
                  <w:vAlign w:val="center"/>
                </w:tcPr>
                <w:p w14:paraId="6F29A3E8">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w:t>
                  </w:r>
                </w:p>
              </w:tc>
              <w:tc>
                <w:tcPr>
                  <w:tcW w:w="592" w:type="pct"/>
                  <w:shd w:val="clear" w:color="auto" w:fill="auto"/>
                  <w:vAlign w:val="center"/>
                </w:tcPr>
                <w:p w14:paraId="558D8FB6">
                  <w:pPr>
                    <w:spacing w:line="240" w:lineRule="auto"/>
                    <w:jc w:val="center"/>
                    <w:rPr>
                      <w:rFonts w:hint="default" w:ascii="Times New Roman" w:hAnsi="Times New Roman" w:cs="Times New Roman" w:eastAsiaTheme="minorEastAsia"/>
                      <w:color w:val="auto"/>
                      <w:kern w:val="2"/>
                      <w:sz w:val="21"/>
                      <w:szCs w:val="21"/>
                      <w:u w:val="none" w:color="auto"/>
                      <w:vertAlign w:val="superscript"/>
                      <w:lang w:val="en-US" w:eastAsia="zh-CN" w:bidi="ar-SA"/>
                    </w:rPr>
                  </w:pPr>
                  <w:r>
                    <w:rPr>
                      <w:rFonts w:hint="eastAsia" w:ascii="Times New Roman" w:hAnsi="Times New Roman" w:cs="Times New Roman"/>
                      <w:color w:val="auto"/>
                      <w:szCs w:val="21"/>
                      <w:u w:val="none" w:color="auto"/>
                      <w:lang w:val="en-US" w:eastAsia="zh-CN"/>
                    </w:rPr>
                    <w:t>1套</w:t>
                  </w:r>
                </w:p>
              </w:tc>
              <w:tc>
                <w:tcPr>
                  <w:tcW w:w="1474" w:type="pct"/>
                  <w:shd w:val="clear" w:color="auto" w:fill="auto"/>
                  <w:vAlign w:val="center"/>
                </w:tcPr>
                <w:p w14:paraId="13DB9F6B">
                  <w:pPr>
                    <w:spacing w:line="240" w:lineRule="auto"/>
                    <w:jc w:val="center"/>
                    <w:rPr>
                      <w:rFonts w:ascii="Times New Roman" w:hAnsi="Times New Roman" w:cs="Times New Roman"/>
                      <w:color w:val="auto"/>
                      <w:szCs w:val="21"/>
                      <w:u w:val="none" w:color="auto"/>
                    </w:rPr>
                  </w:pPr>
                </w:p>
              </w:tc>
            </w:tr>
            <w:tr w14:paraId="473F87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7914A4EE">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3DE0299E">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9</w:t>
                  </w:r>
                </w:p>
              </w:tc>
              <w:tc>
                <w:tcPr>
                  <w:tcW w:w="942" w:type="pct"/>
                  <w:shd w:val="clear" w:color="auto" w:fill="auto"/>
                  <w:vAlign w:val="center"/>
                </w:tcPr>
                <w:p w14:paraId="3A7343FD">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地磅</w:t>
                  </w:r>
                </w:p>
              </w:tc>
              <w:tc>
                <w:tcPr>
                  <w:tcW w:w="1184" w:type="pct"/>
                  <w:shd w:val="clear" w:color="auto" w:fill="auto"/>
                  <w:vAlign w:val="center"/>
                </w:tcPr>
                <w:p w14:paraId="7DD60105">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100t</w:t>
                  </w:r>
                </w:p>
              </w:tc>
              <w:tc>
                <w:tcPr>
                  <w:tcW w:w="592" w:type="pct"/>
                  <w:shd w:val="clear" w:color="auto" w:fill="auto"/>
                  <w:vAlign w:val="center"/>
                </w:tcPr>
                <w:p w14:paraId="57E192DF">
                  <w:pPr>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1台</w:t>
                  </w:r>
                </w:p>
              </w:tc>
              <w:tc>
                <w:tcPr>
                  <w:tcW w:w="1474" w:type="pct"/>
                  <w:shd w:val="clear" w:color="auto" w:fill="auto"/>
                  <w:vAlign w:val="center"/>
                </w:tcPr>
                <w:p w14:paraId="5FCE43B3">
                  <w:pPr>
                    <w:spacing w:line="240" w:lineRule="auto"/>
                    <w:jc w:val="center"/>
                    <w:rPr>
                      <w:rFonts w:ascii="Times New Roman" w:hAnsi="Times New Roman" w:cs="Times New Roman"/>
                      <w:color w:val="auto"/>
                      <w:szCs w:val="21"/>
                      <w:u w:val="none" w:color="auto"/>
                    </w:rPr>
                  </w:pPr>
                </w:p>
              </w:tc>
            </w:tr>
            <w:tr w14:paraId="32231C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49" w:type="pct"/>
                  <w:vMerge w:val="continue"/>
                  <w:shd w:val="clear" w:color="auto" w:fill="auto"/>
                  <w:vAlign w:val="center"/>
                </w:tcPr>
                <w:p w14:paraId="204D8AB2">
                  <w:pPr>
                    <w:widowControl/>
                    <w:spacing w:line="240" w:lineRule="auto"/>
                    <w:jc w:val="left"/>
                    <w:rPr>
                      <w:rFonts w:ascii="Times New Roman" w:hAnsi="Times New Roman" w:cs="Times New Roman"/>
                      <w:color w:val="auto"/>
                      <w:szCs w:val="21"/>
                      <w:u w:val="none" w:color="auto"/>
                    </w:rPr>
                  </w:pPr>
                </w:p>
              </w:tc>
              <w:tc>
                <w:tcPr>
                  <w:tcW w:w="356" w:type="pct"/>
                  <w:shd w:val="clear" w:color="auto" w:fill="auto"/>
                  <w:vAlign w:val="center"/>
                </w:tcPr>
                <w:p w14:paraId="5C77805D">
                  <w:pPr>
                    <w:spacing w:line="240" w:lineRule="auto"/>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10</w:t>
                  </w:r>
                </w:p>
              </w:tc>
              <w:tc>
                <w:tcPr>
                  <w:tcW w:w="942" w:type="pct"/>
                  <w:shd w:val="clear" w:color="auto" w:fill="auto"/>
                  <w:vAlign w:val="center"/>
                </w:tcPr>
                <w:p w14:paraId="3C24FCAE">
                  <w:pPr>
                    <w:spacing w:line="240" w:lineRule="auto"/>
                    <w:jc w:val="center"/>
                    <w:rPr>
                      <w:rFonts w:hint="eastAsia" w:ascii="Times New Roman" w:hAnsi="Times New Roman" w:cs="Times New Roman" w:eastAsiaTheme="minorEastAsia"/>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空压机</w:t>
                  </w:r>
                </w:p>
              </w:tc>
              <w:tc>
                <w:tcPr>
                  <w:tcW w:w="1184" w:type="pct"/>
                  <w:shd w:val="clear" w:color="auto" w:fill="auto"/>
                  <w:vAlign w:val="center"/>
                </w:tcPr>
                <w:p w14:paraId="529DDCD1">
                  <w:pPr>
                    <w:spacing w:line="240" w:lineRule="auto"/>
                    <w:jc w:val="center"/>
                    <w:rPr>
                      <w:rFonts w:hint="eastAsia" w:ascii="Times New Roman" w:hAnsi="Times New Roman" w:cs="Times New Roman" w:eastAsiaTheme="minorEastAsia"/>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w:t>
                  </w:r>
                </w:p>
              </w:tc>
              <w:tc>
                <w:tcPr>
                  <w:tcW w:w="592" w:type="pct"/>
                  <w:shd w:val="clear" w:color="auto" w:fill="auto"/>
                  <w:vAlign w:val="center"/>
                </w:tcPr>
                <w:p w14:paraId="720F8F1A">
                  <w:pPr>
                    <w:spacing w:line="240" w:lineRule="auto"/>
                    <w:jc w:val="center"/>
                    <w:rPr>
                      <w:rFonts w:ascii="Times New Roman" w:hAnsi="Times New Roman" w:cs="Times New Roman" w:eastAsiaTheme="minorEastAsia"/>
                      <w:color w:val="auto"/>
                      <w:kern w:val="2"/>
                      <w:sz w:val="21"/>
                      <w:szCs w:val="21"/>
                      <w:u w:val="none" w:color="auto"/>
                      <w:lang w:val="en-US" w:eastAsia="zh-CN" w:bidi="ar-SA"/>
                    </w:rPr>
                  </w:pPr>
                  <w:r>
                    <w:rPr>
                      <w:rFonts w:ascii="Times New Roman" w:hAnsi="Times New Roman" w:cs="Times New Roman"/>
                      <w:color w:val="auto"/>
                      <w:szCs w:val="21"/>
                      <w:u w:val="none" w:color="auto"/>
                    </w:rPr>
                    <w:t>1台</w:t>
                  </w:r>
                </w:p>
              </w:tc>
              <w:tc>
                <w:tcPr>
                  <w:tcW w:w="1474" w:type="pct"/>
                  <w:shd w:val="clear" w:color="auto" w:fill="auto"/>
                  <w:vAlign w:val="center"/>
                </w:tcPr>
                <w:p w14:paraId="7C63DE7C">
                  <w:pPr>
                    <w:spacing w:line="240" w:lineRule="auto"/>
                    <w:jc w:val="center"/>
                    <w:rPr>
                      <w:rFonts w:ascii="Times New Roman" w:hAnsi="Times New Roman" w:cs="Times New Roman"/>
                      <w:color w:val="auto"/>
                      <w:szCs w:val="21"/>
                      <w:u w:val="none" w:color="auto"/>
                    </w:rPr>
                  </w:pPr>
                </w:p>
              </w:tc>
            </w:tr>
          </w:tbl>
          <w:p w14:paraId="2018D19E">
            <w:pPr>
              <w:spacing w:line="360" w:lineRule="auto"/>
              <w:ind w:firstLine="480" w:firstLineChars="200"/>
              <w:rPr>
                <w:rFonts w:hint="eastAsia" w:ascii="Times New Roman" w:hAnsi="Times New Roman" w:eastAsia="宋体" w:cs="Times New Roman"/>
                <w:color w:val="auto"/>
                <w:kern w:val="0"/>
                <w:sz w:val="24"/>
                <w:szCs w:val="24"/>
                <w:u w:val="single"/>
                <w:lang w:eastAsia="zh-CN"/>
              </w:rPr>
            </w:pPr>
            <w:r>
              <w:rPr>
                <w:rFonts w:hint="eastAsia" w:ascii="Times New Roman" w:hAnsi="Times New Roman" w:eastAsia="宋体" w:cs="Times New Roman"/>
                <w:color w:val="auto"/>
                <w:kern w:val="0"/>
                <w:sz w:val="24"/>
                <w:szCs w:val="24"/>
                <w:u w:val="single"/>
              </w:rPr>
              <w:t>根据岳阳市住房和城乡建设局发布的《关于岳阳县凌云混凝土有限公司迁建商品混凝土搅拌站的复函（岳建函</w:t>
            </w:r>
            <w:r>
              <w:rPr>
                <w:rFonts w:hint="eastAsia" w:ascii="Times New Roman" w:hAnsi="Times New Roman" w:eastAsia="宋体" w:cs="Times New Roman"/>
                <w:color w:val="auto"/>
                <w:kern w:val="0"/>
                <w:sz w:val="24"/>
                <w:szCs w:val="24"/>
                <w:u w:val="single"/>
                <w:lang w:val="en-US" w:eastAsia="zh-CN"/>
              </w:rPr>
              <w:t>[</w:t>
            </w:r>
            <w:r>
              <w:rPr>
                <w:rFonts w:hint="eastAsia" w:ascii="Times New Roman" w:hAnsi="Times New Roman" w:eastAsia="宋体" w:cs="Times New Roman"/>
                <w:color w:val="auto"/>
                <w:kern w:val="0"/>
                <w:sz w:val="24"/>
                <w:szCs w:val="24"/>
                <w:u w:val="single"/>
              </w:rPr>
              <w:t>2023</w:t>
            </w:r>
            <w:r>
              <w:rPr>
                <w:rFonts w:hint="eastAsia" w:ascii="Times New Roman" w:hAnsi="Times New Roman" w:eastAsia="宋体" w:cs="Times New Roman"/>
                <w:color w:val="auto"/>
                <w:kern w:val="0"/>
                <w:sz w:val="24"/>
                <w:szCs w:val="24"/>
                <w:u w:val="single"/>
                <w:lang w:val="en-US" w:eastAsia="zh-CN"/>
              </w:rPr>
              <w:t>]</w:t>
            </w:r>
            <w:r>
              <w:rPr>
                <w:rFonts w:hint="eastAsia" w:ascii="Times New Roman" w:hAnsi="Times New Roman" w:eastAsia="宋体" w:cs="Times New Roman"/>
                <w:color w:val="auto"/>
                <w:kern w:val="0"/>
                <w:sz w:val="24"/>
                <w:szCs w:val="24"/>
                <w:u w:val="single"/>
              </w:rPr>
              <w:t>63号）》</w:t>
            </w:r>
            <w:r>
              <w:rPr>
                <w:rFonts w:hint="eastAsia" w:ascii="Times New Roman" w:hAnsi="Times New Roman" w:eastAsia="宋体" w:cs="Times New Roman"/>
                <w:color w:val="auto"/>
                <w:kern w:val="0"/>
                <w:sz w:val="24"/>
                <w:szCs w:val="24"/>
                <w:u w:val="single"/>
                <w:lang w:val="en-US" w:eastAsia="zh-CN"/>
              </w:rPr>
              <w:t>中“岳阳县凌云混凝土有限公司将其混凝土搅拌站迁建至岳阳县荣家湾镇欣荣村和荣鹿村交界处，建设规模为两条HZS180型预拌混凝土生产线，年设计产能为60万立方米。”</w:t>
            </w:r>
          </w:p>
          <w:p w14:paraId="5B47DDB3">
            <w:pPr>
              <w:spacing w:line="360" w:lineRule="auto"/>
              <w:ind w:firstLine="480" w:firstLineChars="200"/>
              <w:rPr>
                <w:rFonts w:ascii="Times New Roman" w:hAnsi="Times New Roman" w:cs="Times New Roman"/>
                <w:color w:val="auto"/>
                <w:sz w:val="24"/>
                <w:u w:val="single" w:color="auto"/>
              </w:rPr>
            </w:pPr>
            <w:r>
              <w:rPr>
                <w:rFonts w:ascii="Times New Roman" w:hAnsi="Times New Roman" w:cs="Times New Roman"/>
                <w:color w:val="auto"/>
                <w:sz w:val="24"/>
                <w:u w:val="single" w:color="auto"/>
              </w:rPr>
              <w:t>项目商品混凝土生产线理论生产率为</w:t>
            </w:r>
            <w:r>
              <w:rPr>
                <w:rFonts w:hint="eastAsia" w:ascii="Times New Roman" w:hAnsi="Times New Roman" w:cs="Times New Roman"/>
                <w:color w:val="auto"/>
                <w:sz w:val="24"/>
                <w:u w:val="single" w:color="auto"/>
                <w:lang w:val="en-US" w:eastAsia="zh-CN"/>
              </w:rPr>
              <w:t>36</w:t>
            </w:r>
            <w:r>
              <w:rPr>
                <w:rFonts w:ascii="Times New Roman" w:hAnsi="Times New Roman" w:cs="Times New Roman"/>
                <w:color w:val="auto"/>
                <w:sz w:val="24"/>
                <w:u w:val="single" w:color="auto"/>
              </w:rPr>
              <w:t>0m</w:t>
            </w:r>
            <w:r>
              <w:rPr>
                <w:rFonts w:ascii="Times New Roman" w:hAnsi="Times New Roman" w:cs="Times New Roman"/>
                <w:color w:val="auto"/>
                <w:sz w:val="24"/>
                <w:u w:val="single" w:color="auto"/>
                <w:vertAlign w:val="superscript"/>
              </w:rPr>
              <w:t>3</w:t>
            </w:r>
            <w:r>
              <w:rPr>
                <w:rFonts w:ascii="Times New Roman" w:hAnsi="Times New Roman" w:cs="Times New Roman"/>
                <w:color w:val="auto"/>
                <w:sz w:val="24"/>
                <w:u w:val="single" w:color="auto"/>
              </w:rPr>
              <w:t>/h，年工作</w:t>
            </w:r>
            <w:r>
              <w:rPr>
                <w:rFonts w:hint="eastAsia" w:ascii="Times New Roman" w:hAnsi="Times New Roman" w:cs="Times New Roman"/>
                <w:color w:val="auto"/>
                <w:sz w:val="24"/>
                <w:u w:val="single" w:color="auto"/>
                <w:lang w:val="en-US" w:eastAsia="zh-CN"/>
              </w:rPr>
              <w:t>21</w:t>
            </w:r>
            <w:r>
              <w:rPr>
                <w:rFonts w:ascii="Times New Roman" w:hAnsi="Times New Roman" w:cs="Times New Roman"/>
                <w:color w:val="auto"/>
                <w:sz w:val="24"/>
                <w:u w:val="single" w:color="auto"/>
              </w:rPr>
              <w:t>0天，</w:t>
            </w:r>
            <w:r>
              <w:rPr>
                <w:rFonts w:hint="eastAsia" w:ascii="Times New Roman" w:cs="Times New Roman"/>
                <w:color w:val="auto"/>
                <w:kern w:val="0"/>
                <w:sz w:val="24"/>
                <w:szCs w:val="24"/>
                <w:u w:val="single" w:color="auto"/>
              </w:rPr>
              <w:t>夜间不得进行生产，</w:t>
            </w:r>
            <w:r>
              <w:rPr>
                <w:rFonts w:hint="eastAsia" w:ascii="Times New Roman" w:hAnsi="Times New Roman" w:cs="Times New Roman"/>
                <w:color w:val="auto"/>
                <w:sz w:val="24"/>
                <w:u w:val="single" w:color="auto"/>
              </w:rPr>
              <w:t>按一天平均生产</w:t>
            </w:r>
            <w:r>
              <w:rPr>
                <w:rFonts w:hint="eastAsia" w:ascii="Times New Roman" w:hAnsi="Times New Roman" w:cs="Times New Roman"/>
                <w:color w:val="auto"/>
                <w:sz w:val="24"/>
                <w:u w:val="single" w:color="auto"/>
                <w:lang w:val="en-US" w:eastAsia="zh-CN"/>
              </w:rPr>
              <w:t>8</w:t>
            </w:r>
            <w:r>
              <w:rPr>
                <w:rFonts w:hint="eastAsia" w:ascii="Times New Roman" w:hAnsi="Times New Roman" w:cs="Times New Roman"/>
                <w:color w:val="auto"/>
                <w:sz w:val="24"/>
                <w:u w:val="single" w:color="auto"/>
              </w:rPr>
              <w:t>h计，</w:t>
            </w:r>
            <w:r>
              <w:rPr>
                <w:rFonts w:ascii="Times New Roman" w:hAnsi="Times New Roman" w:cs="Times New Roman"/>
                <w:color w:val="auto"/>
                <w:sz w:val="24"/>
                <w:u w:val="single" w:color="auto"/>
              </w:rPr>
              <w:t>全年最大工作时间为</w:t>
            </w:r>
            <w:r>
              <w:rPr>
                <w:rFonts w:hint="eastAsia" w:ascii="Times New Roman" w:hAnsi="Times New Roman" w:cs="Times New Roman"/>
                <w:color w:val="auto"/>
                <w:sz w:val="24"/>
                <w:u w:val="single" w:color="auto"/>
                <w:lang w:val="en-US" w:eastAsia="zh-CN"/>
              </w:rPr>
              <w:t>1680</w:t>
            </w:r>
            <w:r>
              <w:rPr>
                <w:rFonts w:ascii="Times New Roman" w:hAnsi="Times New Roman" w:cs="Times New Roman"/>
                <w:color w:val="auto"/>
                <w:sz w:val="24"/>
                <w:u w:val="single" w:color="auto"/>
              </w:rPr>
              <w:t>h，故本项目商品混凝土生产线理论上年生产能力为</w:t>
            </w:r>
            <w:r>
              <w:rPr>
                <w:rFonts w:hint="eastAsia" w:ascii="Times New Roman" w:hAnsi="Times New Roman" w:cs="Times New Roman"/>
                <w:color w:val="auto"/>
                <w:sz w:val="24"/>
                <w:u w:val="single" w:color="auto"/>
                <w:lang w:val="en-US" w:eastAsia="zh-CN"/>
              </w:rPr>
              <w:t>6048</w:t>
            </w:r>
            <w:r>
              <w:rPr>
                <w:rFonts w:ascii="Times New Roman" w:hAnsi="Times New Roman" w:cs="Times New Roman"/>
                <w:color w:val="auto"/>
                <w:sz w:val="24"/>
                <w:u w:val="single" w:color="auto"/>
              </w:rPr>
              <w:t>00m</w:t>
            </w:r>
            <w:r>
              <w:rPr>
                <w:rFonts w:ascii="Times New Roman" w:hAnsi="Times New Roman" w:cs="Times New Roman"/>
                <w:color w:val="auto"/>
                <w:sz w:val="24"/>
                <w:u w:val="single" w:color="auto"/>
                <w:vertAlign w:val="superscript"/>
              </w:rPr>
              <w:t>3</w:t>
            </w:r>
            <w:r>
              <w:rPr>
                <w:rFonts w:ascii="Times New Roman" w:hAnsi="Times New Roman" w:cs="Times New Roman"/>
                <w:color w:val="auto"/>
                <w:sz w:val="24"/>
                <w:u w:val="single" w:color="auto"/>
              </w:rPr>
              <w:t>，但项目营运期内实际为非连续性生产，大多为订单式生产，</w:t>
            </w:r>
            <w:r>
              <w:rPr>
                <w:rFonts w:hint="eastAsia" w:ascii="Times New Roman" w:hAnsi="Times New Roman" w:cs="Times New Roman"/>
                <w:color w:val="auto"/>
                <w:sz w:val="24"/>
                <w:u w:val="single" w:color="auto"/>
                <w:lang w:val="en-US" w:eastAsia="zh-CN"/>
              </w:rPr>
              <w:t>能满足</w:t>
            </w:r>
            <w:r>
              <w:rPr>
                <w:rFonts w:ascii="Times New Roman" w:hAnsi="Times New Roman" w:cs="Times New Roman"/>
                <w:color w:val="auto"/>
                <w:sz w:val="24"/>
                <w:u w:val="single" w:color="auto"/>
              </w:rPr>
              <w:t>设计生产规模年产</w:t>
            </w:r>
            <w:r>
              <w:rPr>
                <w:rFonts w:ascii="Times New Roman" w:hAnsi="Times New Roman" w:eastAsia="宋体" w:cs="Times New Roman"/>
                <w:color w:val="auto"/>
                <w:sz w:val="24"/>
                <w:szCs w:val="24"/>
                <w:u w:val="single" w:color="auto"/>
              </w:rPr>
              <w:t>商品混凝土</w:t>
            </w:r>
            <w:r>
              <w:rPr>
                <w:rFonts w:hint="eastAsia" w:ascii="Times New Roman" w:hAnsi="Times New Roman" w:eastAsia="宋体" w:cs="Times New Roman"/>
                <w:color w:val="auto"/>
                <w:sz w:val="24"/>
                <w:szCs w:val="24"/>
                <w:u w:val="single" w:color="auto"/>
                <w:lang w:val="en-US" w:eastAsia="zh-CN"/>
              </w:rPr>
              <w:t>60</w:t>
            </w:r>
            <w:r>
              <w:rPr>
                <w:rFonts w:ascii="Times New Roman" w:hAnsi="Times New Roman" w:eastAsia="宋体" w:cs="Times New Roman"/>
                <w:color w:val="auto"/>
                <w:sz w:val="24"/>
                <w:szCs w:val="24"/>
                <w:u w:val="single" w:color="auto"/>
              </w:rPr>
              <w:t>万m</w:t>
            </w:r>
            <w:r>
              <w:rPr>
                <w:rFonts w:ascii="Times New Roman" w:hAnsi="Times New Roman" w:eastAsia="宋体" w:cs="Times New Roman"/>
                <w:color w:val="auto"/>
                <w:sz w:val="24"/>
                <w:szCs w:val="24"/>
                <w:u w:val="single" w:color="auto"/>
                <w:vertAlign w:val="superscript"/>
              </w:rPr>
              <w:t>3</w:t>
            </w:r>
            <w:r>
              <w:rPr>
                <w:rFonts w:ascii="Times New Roman" w:hAnsi="Times New Roman" w:cs="Times New Roman"/>
                <w:color w:val="auto"/>
                <w:sz w:val="24"/>
                <w:u w:val="single" w:color="auto"/>
              </w:rPr>
              <w:t>，产能</w:t>
            </w:r>
            <w:r>
              <w:rPr>
                <w:rFonts w:hint="eastAsia" w:ascii="Times New Roman" w:hAnsi="Times New Roman" w:cs="Times New Roman"/>
                <w:color w:val="auto"/>
                <w:sz w:val="24"/>
                <w:u w:val="single" w:color="auto"/>
                <w:lang w:val="en-US" w:eastAsia="zh-CN"/>
              </w:rPr>
              <w:t>设置</w:t>
            </w:r>
            <w:r>
              <w:rPr>
                <w:rFonts w:ascii="Times New Roman" w:hAnsi="Times New Roman" w:cs="Times New Roman"/>
                <w:color w:val="auto"/>
                <w:sz w:val="24"/>
                <w:u w:val="single" w:color="auto"/>
              </w:rPr>
              <w:t>合理。</w:t>
            </w:r>
          </w:p>
          <w:p w14:paraId="091C9367">
            <w:pPr>
              <w:spacing w:line="360" w:lineRule="auto"/>
              <w:ind w:right="105" w:rightChars="50"/>
              <w:jc w:val="left"/>
              <w:rPr>
                <w:rFonts w:ascii="Times New Roman" w:hAnsi="Times New Roman" w:cs="Times New Roman"/>
                <w:b/>
                <w:color w:val="auto"/>
                <w:sz w:val="24"/>
                <w:u w:val="none" w:color="auto"/>
              </w:rPr>
            </w:pPr>
            <w:r>
              <w:rPr>
                <w:rFonts w:ascii="Times New Roman" w:hAnsi="Times New Roman" w:cs="Times New Roman"/>
                <w:b/>
                <w:color w:val="auto"/>
                <w:sz w:val="24"/>
                <w:u w:val="none" w:color="auto"/>
              </w:rPr>
              <w:t>6、平面布置</w:t>
            </w:r>
          </w:p>
          <w:p w14:paraId="7488DF16">
            <w:pPr>
              <w:spacing w:line="360" w:lineRule="auto"/>
              <w:ind w:firstLine="480" w:firstLineChars="200"/>
              <w:jc w:val="left"/>
              <w:rPr>
                <w:rFonts w:ascii="Times New Roman" w:hAnsi="Times New Roman" w:cs="Times New Roman"/>
                <w:color w:val="auto"/>
                <w:sz w:val="24"/>
                <w:u w:val="none" w:color="auto"/>
              </w:rPr>
            </w:pPr>
            <w:r>
              <w:rPr>
                <w:rFonts w:ascii="Times New Roman" w:hAnsi="Times New Roman" w:cs="Times New Roman"/>
                <w:color w:val="auto"/>
                <w:sz w:val="24"/>
                <w:u w:val="none" w:color="auto"/>
              </w:rPr>
              <w:t>项目由生产车间</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搅拌楼、筒仓区</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、砂石料场、综合楼</w:t>
            </w:r>
            <w:r>
              <w:rPr>
                <w:rFonts w:hint="eastAsia" w:ascii="Times New Roman" w:hAnsi="Times New Roman" w:cs="Times New Roman"/>
                <w:color w:val="auto"/>
                <w:sz w:val="24"/>
                <w:u w:val="none" w:color="auto"/>
                <w:lang w:val="en-US" w:eastAsia="zh-CN"/>
              </w:rPr>
              <w:t>等</w:t>
            </w:r>
            <w:r>
              <w:rPr>
                <w:rFonts w:ascii="Times New Roman" w:hAnsi="Times New Roman" w:cs="Times New Roman"/>
                <w:color w:val="auto"/>
                <w:sz w:val="24"/>
                <w:u w:val="none" w:color="auto"/>
              </w:rPr>
              <w:t>组成。从总平面布置来看，厂区在</w:t>
            </w:r>
            <w:r>
              <w:rPr>
                <w:rFonts w:hint="eastAsia" w:ascii="Times New Roman" w:hAnsi="Times New Roman" w:cs="Times New Roman"/>
                <w:color w:val="auto"/>
                <w:sz w:val="24"/>
                <w:u w:val="none" w:color="auto"/>
                <w:lang w:val="en-US" w:eastAsia="zh-CN"/>
              </w:rPr>
              <w:t>西北</w:t>
            </w:r>
            <w:r>
              <w:rPr>
                <w:rFonts w:ascii="Times New Roman" w:hAnsi="Times New Roman" w:cs="Times New Roman"/>
                <w:color w:val="auto"/>
                <w:sz w:val="24"/>
                <w:u w:val="none" w:color="auto"/>
              </w:rPr>
              <w:t>侧设置出入口，紧邻现有</w:t>
            </w:r>
            <w:r>
              <w:rPr>
                <w:rFonts w:hint="eastAsia" w:ascii="Times New Roman" w:hAnsi="Times New Roman" w:cs="Times New Roman"/>
                <w:color w:val="auto"/>
                <w:sz w:val="24"/>
                <w:u w:val="none" w:color="auto"/>
                <w:lang w:val="en-US" w:eastAsia="zh-CN"/>
              </w:rPr>
              <w:t>县道X109，入口东侧为综合楼，</w:t>
            </w:r>
            <w:r>
              <w:rPr>
                <w:rFonts w:ascii="Times New Roman" w:hAnsi="Times New Roman" w:cs="Times New Roman"/>
                <w:color w:val="auto"/>
                <w:sz w:val="24"/>
                <w:u w:val="none" w:color="auto"/>
              </w:rPr>
              <w:t>出入口</w:t>
            </w:r>
            <w:r>
              <w:rPr>
                <w:rFonts w:hint="eastAsia" w:ascii="Times New Roman" w:hAnsi="Times New Roman" w:cs="Times New Roman"/>
                <w:color w:val="auto"/>
                <w:sz w:val="24"/>
                <w:u w:val="none" w:color="auto"/>
                <w:lang w:val="en-US" w:eastAsia="zh-CN"/>
              </w:rPr>
              <w:t>东</w:t>
            </w:r>
            <w:r>
              <w:rPr>
                <w:rFonts w:ascii="Times New Roman" w:hAnsi="Times New Roman" w:cs="Times New Roman"/>
                <w:color w:val="auto"/>
                <w:sz w:val="24"/>
                <w:u w:val="none" w:color="auto"/>
              </w:rPr>
              <w:t>侧设置</w:t>
            </w:r>
            <w:r>
              <w:rPr>
                <w:rFonts w:hint="eastAsia" w:ascii="Times New Roman" w:hAnsi="Times New Roman" w:cs="Times New Roman"/>
                <w:color w:val="auto"/>
                <w:sz w:val="24"/>
                <w:u w:val="none" w:color="auto"/>
                <w:lang w:val="en-US" w:eastAsia="zh-CN"/>
              </w:rPr>
              <w:t>洗车废水沉淀池</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厂区中部为搅拌楼，搅拌楼东西两侧布置筒仓区，厂区南侧为砂石料场。</w:t>
            </w:r>
            <w:r>
              <w:rPr>
                <w:rFonts w:ascii="Times New Roman" w:hAnsi="Times New Roman" w:cs="Times New Roman"/>
                <w:color w:val="auto"/>
                <w:sz w:val="24"/>
                <w:u w:val="none" w:color="auto"/>
              </w:rPr>
              <w:t>沉淀池</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集砂区</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兼作一般固废仓库</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均位于砂石料场与生产车间之间</w:t>
            </w:r>
            <w:r>
              <w:rPr>
                <w:rFonts w:ascii="Times New Roman" w:hAnsi="Times New Roman" w:cs="Times New Roman"/>
                <w:color w:val="auto"/>
                <w:sz w:val="24"/>
                <w:u w:val="none" w:color="auto"/>
              </w:rPr>
              <w:t>；危废暂存间布置于综合楼内。</w:t>
            </w:r>
          </w:p>
          <w:p w14:paraId="1A81A850">
            <w:pPr>
              <w:spacing w:line="360" w:lineRule="auto"/>
              <w:ind w:firstLine="480" w:firstLineChars="200"/>
              <w:jc w:val="left"/>
              <w:rPr>
                <w:rFonts w:ascii="Times New Roman" w:hAnsi="Times New Roman" w:cs="Times New Roman"/>
                <w:color w:val="auto"/>
                <w:sz w:val="24"/>
                <w:u w:val="none" w:color="auto"/>
              </w:rPr>
            </w:pPr>
            <w:r>
              <w:rPr>
                <w:rFonts w:ascii="Times New Roman" w:hAnsi="Times New Roman" w:cs="Times New Roman"/>
                <w:color w:val="auto"/>
                <w:sz w:val="24"/>
                <w:u w:val="none" w:color="auto"/>
              </w:rPr>
              <w:t>厂区内分区明确，且各区域均有厂区道路相连，砂石料场及生产区紧邻设置，可满足生产流程的合理顺畅；沉淀池及砂石分离设备位于生产区及砂石料场之间，能有效收集和处理生产过程中产生的废水并回用于生产；生产区位于厂区</w:t>
            </w:r>
            <w:r>
              <w:rPr>
                <w:rFonts w:hint="eastAsia" w:ascii="Times New Roman" w:hAnsi="Times New Roman" w:cs="Times New Roman"/>
                <w:color w:val="auto"/>
                <w:sz w:val="24"/>
                <w:u w:val="none" w:color="auto"/>
                <w:lang w:val="en-US" w:eastAsia="zh-CN"/>
              </w:rPr>
              <w:t>中部</w:t>
            </w:r>
            <w:r>
              <w:rPr>
                <w:rFonts w:ascii="Times New Roman" w:hAnsi="Times New Roman" w:cs="Times New Roman"/>
                <w:color w:val="auto"/>
                <w:sz w:val="24"/>
                <w:u w:val="none" w:color="auto"/>
              </w:rPr>
              <w:t>，可尽量减少设备及车辆噪声</w:t>
            </w:r>
            <w:r>
              <w:rPr>
                <w:rFonts w:hint="eastAsia" w:ascii="Times New Roman" w:hAnsi="Times New Roman" w:cs="Times New Roman"/>
                <w:color w:val="auto"/>
                <w:sz w:val="24"/>
                <w:u w:val="none" w:color="auto"/>
                <w:lang w:val="en-US" w:eastAsia="zh-CN"/>
              </w:rPr>
              <w:t>及粉尘等</w:t>
            </w:r>
            <w:r>
              <w:rPr>
                <w:rFonts w:ascii="Times New Roman" w:hAnsi="Times New Roman" w:cs="Times New Roman"/>
                <w:color w:val="auto"/>
                <w:sz w:val="24"/>
                <w:u w:val="none" w:color="auto"/>
              </w:rPr>
              <w:t>对</w:t>
            </w:r>
            <w:r>
              <w:rPr>
                <w:rFonts w:hint="eastAsia" w:ascii="Times New Roman" w:hAnsi="Times New Roman" w:cs="Times New Roman"/>
                <w:color w:val="auto"/>
                <w:sz w:val="24"/>
                <w:u w:val="none" w:color="auto"/>
                <w:lang w:val="en-US" w:eastAsia="zh-CN"/>
              </w:rPr>
              <w:t>周边</w:t>
            </w:r>
            <w:r>
              <w:rPr>
                <w:rFonts w:ascii="Times New Roman" w:hAnsi="Times New Roman" w:cs="Times New Roman"/>
                <w:color w:val="auto"/>
                <w:sz w:val="24"/>
                <w:u w:val="none" w:color="auto"/>
              </w:rPr>
              <w:t>居民的影响。项目平面</w:t>
            </w:r>
            <w:r>
              <w:rPr>
                <w:rFonts w:hint="eastAsia" w:ascii="Times New Roman" w:hAnsi="Times New Roman" w:cs="Times New Roman"/>
                <w:color w:val="auto"/>
                <w:sz w:val="24"/>
                <w:u w:val="none" w:color="auto"/>
                <w:lang w:val="en-US" w:eastAsia="zh-CN"/>
              </w:rPr>
              <w:t>布置</w:t>
            </w:r>
            <w:r>
              <w:rPr>
                <w:rFonts w:ascii="Times New Roman" w:hAnsi="Times New Roman" w:cs="Times New Roman"/>
                <w:color w:val="auto"/>
                <w:sz w:val="24"/>
                <w:u w:val="none" w:color="auto"/>
              </w:rPr>
              <w:t>图见附图</w:t>
            </w:r>
            <w:r>
              <w:rPr>
                <w:rFonts w:hint="eastAsia" w:ascii="Times New Roman" w:hAnsi="Times New Roman" w:cs="Times New Roman"/>
                <w:color w:val="auto"/>
                <w:sz w:val="24"/>
                <w:u w:val="none" w:color="auto"/>
                <w:lang w:val="en-US" w:eastAsia="zh-CN"/>
              </w:rPr>
              <w:t>3</w:t>
            </w:r>
            <w:r>
              <w:rPr>
                <w:rFonts w:ascii="Times New Roman" w:hAnsi="Times New Roman" w:cs="Times New Roman"/>
                <w:color w:val="auto"/>
                <w:sz w:val="24"/>
                <w:u w:val="none" w:color="auto"/>
              </w:rPr>
              <w:t>。</w:t>
            </w:r>
          </w:p>
          <w:p w14:paraId="6C6F31A0">
            <w:pPr>
              <w:spacing w:line="360" w:lineRule="auto"/>
              <w:jc w:val="left"/>
              <w:rPr>
                <w:rFonts w:ascii="Times New Roman" w:hAnsi="Times New Roman" w:cs="Times New Roman"/>
                <w:b/>
                <w:color w:val="auto"/>
                <w:sz w:val="24"/>
                <w:u w:val="none" w:color="auto"/>
              </w:rPr>
            </w:pPr>
            <w:r>
              <w:rPr>
                <w:rFonts w:ascii="Times New Roman" w:hAnsi="Times New Roman" w:cs="Times New Roman"/>
                <w:b/>
                <w:color w:val="auto"/>
                <w:sz w:val="24"/>
                <w:u w:val="none" w:color="auto"/>
              </w:rPr>
              <w:t>7、给排水及公用工程</w:t>
            </w:r>
          </w:p>
          <w:p w14:paraId="1B2369C5">
            <w:pPr>
              <w:spacing w:line="360" w:lineRule="auto"/>
              <w:ind w:firstLine="480" w:firstLineChars="200"/>
              <w:rPr>
                <w:rFonts w:ascii="Times New Roman" w:hAnsi="Times New Roman" w:cs="Times New Roman"/>
                <w:color w:val="auto"/>
                <w:sz w:val="24"/>
                <w:highlight w:val="none"/>
                <w:u w:val="none" w:color="auto"/>
              </w:rPr>
            </w:pPr>
            <w:r>
              <w:rPr>
                <w:rFonts w:ascii="Times New Roman" w:hAnsi="Times New Roman" w:cs="Times New Roman"/>
                <w:color w:val="auto"/>
                <w:sz w:val="24"/>
                <w:highlight w:val="none"/>
                <w:u w:val="none" w:color="auto"/>
              </w:rPr>
              <w:t>（1）给水工程</w:t>
            </w:r>
          </w:p>
          <w:p w14:paraId="7D653B4A">
            <w:pPr>
              <w:spacing w:line="360" w:lineRule="auto"/>
              <w:ind w:firstLine="480" w:firstLineChars="200"/>
              <w:rPr>
                <w:rFonts w:ascii="Times New Roman" w:hAnsi="Times New Roman" w:cs="Times New Roman"/>
                <w:color w:val="auto"/>
                <w:sz w:val="24"/>
                <w:highlight w:val="none"/>
                <w:u w:val="none" w:color="auto"/>
              </w:rPr>
            </w:pPr>
            <w:r>
              <w:rPr>
                <w:rFonts w:hint="eastAsia" w:ascii="Times New Roman" w:hAnsi="Times New Roman" w:cs="Times New Roman"/>
                <w:color w:val="auto"/>
                <w:sz w:val="24"/>
                <w:highlight w:val="none"/>
                <w:u w:val="none" w:color="auto"/>
                <w:lang w:val="en-US" w:eastAsia="zh-CN"/>
              </w:rPr>
              <w:t>项目用水均以</w:t>
            </w:r>
            <w:r>
              <w:rPr>
                <w:rFonts w:ascii="Times New Roman" w:hAnsi="Times New Roman" w:cs="Times New Roman"/>
                <w:color w:val="auto"/>
                <w:sz w:val="24"/>
                <w:highlight w:val="none"/>
                <w:u w:val="none" w:color="auto"/>
              </w:rPr>
              <w:t>城市自来水</w:t>
            </w:r>
            <w:r>
              <w:rPr>
                <w:rFonts w:hint="eastAsia" w:ascii="Times New Roman" w:hAnsi="Times New Roman" w:cs="Times New Roman"/>
                <w:color w:val="auto"/>
                <w:sz w:val="24"/>
                <w:highlight w:val="none"/>
                <w:u w:val="none" w:color="auto"/>
                <w:lang w:val="en-US" w:eastAsia="zh-CN"/>
              </w:rPr>
              <w:t>为供水水源</w:t>
            </w:r>
            <w:r>
              <w:rPr>
                <w:rFonts w:ascii="Times New Roman" w:hAnsi="Times New Roman" w:cs="Times New Roman"/>
                <w:color w:val="auto"/>
                <w:sz w:val="24"/>
                <w:highlight w:val="none"/>
                <w:u w:val="none" w:color="auto"/>
              </w:rPr>
              <w:t>，从市政给水环管上接入一根DN150mm的引入管，引入厂区作为厂区生活、生产、消防用水，在建筑红线内，经水表井后与厂区室外支管相连接。</w:t>
            </w:r>
          </w:p>
          <w:p w14:paraId="34761D36">
            <w:pPr>
              <w:spacing w:line="360" w:lineRule="auto"/>
              <w:ind w:firstLine="480" w:firstLineChars="200"/>
              <w:rPr>
                <w:rFonts w:ascii="Times New Roman" w:hAnsi="Times New Roman" w:cs="Times New Roman"/>
                <w:color w:val="auto"/>
                <w:sz w:val="24"/>
                <w:highlight w:val="none"/>
                <w:u w:val="none" w:color="auto"/>
              </w:rPr>
            </w:pPr>
            <w:r>
              <w:rPr>
                <w:rFonts w:ascii="Times New Roman" w:hAnsi="Times New Roman" w:cs="Times New Roman"/>
                <w:color w:val="auto"/>
                <w:sz w:val="24"/>
                <w:highlight w:val="none"/>
                <w:u w:val="none" w:color="auto"/>
              </w:rPr>
              <w:t>本项目新鲜水用量为</w:t>
            </w:r>
            <w:r>
              <w:rPr>
                <w:rFonts w:hint="eastAsia" w:ascii="Times New Roman" w:hAnsi="Times New Roman" w:cs="Times New Roman"/>
                <w:color w:val="auto"/>
                <w:sz w:val="24"/>
                <w:highlight w:val="none"/>
                <w:u w:val="none" w:color="auto"/>
                <w:lang w:val="en-US" w:eastAsia="zh-CN"/>
              </w:rPr>
              <w:t>49503.2</w:t>
            </w:r>
            <w:r>
              <w:rPr>
                <w:rFonts w:ascii="Times New Roman" w:hAnsi="Times New Roman" w:cs="Times New Roman"/>
                <w:color w:val="auto"/>
                <w:sz w:val="24"/>
                <w:highlight w:val="none"/>
                <w:u w:val="none" w:color="auto"/>
              </w:rPr>
              <w:t>m</w:t>
            </w:r>
            <w:r>
              <w:rPr>
                <w:rFonts w:ascii="Times New Roman" w:hAnsi="Times New Roman" w:cs="Times New Roman"/>
                <w:color w:val="auto"/>
                <w:sz w:val="24"/>
                <w:highlight w:val="none"/>
                <w:u w:val="none" w:color="auto"/>
                <w:vertAlign w:val="superscript"/>
              </w:rPr>
              <w:t>3</w:t>
            </w:r>
            <w:r>
              <w:rPr>
                <w:rFonts w:ascii="Times New Roman" w:hAnsi="Times New Roman" w:cs="Times New Roman"/>
                <w:color w:val="auto"/>
                <w:sz w:val="24"/>
                <w:highlight w:val="none"/>
                <w:u w:val="none" w:color="auto"/>
              </w:rPr>
              <w:t>/a</w:t>
            </w:r>
            <w:r>
              <w:rPr>
                <w:rFonts w:hint="eastAsia" w:ascii="Times New Roman" w:hAnsi="Times New Roman" w:cs="Times New Roman"/>
                <w:color w:val="auto"/>
                <w:sz w:val="24"/>
                <w:highlight w:val="none"/>
                <w:u w:val="none" w:color="auto"/>
                <w:lang w:eastAsia="zh-CN"/>
              </w:rPr>
              <w:t>（</w:t>
            </w:r>
            <w:r>
              <w:rPr>
                <w:rFonts w:hint="eastAsia" w:ascii="Times New Roman" w:hAnsi="Times New Roman" w:cs="Times New Roman"/>
                <w:color w:val="auto"/>
                <w:sz w:val="24"/>
                <w:highlight w:val="none"/>
                <w:u w:val="none" w:color="auto"/>
                <w:lang w:val="en-US" w:eastAsia="zh-CN"/>
              </w:rPr>
              <w:t>247.52m</w:t>
            </w:r>
            <w:r>
              <w:rPr>
                <w:rFonts w:hint="eastAsia" w:ascii="Times New Roman" w:hAnsi="Times New Roman" w:cs="Times New Roman"/>
                <w:color w:val="auto"/>
                <w:sz w:val="24"/>
                <w:szCs w:val="22"/>
                <w:highlight w:val="none"/>
                <w:u w:val="none" w:color="auto"/>
                <w:vertAlign w:val="superscript"/>
                <w:lang w:val="en-US" w:eastAsia="zh-CN"/>
              </w:rPr>
              <w:t>3</w:t>
            </w:r>
            <w:r>
              <w:rPr>
                <w:rFonts w:hint="eastAsia" w:ascii="Times New Roman" w:hAnsi="Times New Roman" w:cs="Times New Roman"/>
                <w:color w:val="auto"/>
                <w:sz w:val="24"/>
                <w:highlight w:val="none"/>
                <w:u w:val="none" w:color="auto"/>
                <w:lang w:val="en-US" w:eastAsia="zh-CN"/>
              </w:rPr>
              <w:t>/d</w:t>
            </w:r>
            <w:r>
              <w:rPr>
                <w:rFonts w:hint="eastAsia" w:ascii="Times New Roman" w:hAnsi="Times New Roman" w:cs="Times New Roman"/>
                <w:color w:val="auto"/>
                <w:sz w:val="24"/>
                <w:highlight w:val="none"/>
                <w:u w:val="none" w:color="auto"/>
                <w:lang w:eastAsia="zh-CN"/>
              </w:rPr>
              <w:t>）</w:t>
            </w:r>
            <w:r>
              <w:rPr>
                <w:rFonts w:ascii="Times New Roman" w:hAnsi="Times New Roman" w:cs="Times New Roman"/>
                <w:color w:val="auto"/>
                <w:sz w:val="24"/>
                <w:highlight w:val="none"/>
                <w:u w:val="none" w:color="auto"/>
              </w:rPr>
              <w:t>，包括生产、生活用水。生产用水包括产品配置用水、</w:t>
            </w:r>
            <w:r>
              <w:rPr>
                <w:rFonts w:hint="eastAsia" w:ascii="Times New Roman" w:hAnsi="Times New Roman" w:cs="Times New Roman"/>
                <w:color w:val="auto"/>
                <w:sz w:val="24"/>
                <w:highlight w:val="none"/>
                <w:u w:val="none" w:color="auto"/>
                <w:lang w:eastAsia="zh-CN"/>
              </w:rPr>
              <w:t>车辆冲洗用水</w:t>
            </w:r>
            <w:r>
              <w:rPr>
                <w:rFonts w:ascii="Times New Roman" w:hAnsi="Times New Roman" w:cs="Times New Roman"/>
                <w:color w:val="auto"/>
                <w:sz w:val="24"/>
                <w:highlight w:val="none"/>
                <w:u w:val="none" w:color="auto"/>
              </w:rPr>
              <w:t>、设备冲洗用水、地面冲洗用水、厂区降尘用水、</w:t>
            </w:r>
            <w:r>
              <w:rPr>
                <w:rFonts w:hint="eastAsia" w:ascii="Times New Roman" w:hAnsi="Times New Roman" w:cs="Times New Roman"/>
                <w:color w:val="auto"/>
                <w:sz w:val="24"/>
                <w:highlight w:val="none"/>
                <w:u w:val="none" w:color="auto"/>
                <w:lang w:val="en-US" w:eastAsia="zh-CN"/>
              </w:rPr>
              <w:t>实验室用水、</w:t>
            </w:r>
            <w:r>
              <w:rPr>
                <w:rFonts w:ascii="Times New Roman" w:hAnsi="Times New Roman" w:cs="Times New Roman"/>
                <w:color w:val="auto"/>
                <w:sz w:val="24"/>
                <w:highlight w:val="none"/>
                <w:u w:val="none" w:color="auto"/>
              </w:rPr>
              <w:t>生活用水。</w:t>
            </w:r>
          </w:p>
          <w:p w14:paraId="6898E44D">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1）产品配置用水：根据建设方提供资料，商品混凝土配料用水量为160kg/m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混凝土，本项目商品混凝土为</w:t>
            </w:r>
            <w:r>
              <w:rPr>
                <w:rFonts w:hint="eastAsia" w:ascii="Times New Roman" w:hAnsi="Times New Roman" w:cs="Times New Roman"/>
                <w:color w:val="auto"/>
                <w:sz w:val="24"/>
                <w:u w:val="none" w:color="auto"/>
                <w:lang w:val="en-US" w:eastAsia="zh-CN"/>
              </w:rPr>
              <w:t>60</w:t>
            </w:r>
            <w:r>
              <w:rPr>
                <w:rFonts w:ascii="Times New Roman" w:hAnsi="Times New Roman" w:cs="Times New Roman"/>
                <w:color w:val="auto"/>
                <w:sz w:val="24"/>
                <w:u w:val="none" w:color="auto"/>
              </w:rPr>
              <w:t>万m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，故商品混凝土</w:t>
            </w:r>
            <w:r>
              <w:rPr>
                <w:rFonts w:hint="eastAsia" w:ascii="Times New Roman" w:hAnsi="Times New Roman" w:cs="Times New Roman"/>
                <w:color w:val="auto"/>
                <w:sz w:val="24"/>
                <w:u w:val="none" w:color="auto"/>
                <w:lang w:val="en-US" w:eastAsia="zh-CN"/>
              </w:rPr>
              <w:t>配料用水</w:t>
            </w:r>
            <w:r>
              <w:rPr>
                <w:rFonts w:ascii="Times New Roman" w:hAnsi="Times New Roman" w:cs="Times New Roman"/>
                <w:color w:val="auto"/>
                <w:sz w:val="24"/>
                <w:u w:val="none" w:color="auto"/>
              </w:rPr>
              <w:t>为</w:t>
            </w:r>
            <w:r>
              <w:rPr>
                <w:rFonts w:hint="eastAsia" w:ascii="Times New Roman" w:hAnsi="Times New Roman" w:cs="Times New Roman"/>
                <w:color w:val="auto"/>
                <w:sz w:val="24"/>
                <w:u w:val="none" w:color="auto"/>
                <w:lang w:val="en-US" w:eastAsia="zh-CN"/>
              </w:rPr>
              <w:t>96</w:t>
            </w:r>
            <w:r>
              <w:rPr>
                <w:rFonts w:ascii="Times New Roman" w:hAnsi="Times New Roman" w:cs="Times New Roman"/>
                <w:color w:val="auto"/>
                <w:sz w:val="24"/>
                <w:u w:val="none" w:color="auto"/>
              </w:rPr>
              <w:t>000t/a（</w:t>
            </w:r>
            <w:r>
              <w:rPr>
                <w:rFonts w:hint="eastAsia" w:ascii="Times New Roman" w:hAnsi="Times New Roman" w:cs="Times New Roman"/>
                <w:color w:val="auto"/>
                <w:sz w:val="24"/>
                <w:u w:val="none" w:color="auto"/>
                <w:lang w:val="en-US" w:eastAsia="zh-CN"/>
              </w:rPr>
              <w:t>48</w:t>
            </w:r>
            <w:r>
              <w:rPr>
                <w:rFonts w:ascii="Times New Roman" w:hAnsi="Times New Roman" w:cs="Times New Roman"/>
                <w:color w:val="auto"/>
                <w:sz w:val="24"/>
                <w:u w:val="none" w:color="auto"/>
              </w:rPr>
              <w:t>0t/d）。</w:t>
            </w:r>
          </w:p>
          <w:p w14:paraId="4C3CBB6D">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2）</w:t>
            </w:r>
            <w:r>
              <w:rPr>
                <w:rFonts w:hint="eastAsia" w:ascii="Times New Roman" w:hAnsi="Times New Roman" w:cs="Times New Roman"/>
                <w:color w:val="auto"/>
                <w:sz w:val="24"/>
                <w:u w:val="none" w:color="auto"/>
                <w:lang w:eastAsia="zh-CN"/>
              </w:rPr>
              <w:t>车辆冲洗用水</w:t>
            </w:r>
            <w:r>
              <w:rPr>
                <w:rFonts w:ascii="Times New Roman" w:hAnsi="Times New Roman" w:cs="Times New Roman"/>
                <w:color w:val="auto"/>
                <w:sz w:val="24"/>
                <w:u w:val="none" w:color="auto"/>
              </w:rPr>
              <w:t>：项目</w:t>
            </w:r>
            <w:r>
              <w:rPr>
                <w:rFonts w:hint="eastAsia" w:ascii="宋体" w:hAnsi="宋体" w:eastAsia="宋体" w:cs="宋体"/>
                <w:color w:val="auto"/>
                <w:kern w:val="2"/>
                <w:sz w:val="24"/>
                <w:szCs w:val="24"/>
                <w:u w:val="none" w:color="auto"/>
                <w:lang w:val="en-US" w:eastAsia="zh-CN" w:bidi="ar"/>
              </w:rPr>
              <w:t>原料运输量约为</w:t>
            </w:r>
            <w:r>
              <w:rPr>
                <w:rFonts w:hint="eastAsia" w:ascii="Times New Roman" w:hAnsi="Times New Roman" w:eastAsia="宋体" w:cs="Times New Roman"/>
                <w:color w:val="auto"/>
                <w:kern w:val="2"/>
                <w:sz w:val="24"/>
                <w:szCs w:val="24"/>
                <w:u w:val="none" w:color="auto"/>
                <w:lang w:val="en-US" w:eastAsia="zh-CN" w:bidi="ar"/>
              </w:rPr>
              <w:t xml:space="preserve">1344000 </w:t>
            </w:r>
            <w:r>
              <w:rPr>
                <w:rFonts w:hint="default" w:ascii="Times New Roman" w:hAnsi="Times New Roman" w:eastAsia="宋体" w:cs="Times New Roman"/>
                <w:color w:val="auto"/>
                <w:kern w:val="2"/>
                <w:sz w:val="24"/>
                <w:szCs w:val="24"/>
                <w:u w:val="none" w:color="auto"/>
                <w:lang w:val="en-US" w:eastAsia="zh-CN" w:bidi="ar"/>
              </w:rPr>
              <w:t>t/a</w:t>
            </w:r>
            <w:r>
              <w:rPr>
                <w:rFonts w:hint="eastAsia" w:ascii="宋体" w:hAnsi="宋体" w:eastAsia="宋体" w:cs="宋体"/>
                <w:color w:val="auto"/>
                <w:kern w:val="2"/>
                <w:sz w:val="24"/>
                <w:szCs w:val="24"/>
                <w:u w:val="none" w:color="auto"/>
                <w:lang w:val="en-US" w:eastAsia="zh-CN" w:bidi="ar"/>
              </w:rPr>
              <w:t>，外运产品</w:t>
            </w:r>
            <w:r>
              <w:rPr>
                <w:rFonts w:hint="eastAsia" w:ascii="Times New Roman" w:hAnsi="Times New Roman" w:eastAsia="宋体" w:cs="Times New Roman"/>
                <w:color w:val="auto"/>
                <w:kern w:val="2"/>
                <w:sz w:val="24"/>
                <w:szCs w:val="24"/>
                <w:u w:val="none" w:color="auto"/>
                <w:lang w:val="en-US" w:eastAsia="zh-CN" w:bidi="ar"/>
              </w:rPr>
              <w:t xml:space="preserve">1440000 </w:t>
            </w:r>
            <w:r>
              <w:rPr>
                <w:rFonts w:hint="default" w:ascii="Times New Roman" w:hAnsi="Times New Roman" w:eastAsia="宋体" w:cs="Times New Roman"/>
                <w:color w:val="auto"/>
                <w:kern w:val="2"/>
                <w:sz w:val="24"/>
                <w:szCs w:val="24"/>
                <w:u w:val="none" w:color="auto"/>
                <w:lang w:val="en-US" w:eastAsia="zh-CN" w:bidi="ar"/>
              </w:rPr>
              <w:t>t/a</w:t>
            </w:r>
            <w:r>
              <w:rPr>
                <w:rFonts w:hint="eastAsia" w:ascii="宋体" w:hAnsi="宋体" w:eastAsia="宋体" w:cs="宋体"/>
                <w:color w:val="auto"/>
                <w:kern w:val="2"/>
                <w:sz w:val="24"/>
                <w:szCs w:val="24"/>
                <w:u w:val="none" w:color="auto"/>
                <w:lang w:val="en-US" w:eastAsia="zh-CN" w:bidi="ar"/>
              </w:rPr>
              <w:t>，原料、产品</w:t>
            </w:r>
            <w:r>
              <w:rPr>
                <w:rFonts w:ascii="Times New Roman" w:hAnsi="Times New Roman" w:cs="Times New Roman"/>
                <w:color w:val="auto"/>
                <w:sz w:val="24"/>
                <w:u w:val="none" w:color="auto"/>
              </w:rPr>
              <w:t>运输量</w:t>
            </w:r>
            <w:r>
              <w:rPr>
                <w:rFonts w:hint="eastAsia" w:ascii="Times New Roman" w:hAnsi="Times New Roman" w:cs="Times New Roman"/>
                <w:color w:val="auto"/>
                <w:sz w:val="24"/>
                <w:u w:val="none" w:color="auto"/>
                <w:lang w:val="en-US" w:eastAsia="zh-CN"/>
              </w:rPr>
              <w:t>均按30吨/辆次计</w:t>
            </w:r>
            <w:r>
              <w:rPr>
                <w:rFonts w:ascii="Times New Roman" w:hAnsi="Times New Roman" w:cs="Times New Roman"/>
                <w:color w:val="auto"/>
                <w:sz w:val="24"/>
                <w:u w:val="none" w:color="auto"/>
              </w:rPr>
              <w:t>，则每年需运输</w:t>
            </w:r>
            <w:r>
              <w:rPr>
                <w:rFonts w:hint="eastAsia" w:ascii="Times New Roman" w:hAnsi="Times New Roman" w:cs="Times New Roman"/>
                <w:color w:val="auto"/>
                <w:sz w:val="24"/>
                <w:u w:val="none" w:color="auto"/>
                <w:lang w:val="en-US" w:eastAsia="zh-CN"/>
              </w:rPr>
              <w:t>92800</w:t>
            </w:r>
            <w:r>
              <w:rPr>
                <w:rFonts w:ascii="Times New Roman" w:hAnsi="Times New Roman" w:cs="Times New Roman"/>
                <w:color w:val="auto"/>
                <w:sz w:val="24"/>
                <w:u w:val="none" w:color="auto"/>
              </w:rPr>
              <w:t>辆次，即</w:t>
            </w:r>
            <w:r>
              <w:rPr>
                <w:rFonts w:hint="eastAsia" w:ascii="Times New Roman" w:hAnsi="Times New Roman" w:cs="Times New Roman"/>
                <w:color w:val="auto"/>
                <w:sz w:val="24"/>
                <w:u w:val="none" w:color="auto"/>
                <w:lang w:val="en-US" w:eastAsia="zh-CN"/>
              </w:rPr>
              <w:t>464</w:t>
            </w:r>
            <w:r>
              <w:rPr>
                <w:rFonts w:ascii="Times New Roman" w:hAnsi="Times New Roman" w:cs="Times New Roman"/>
                <w:color w:val="auto"/>
                <w:sz w:val="24"/>
                <w:u w:val="none" w:color="auto"/>
              </w:rPr>
              <w:t>辆次/d（年营运</w:t>
            </w:r>
            <w:r>
              <w:rPr>
                <w:rFonts w:hint="eastAsia" w:ascii="Times New Roman" w:hAnsi="Times New Roman" w:cs="Times New Roman"/>
                <w:color w:val="auto"/>
                <w:sz w:val="24"/>
                <w:u w:val="none" w:color="auto"/>
                <w:lang w:val="en-US" w:eastAsia="zh-CN"/>
              </w:rPr>
              <w:t>2</w:t>
            </w:r>
            <w:r>
              <w:rPr>
                <w:rFonts w:ascii="Times New Roman" w:hAnsi="Times New Roman" w:cs="Times New Roman"/>
                <w:color w:val="auto"/>
                <w:sz w:val="24"/>
                <w:u w:val="none" w:color="auto"/>
              </w:rPr>
              <w:t>00d）。运输车辆每次运输均需进行冲洗，</w:t>
            </w:r>
            <w:r>
              <w:rPr>
                <w:rFonts w:hint="eastAsia" w:ascii="Times New Roman" w:hAnsi="Times New Roman" w:cs="Times New Roman"/>
                <w:color w:val="auto"/>
                <w:sz w:val="24"/>
                <w:u w:val="none" w:color="auto"/>
                <w:lang w:val="en-US" w:eastAsia="zh-CN"/>
              </w:rPr>
              <w:t>参考</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eastAsia="zh-CN"/>
              </w:rPr>
              <w:t>建筑给水排水设计标准</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eastAsia="zh-CN"/>
              </w:rPr>
              <w:t>GB 50015-2019</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表3.2.7 汽车用水最高日用水定额</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运输</w:t>
            </w:r>
            <w:r>
              <w:rPr>
                <w:rFonts w:ascii="Times New Roman" w:hAnsi="Times New Roman" w:cs="Times New Roman"/>
                <w:color w:val="auto"/>
                <w:sz w:val="24"/>
                <w:u w:val="none" w:color="auto"/>
              </w:rPr>
              <w:t>车辆冲洗水量取值</w:t>
            </w:r>
            <w:r>
              <w:rPr>
                <w:rFonts w:hint="eastAsia" w:ascii="Times New Roman" w:hAnsi="Times New Roman" w:cs="Times New Roman"/>
                <w:color w:val="auto"/>
                <w:sz w:val="24"/>
                <w:u w:val="none" w:color="auto"/>
                <w:lang w:val="en-US" w:eastAsia="zh-CN"/>
              </w:rPr>
              <w:t>40~60</w:t>
            </w:r>
            <w:r>
              <w:rPr>
                <w:rFonts w:ascii="Times New Roman" w:hAnsi="Times New Roman" w:cs="Times New Roman"/>
                <w:color w:val="auto"/>
                <w:sz w:val="24"/>
                <w:u w:val="none" w:color="auto"/>
              </w:rPr>
              <w:t>L/辆次，</w:t>
            </w:r>
            <w:r>
              <w:rPr>
                <w:rFonts w:hint="eastAsia" w:ascii="Times New Roman" w:hAnsi="Times New Roman" w:cs="Times New Roman"/>
                <w:color w:val="auto"/>
                <w:sz w:val="24"/>
                <w:u w:val="none" w:color="auto"/>
                <w:lang w:val="en-US" w:eastAsia="zh-CN"/>
              </w:rPr>
              <w:t>本项目取50</w:t>
            </w:r>
            <w:r>
              <w:rPr>
                <w:rFonts w:ascii="Times New Roman" w:hAnsi="Times New Roman" w:cs="Times New Roman"/>
                <w:color w:val="auto"/>
                <w:sz w:val="24"/>
                <w:u w:val="none" w:color="auto"/>
              </w:rPr>
              <w:t>L/辆次</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则</w:t>
            </w:r>
            <w:r>
              <w:rPr>
                <w:rFonts w:ascii="Times New Roman" w:hAnsi="Times New Roman" w:cs="Times New Roman"/>
                <w:color w:val="auto"/>
                <w:sz w:val="24"/>
                <w:u w:val="none" w:color="auto"/>
              </w:rPr>
              <w:t>冲洗水用量为</w:t>
            </w:r>
            <w:r>
              <w:rPr>
                <w:rFonts w:hint="eastAsia" w:ascii="Times New Roman" w:hAnsi="Times New Roman" w:cs="Times New Roman"/>
                <w:color w:val="auto"/>
                <w:sz w:val="24"/>
                <w:u w:val="none" w:color="auto"/>
                <w:lang w:val="en-US" w:eastAsia="zh-CN"/>
              </w:rPr>
              <w:t>23.2</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lang w:val="en-US" w:eastAsia="zh-CN"/>
              </w:rPr>
              <w:t>4640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/a，经沉淀后回用于生产，新鲜水补充量为</w:t>
            </w:r>
            <w:r>
              <w:rPr>
                <w:rFonts w:hint="eastAsia" w:ascii="Times New Roman" w:hAnsi="Times New Roman" w:cs="Times New Roman"/>
                <w:color w:val="auto"/>
                <w:sz w:val="24"/>
                <w:u w:val="none" w:color="auto"/>
                <w:lang w:val="en-US" w:eastAsia="zh-CN"/>
              </w:rPr>
              <w:t>2.32</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lang w:val="en-US" w:eastAsia="zh-CN"/>
              </w:rPr>
              <w:t>464</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p>
          <w:p w14:paraId="3B32ACF8">
            <w:pPr>
              <w:spacing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3）设备冲洗用水：根据设备设计参数，生产线搅拌机在每天暂停生产时应进行清洗，用水量为2.</w:t>
            </w:r>
            <w:r>
              <w:rPr>
                <w:rFonts w:hint="eastAsia" w:ascii="Times New Roman" w:hAnsi="Times New Roman" w:cs="Times New Roman"/>
                <w:color w:val="auto"/>
                <w:sz w:val="24"/>
                <w:u w:val="none"/>
                <w:lang w:val="en-US" w:eastAsia="zh-CN"/>
              </w:rPr>
              <w:t>1</w:t>
            </w:r>
            <w:r>
              <w:rPr>
                <w:rFonts w:ascii="Times New Roman" w:hAnsi="Times New Roman" w:cs="Times New Roman"/>
                <w:color w:val="auto"/>
                <w:sz w:val="24"/>
                <w:u w:val="none"/>
              </w:rPr>
              <w:t>m</w:t>
            </w:r>
            <w:r>
              <w:rPr>
                <w:rFonts w:ascii="Times New Roman" w:hAnsi="Times New Roman" w:cs="Times New Roman"/>
                <w:color w:val="auto"/>
                <w:sz w:val="24"/>
                <w:u w:val="none"/>
                <w:vertAlign w:val="superscript"/>
              </w:rPr>
              <w:t>3</w:t>
            </w:r>
            <w:r>
              <w:rPr>
                <w:rFonts w:ascii="Times New Roman" w:hAnsi="Times New Roman" w:cs="Times New Roman"/>
                <w:color w:val="auto"/>
                <w:sz w:val="24"/>
                <w:u w:val="none"/>
              </w:rPr>
              <w:t>/d条生产线，故设备冲洗水量为</w:t>
            </w:r>
            <w:r>
              <w:rPr>
                <w:rFonts w:hint="eastAsia" w:ascii="Times New Roman" w:hAnsi="Times New Roman" w:cs="Times New Roman"/>
                <w:color w:val="auto"/>
                <w:sz w:val="24"/>
                <w:u w:val="none"/>
              </w:rPr>
              <w:t>4.</w:t>
            </w:r>
            <w:r>
              <w:rPr>
                <w:rFonts w:hint="eastAsia" w:ascii="Times New Roman" w:hAnsi="Times New Roman" w:cs="Times New Roman"/>
                <w:color w:val="auto"/>
                <w:sz w:val="24"/>
                <w:u w:val="none"/>
                <w:lang w:val="en-US" w:eastAsia="zh-CN"/>
              </w:rPr>
              <w:t>19</w:t>
            </w:r>
            <w:r>
              <w:rPr>
                <w:rFonts w:ascii="Times New Roman" w:hAnsi="Times New Roman" w:cs="Times New Roman"/>
                <w:color w:val="auto"/>
                <w:sz w:val="24"/>
                <w:u w:val="none"/>
              </w:rPr>
              <w:t>m</w:t>
            </w:r>
            <w:r>
              <w:rPr>
                <w:rFonts w:ascii="Times New Roman" w:hAnsi="Times New Roman" w:cs="Times New Roman"/>
                <w:color w:val="auto"/>
                <w:sz w:val="24"/>
                <w:u w:val="none"/>
                <w:vertAlign w:val="superscript"/>
              </w:rPr>
              <w:t>3</w:t>
            </w:r>
            <w:r>
              <w:rPr>
                <w:rFonts w:ascii="Times New Roman" w:hAnsi="Times New Roman" w:cs="Times New Roman"/>
                <w:color w:val="auto"/>
                <w:sz w:val="24"/>
                <w:u w:val="none"/>
              </w:rPr>
              <w:t>/d，</w:t>
            </w:r>
            <w:r>
              <w:rPr>
                <w:rFonts w:hint="eastAsia" w:ascii="Times New Roman" w:hAnsi="Times New Roman" w:cs="Times New Roman"/>
                <w:color w:val="auto"/>
                <w:sz w:val="24"/>
                <w:u w:val="none"/>
              </w:rPr>
              <w:t>88</w:t>
            </w:r>
            <w:r>
              <w:rPr>
                <w:rFonts w:ascii="Times New Roman" w:hAnsi="Times New Roman" w:cs="Times New Roman"/>
                <w:color w:val="auto"/>
                <w:sz w:val="24"/>
                <w:u w:val="none"/>
              </w:rPr>
              <w:t>0m</w:t>
            </w:r>
            <w:r>
              <w:rPr>
                <w:rFonts w:ascii="Times New Roman" w:hAnsi="Times New Roman" w:cs="Times New Roman"/>
                <w:color w:val="auto"/>
                <w:sz w:val="24"/>
                <w:u w:val="none"/>
                <w:vertAlign w:val="superscript"/>
              </w:rPr>
              <w:t>3</w:t>
            </w:r>
            <w:r>
              <w:rPr>
                <w:rFonts w:ascii="Times New Roman" w:hAnsi="Times New Roman" w:cs="Times New Roman"/>
                <w:color w:val="auto"/>
                <w:sz w:val="24"/>
                <w:u w:val="none"/>
              </w:rPr>
              <w:t>/a（一年以</w:t>
            </w:r>
            <w:r>
              <w:rPr>
                <w:rFonts w:hint="eastAsia" w:ascii="Times New Roman" w:hAnsi="Times New Roman" w:cs="Times New Roman"/>
                <w:color w:val="auto"/>
                <w:sz w:val="24"/>
                <w:u w:val="none"/>
              </w:rPr>
              <w:t>2</w:t>
            </w:r>
            <w:r>
              <w:rPr>
                <w:rFonts w:hint="eastAsia" w:ascii="Times New Roman" w:hAnsi="Times New Roman" w:cs="Times New Roman"/>
                <w:color w:val="auto"/>
                <w:sz w:val="24"/>
                <w:u w:val="none"/>
                <w:lang w:val="en-US" w:eastAsia="zh-CN"/>
              </w:rPr>
              <w:t>1</w:t>
            </w:r>
            <w:r>
              <w:rPr>
                <w:rFonts w:ascii="Times New Roman" w:hAnsi="Times New Roman" w:cs="Times New Roman"/>
                <w:color w:val="auto"/>
                <w:sz w:val="24"/>
                <w:u w:val="none"/>
              </w:rPr>
              <w:t>0天计），经</w:t>
            </w:r>
            <w:r>
              <w:rPr>
                <w:rFonts w:hint="eastAsia" w:ascii="Times New Roman" w:hAnsi="Times New Roman" w:cs="Times New Roman"/>
                <w:color w:val="auto"/>
                <w:sz w:val="24"/>
                <w:u w:val="none"/>
                <w:lang w:val="en-US" w:eastAsia="zh-CN"/>
              </w:rPr>
              <w:t>三级沉淀池</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1#</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自然</w:t>
            </w:r>
            <w:r>
              <w:rPr>
                <w:rFonts w:ascii="Times New Roman" w:hAnsi="Times New Roman" w:cs="Times New Roman"/>
                <w:color w:val="auto"/>
                <w:sz w:val="24"/>
                <w:u w:val="none"/>
              </w:rPr>
              <w:t>沉淀后回用于生产，新鲜水补充量为0.</w:t>
            </w:r>
            <w:r>
              <w:rPr>
                <w:rFonts w:hint="eastAsia" w:ascii="Times New Roman" w:hAnsi="Times New Roman" w:cs="Times New Roman"/>
                <w:color w:val="auto"/>
                <w:sz w:val="24"/>
                <w:u w:val="none"/>
              </w:rPr>
              <w:t>44</w:t>
            </w:r>
            <w:r>
              <w:rPr>
                <w:rFonts w:ascii="Times New Roman" w:hAnsi="Times New Roman" w:cs="Times New Roman"/>
                <w:color w:val="auto"/>
                <w:sz w:val="24"/>
                <w:u w:val="none"/>
              </w:rPr>
              <w:t>m</w:t>
            </w:r>
            <w:r>
              <w:rPr>
                <w:rFonts w:ascii="Times New Roman" w:hAnsi="Times New Roman" w:cs="Times New Roman"/>
                <w:color w:val="auto"/>
                <w:sz w:val="24"/>
                <w:u w:val="none"/>
                <w:vertAlign w:val="superscript"/>
              </w:rPr>
              <w:t>3</w:t>
            </w:r>
            <w:r>
              <w:rPr>
                <w:rFonts w:ascii="Times New Roman" w:hAnsi="Times New Roman" w:cs="Times New Roman"/>
                <w:color w:val="auto"/>
                <w:sz w:val="24"/>
                <w:u w:val="none"/>
              </w:rPr>
              <w:t>/d，</w:t>
            </w:r>
            <w:r>
              <w:rPr>
                <w:rFonts w:hint="eastAsia" w:ascii="Times New Roman" w:hAnsi="Times New Roman" w:cs="Times New Roman"/>
                <w:color w:val="auto"/>
                <w:sz w:val="24"/>
                <w:u w:val="none"/>
              </w:rPr>
              <w:t>88</w:t>
            </w:r>
            <w:r>
              <w:rPr>
                <w:rFonts w:ascii="Times New Roman" w:hAnsi="Times New Roman" w:cs="Times New Roman"/>
                <w:color w:val="auto"/>
                <w:sz w:val="24"/>
                <w:u w:val="none"/>
              </w:rPr>
              <w:t>m</w:t>
            </w:r>
            <w:r>
              <w:rPr>
                <w:rFonts w:ascii="Times New Roman" w:hAnsi="Times New Roman" w:cs="Times New Roman"/>
                <w:color w:val="auto"/>
                <w:sz w:val="24"/>
                <w:u w:val="none"/>
                <w:vertAlign w:val="superscript"/>
              </w:rPr>
              <w:t>3</w:t>
            </w:r>
            <w:r>
              <w:rPr>
                <w:rFonts w:ascii="Times New Roman" w:hAnsi="Times New Roman" w:cs="Times New Roman"/>
                <w:color w:val="auto"/>
                <w:sz w:val="24"/>
                <w:u w:val="none"/>
              </w:rPr>
              <w:t>/a。</w:t>
            </w:r>
          </w:p>
          <w:p w14:paraId="19094254">
            <w:pPr>
              <w:spacing w:line="360" w:lineRule="auto"/>
              <w:ind w:firstLine="480" w:firstLineChars="200"/>
              <w:rPr>
                <w:rFonts w:ascii="Times New Roman" w:hAnsi="Times New Roman" w:cs="Times New Roman"/>
                <w:color w:val="auto"/>
                <w:sz w:val="24"/>
                <w:highlight w:val="none"/>
                <w:u w:val="none" w:color="auto"/>
              </w:rPr>
            </w:pPr>
            <w:r>
              <w:rPr>
                <w:rFonts w:ascii="Times New Roman" w:hAnsi="Times New Roman" w:cs="Times New Roman"/>
                <w:color w:val="auto"/>
                <w:sz w:val="24"/>
                <w:highlight w:val="none"/>
                <w:u w:val="none" w:color="auto"/>
              </w:rPr>
              <w:t>4）地面冲洗用水：</w:t>
            </w:r>
            <w:r>
              <w:rPr>
                <w:rFonts w:hint="default" w:ascii="Times New Roman" w:hAnsi="Times New Roman" w:cs="Times New Roman"/>
                <w:bCs/>
                <w:sz w:val="24"/>
                <w:u w:val="none" w:color="auto"/>
              </w:rPr>
              <w:t>本项目搅拌机作业区地面每天冲洗1次，每次冲洗水1.</w:t>
            </w:r>
            <w:r>
              <w:rPr>
                <w:rFonts w:hint="eastAsia" w:ascii="Times New Roman" w:hAnsi="Times New Roman" w:cs="Times New Roman"/>
                <w:bCs/>
                <w:sz w:val="24"/>
                <w:u w:val="none" w:color="auto"/>
                <w:lang w:val="en-US" w:eastAsia="zh-CN"/>
              </w:rPr>
              <w:t>55</w:t>
            </w:r>
            <w:r>
              <w:rPr>
                <w:rFonts w:hint="default" w:ascii="Times New Roman" w:hAnsi="Times New Roman" w:cs="Times New Roman"/>
                <w:bCs/>
                <w:sz w:val="24"/>
                <w:u w:val="none" w:color="auto"/>
              </w:rPr>
              <w:t>m</w:t>
            </w:r>
            <w:r>
              <w:rPr>
                <w:rFonts w:hint="default" w:ascii="Times New Roman" w:hAnsi="Times New Roman" w:cs="Times New Roman"/>
                <w:bCs/>
                <w:sz w:val="24"/>
                <w:u w:val="none" w:color="auto"/>
                <w:vertAlign w:val="superscript"/>
              </w:rPr>
              <w:t>3</w:t>
            </w:r>
            <w:r>
              <w:rPr>
                <w:rFonts w:hint="default" w:ascii="Times New Roman" w:hAnsi="Times New Roman" w:cs="Times New Roman"/>
                <w:bCs/>
                <w:sz w:val="24"/>
                <w:u w:val="none" w:color="auto"/>
              </w:rPr>
              <w:t>计算（冲洗水量为</w:t>
            </w:r>
            <w:r>
              <w:rPr>
                <w:rFonts w:hint="eastAsia" w:ascii="Times New Roman" w:hAnsi="Times New Roman" w:cs="Times New Roman"/>
                <w:bCs/>
                <w:sz w:val="24"/>
                <w:u w:val="none" w:color="auto"/>
                <w:lang w:val="en-US" w:eastAsia="zh-CN"/>
              </w:rPr>
              <w:t>310</w:t>
            </w:r>
            <w:r>
              <w:rPr>
                <w:rFonts w:hint="default" w:ascii="Times New Roman" w:hAnsi="Times New Roman" w:cs="Times New Roman"/>
                <w:sz w:val="24"/>
                <w:u w:val="none" w:color="auto"/>
              </w:rPr>
              <w:t>m</w:t>
            </w:r>
            <w:r>
              <w:rPr>
                <w:rFonts w:hint="default" w:ascii="Times New Roman" w:hAnsi="Times New Roman" w:cs="Times New Roman"/>
                <w:sz w:val="24"/>
                <w:u w:val="none" w:color="auto"/>
                <w:vertAlign w:val="superscript"/>
              </w:rPr>
              <w:t>3</w:t>
            </w:r>
            <w:r>
              <w:rPr>
                <w:rFonts w:hint="default" w:ascii="Times New Roman" w:hAnsi="Times New Roman" w:cs="Times New Roman"/>
                <w:sz w:val="24"/>
                <w:u w:val="none" w:color="auto"/>
              </w:rPr>
              <w:t>/a</w:t>
            </w:r>
            <w:r>
              <w:rPr>
                <w:rFonts w:hint="default" w:ascii="Times New Roman" w:hAnsi="Times New Roman" w:cs="Times New Roman"/>
                <w:bCs/>
                <w:sz w:val="24"/>
                <w:u w:val="none" w:color="auto"/>
              </w:rPr>
              <w:t>）</w:t>
            </w:r>
            <w:r>
              <w:rPr>
                <w:rFonts w:ascii="Times New Roman" w:hAnsi="Times New Roman" w:cs="Times New Roman"/>
                <w:color w:val="auto"/>
                <w:sz w:val="24"/>
                <w:highlight w:val="none"/>
                <w:u w:val="none" w:color="auto"/>
              </w:rPr>
              <w:t>。</w:t>
            </w:r>
          </w:p>
          <w:p w14:paraId="527FCF35">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5）厂区降尘用水：项目砂石料场、生产车间以及厂区道路需要定期洒水降尘，用水量约为8m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lang w:val="en-US" w:eastAsia="zh-CN"/>
              </w:rPr>
              <w:t>16</w:t>
            </w:r>
            <w:r>
              <w:rPr>
                <w:rFonts w:ascii="Times New Roman" w:hAnsi="Times New Roman" w:cs="Times New Roman"/>
                <w:color w:val="auto"/>
                <w:sz w:val="24"/>
                <w:u w:val="none" w:color="auto"/>
              </w:rPr>
              <w:t>00m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全部</w:t>
            </w:r>
            <w:r>
              <w:rPr>
                <w:rFonts w:ascii="Times New Roman" w:hAnsi="Times New Roman" w:cs="Times New Roman"/>
                <w:color w:val="auto"/>
                <w:sz w:val="24"/>
                <w:u w:val="none" w:color="auto"/>
              </w:rPr>
              <w:t>蒸发</w:t>
            </w:r>
            <w:r>
              <w:rPr>
                <w:rFonts w:hint="eastAsia" w:ascii="Times New Roman" w:hAnsi="Times New Roman" w:cs="Times New Roman"/>
                <w:color w:val="auto"/>
                <w:sz w:val="24"/>
                <w:u w:val="none" w:color="auto"/>
                <w:lang w:val="en-US" w:eastAsia="zh-CN"/>
              </w:rPr>
              <w:t>损耗</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无废水产生</w:t>
            </w:r>
            <w:r>
              <w:rPr>
                <w:rFonts w:ascii="Times New Roman" w:hAnsi="Times New Roman" w:cs="Times New Roman"/>
                <w:color w:val="auto"/>
                <w:sz w:val="24"/>
                <w:u w:val="none" w:color="auto"/>
              </w:rPr>
              <w:t>。</w:t>
            </w:r>
          </w:p>
          <w:p w14:paraId="1BF5E592">
            <w:pPr>
              <w:spacing w:line="360" w:lineRule="auto"/>
              <w:ind w:firstLine="480" w:firstLineChars="200"/>
              <w:rPr>
                <w:rFonts w:ascii="Times New Roman" w:hAnsi="Times New Roman" w:cs="Times New Roman"/>
                <w:color w:val="auto"/>
                <w:sz w:val="24"/>
                <w:u w:val="none" w:color="auto"/>
              </w:rPr>
            </w:pPr>
            <w:r>
              <w:rPr>
                <w:rFonts w:hint="eastAsia" w:ascii="Times New Roman" w:hAnsi="Times New Roman" w:cs="Times New Roman"/>
                <w:color w:val="auto"/>
                <w:sz w:val="24"/>
                <w:u w:val="none" w:color="auto"/>
                <w:lang w:val="en-US" w:eastAsia="zh-CN"/>
              </w:rPr>
              <w:t>6）</w:t>
            </w:r>
            <w:r>
              <w:rPr>
                <w:rFonts w:ascii="Times New Roman" w:hAnsi="Times New Roman" w:cs="Times New Roman"/>
                <w:color w:val="auto"/>
                <w:sz w:val="24"/>
                <w:u w:val="none" w:color="auto"/>
              </w:rPr>
              <w:t>生活用水：根据湖南省《用水定额》（DB43/T388-2020）中相关标准，不在厂区住宿人员生活用水平均按</w:t>
            </w:r>
            <w:r>
              <w:rPr>
                <w:rFonts w:hint="eastAsia" w:ascii="Times New Roman" w:hAnsi="Times New Roman" w:cs="Times New Roman"/>
                <w:color w:val="auto"/>
                <w:sz w:val="24"/>
                <w:u w:val="none" w:color="auto"/>
                <w:lang w:val="en-US" w:eastAsia="zh-CN"/>
              </w:rPr>
              <w:t>5</w:t>
            </w:r>
            <w:r>
              <w:rPr>
                <w:rFonts w:ascii="Times New Roman" w:hAnsi="Times New Roman" w:cs="Times New Roman"/>
                <w:color w:val="auto"/>
                <w:sz w:val="24"/>
                <w:u w:val="none" w:color="auto"/>
              </w:rPr>
              <w:t>0L/人·天计，本项目劳动定员为</w:t>
            </w:r>
            <w:r>
              <w:rPr>
                <w:rFonts w:hint="eastAsia" w:ascii="Times New Roman" w:hAnsi="Times New Roman" w:cs="Times New Roman"/>
                <w:color w:val="auto"/>
                <w:sz w:val="24"/>
                <w:u w:val="none" w:color="auto"/>
                <w:lang w:val="en-US" w:eastAsia="zh-CN"/>
              </w:rPr>
              <w:t>40</w:t>
            </w:r>
            <w:r>
              <w:rPr>
                <w:rFonts w:ascii="Times New Roman" w:hAnsi="Times New Roman" w:cs="Times New Roman"/>
                <w:color w:val="auto"/>
                <w:sz w:val="24"/>
                <w:u w:val="none" w:color="auto"/>
              </w:rPr>
              <w:t>人</w:t>
            </w:r>
            <w:r>
              <w:rPr>
                <w:rFonts w:hint="eastAsia" w:ascii="Times New Roman" w:hAnsi="Times New Roman" w:cs="Times New Roman"/>
                <w:color w:val="auto"/>
                <w:sz w:val="24"/>
                <w:u w:val="none" w:color="auto"/>
                <w:lang w:eastAsia="zh-CN"/>
              </w:rPr>
              <w:t>，均</w:t>
            </w:r>
            <w:r>
              <w:rPr>
                <w:rFonts w:hint="eastAsia" w:ascii="Times New Roman" w:hAnsi="Times New Roman" w:cs="Times New Roman"/>
                <w:color w:val="auto"/>
                <w:sz w:val="24"/>
                <w:u w:val="none" w:color="auto"/>
                <w:lang w:val="en-US" w:eastAsia="zh-CN"/>
              </w:rPr>
              <w:t>不</w:t>
            </w:r>
            <w:r>
              <w:rPr>
                <w:rFonts w:hint="eastAsia" w:ascii="Times New Roman" w:hAnsi="Times New Roman" w:cs="Times New Roman"/>
                <w:color w:val="auto"/>
                <w:sz w:val="24"/>
                <w:u w:val="none" w:color="auto"/>
                <w:lang w:eastAsia="zh-CN"/>
              </w:rPr>
              <w:t>在厂区住宿</w:t>
            </w:r>
            <w:r>
              <w:rPr>
                <w:rFonts w:ascii="Times New Roman" w:hAnsi="Times New Roman" w:cs="Times New Roman"/>
                <w:color w:val="auto"/>
                <w:sz w:val="24"/>
                <w:u w:val="none" w:color="auto"/>
              </w:rPr>
              <w:t>，则本项目生活用水量为</w:t>
            </w:r>
            <w:r>
              <w:rPr>
                <w:rFonts w:hint="eastAsia" w:ascii="Times New Roman" w:hAnsi="Times New Roman" w:cs="Times New Roman"/>
                <w:color w:val="auto"/>
                <w:sz w:val="24"/>
                <w:u w:val="none" w:color="auto"/>
                <w:lang w:val="en-US" w:eastAsia="zh-CN"/>
              </w:rPr>
              <w:t>2.0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lang w:val="en-US" w:eastAsia="zh-CN"/>
              </w:rPr>
              <w:t>400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p>
          <w:p w14:paraId="658D155B">
            <w:pPr>
              <w:shd w:val="clea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（2）排水工程</w:t>
            </w:r>
          </w:p>
          <w:p w14:paraId="63DE4E22">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本项目排水采用雨</w:t>
            </w:r>
            <w:r>
              <w:rPr>
                <w:rFonts w:hint="eastAsia" w:ascii="Times New Roman" w:hAnsi="Times New Roman" w:cs="Times New Roman"/>
                <w:color w:val="auto"/>
                <w:sz w:val="24"/>
                <w:u w:val="none" w:color="auto"/>
                <w:lang w:val="en-US" w:eastAsia="zh-CN"/>
              </w:rPr>
              <w:t>污</w:t>
            </w:r>
            <w:r>
              <w:rPr>
                <w:rFonts w:ascii="Times New Roman" w:hAnsi="Times New Roman" w:cs="Times New Roman"/>
                <w:color w:val="auto"/>
                <w:sz w:val="24"/>
                <w:u w:val="none" w:color="auto"/>
              </w:rPr>
              <w:t>分流，初期雨水经收集</w:t>
            </w:r>
            <w:r>
              <w:rPr>
                <w:rFonts w:hint="eastAsia" w:ascii="Times New Roman" w:hAnsi="Times New Roman" w:cs="Times New Roman"/>
                <w:color w:val="auto"/>
                <w:sz w:val="24"/>
                <w:u w:val="none" w:color="auto"/>
                <w:lang w:val="en-US" w:eastAsia="zh-CN"/>
              </w:rPr>
              <w:t>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3#</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处理</w:t>
            </w:r>
            <w:r>
              <w:rPr>
                <w:rFonts w:ascii="Times New Roman" w:hAnsi="Times New Roman" w:cs="Times New Roman"/>
                <w:color w:val="auto"/>
                <w:sz w:val="24"/>
                <w:u w:val="none" w:color="auto"/>
              </w:rPr>
              <w:t>后用于厂区降尘洒水，项目初期雨水与正常外排雨水的转换措施为在初期雨水收集沉淀池处设置截留阀，雨后15min关闭截留阀，清净雨水经周边水渠进入</w:t>
            </w:r>
            <w:r>
              <w:rPr>
                <w:rFonts w:hint="eastAsia" w:ascii="Times New Roman" w:hAnsi="Times New Roman" w:cs="Times New Roman"/>
                <w:color w:val="auto"/>
                <w:sz w:val="24"/>
                <w:u w:val="none" w:color="auto"/>
                <w:lang w:val="en-US" w:eastAsia="zh-CN"/>
              </w:rPr>
              <w:t>厂区外东侧水塘</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洗车废水经沉淀池（2#）沉淀后回用于生产，</w:t>
            </w:r>
            <w:r>
              <w:rPr>
                <w:rFonts w:ascii="Times New Roman" w:hAnsi="Times New Roman" w:cs="Times New Roman"/>
                <w:color w:val="auto"/>
                <w:sz w:val="24"/>
                <w:u w:val="none" w:color="auto"/>
              </w:rPr>
              <w:t>生产废水经</w:t>
            </w:r>
            <w:r>
              <w:rPr>
                <w:rFonts w:hint="eastAsia" w:ascii="Times New Roman" w:hAnsi="Times New Roman" w:cs="Times New Roman"/>
                <w:color w:val="auto"/>
                <w:sz w:val="24"/>
                <w:u w:val="none" w:color="auto"/>
                <w:lang w:val="en-US" w:eastAsia="zh-CN"/>
              </w:rPr>
              <w:t>三</w:t>
            </w:r>
            <w:r>
              <w:rPr>
                <w:rFonts w:ascii="Times New Roman" w:hAnsi="Times New Roman" w:cs="Times New Roman"/>
                <w:color w:val="auto"/>
                <w:sz w:val="24"/>
                <w:u w:val="none" w:color="auto"/>
              </w:rPr>
              <w:t>级沉淀池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1#</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沉淀后回用于生产，生活污水经化粪池处理后用于周边</w:t>
            </w:r>
            <w:r>
              <w:rPr>
                <w:rFonts w:hint="eastAsia" w:ascii="Times New Roman" w:hAnsi="Times New Roman" w:cs="Times New Roman"/>
                <w:color w:val="auto"/>
                <w:sz w:val="24"/>
                <w:u w:val="none" w:color="auto"/>
                <w:lang w:eastAsia="zh-CN"/>
              </w:rPr>
              <w:t>菜地施肥</w:t>
            </w:r>
            <w:r>
              <w:rPr>
                <w:rFonts w:ascii="Times New Roman" w:hAnsi="Times New Roman" w:cs="Times New Roman"/>
                <w:color w:val="auto"/>
                <w:sz w:val="24"/>
                <w:u w:val="none" w:color="auto"/>
              </w:rPr>
              <w:t>。</w:t>
            </w:r>
          </w:p>
          <w:p w14:paraId="0108A29C">
            <w:pPr>
              <w:adjustRightInd w:val="0"/>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①</w:t>
            </w:r>
            <w:r>
              <w:rPr>
                <w:rFonts w:hint="eastAsia" w:ascii="Times New Roman" w:hAnsi="Times New Roman" w:cs="Times New Roman"/>
                <w:color w:val="auto"/>
                <w:sz w:val="24"/>
                <w:u w:val="none" w:color="auto"/>
                <w:lang w:eastAsia="zh-CN"/>
              </w:rPr>
              <w:t>车辆</w:t>
            </w:r>
            <w:r>
              <w:rPr>
                <w:rFonts w:hint="eastAsia" w:ascii="Times New Roman" w:hAnsi="Times New Roman" w:cs="Times New Roman"/>
                <w:color w:val="auto"/>
                <w:sz w:val="24"/>
                <w:u w:val="none" w:color="auto"/>
                <w:lang w:val="en-US" w:eastAsia="zh-CN"/>
              </w:rPr>
              <w:t>冲</w:t>
            </w:r>
            <w:r>
              <w:rPr>
                <w:rFonts w:hint="eastAsia" w:ascii="Times New Roman" w:hAnsi="Times New Roman" w:cs="Times New Roman"/>
                <w:color w:val="auto"/>
                <w:sz w:val="24"/>
                <w:u w:val="none" w:color="auto"/>
                <w:lang w:eastAsia="zh-CN"/>
              </w:rPr>
              <w:t>洗废水</w:t>
            </w:r>
            <w:r>
              <w:rPr>
                <w:rFonts w:ascii="Times New Roman" w:hAnsi="Times New Roman" w:cs="Times New Roman"/>
                <w:color w:val="auto"/>
                <w:sz w:val="24"/>
                <w:u w:val="none" w:color="auto"/>
              </w:rPr>
              <w:t>：本项目车辆冲洗水量为</w:t>
            </w:r>
            <w:r>
              <w:rPr>
                <w:rFonts w:hint="eastAsia" w:ascii="Times New Roman" w:hAnsi="Times New Roman" w:cs="Times New Roman"/>
                <w:color w:val="auto"/>
                <w:sz w:val="24"/>
                <w:u w:val="none" w:color="auto"/>
                <w:lang w:val="en-US" w:eastAsia="zh-CN"/>
              </w:rPr>
              <w:t>23.2</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lang w:val="en-US" w:eastAsia="zh-CN"/>
              </w:rPr>
              <w:t>4640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/a，排水按90%计算，则</w:t>
            </w:r>
            <w:r>
              <w:rPr>
                <w:rFonts w:hint="eastAsia" w:ascii="Times New Roman" w:hAnsi="Times New Roman" w:cs="Times New Roman"/>
                <w:color w:val="auto"/>
                <w:sz w:val="24"/>
                <w:u w:val="none" w:color="auto"/>
                <w:lang w:eastAsia="zh-CN"/>
              </w:rPr>
              <w:t>车辆</w:t>
            </w:r>
            <w:r>
              <w:rPr>
                <w:rFonts w:hint="eastAsia" w:ascii="Times New Roman" w:hAnsi="Times New Roman" w:cs="Times New Roman"/>
                <w:color w:val="auto"/>
                <w:sz w:val="24"/>
                <w:u w:val="none" w:color="auto"/>
                <w:lang w:val="en-US" w:eastAsia="zh-CN"/>
              </w:rPr>
              <w:t>冲</w:t>
            </w:r>
            <w:r>
              <w:rPr>
                <w:rFonts w:hint="eastAsia" w:ascii="Times New Roman" w:hAnsi="Times New Roman" w:cs="Times New Roman"/>
                <w:color w:val="auto"/>
                <w:sz w:val="24"/>
                <w:u w:val="none" w:color="auto"/>
                <w:lang w:eastAsia="zh-CN"/>
              </w:rPr>
              <w:t>洗废水</w:t>
            </w:r>
            <w:r>
              <w:rPr>
                <w:rFonts w:ascii="Times New Roman" w:hAnsi="Times New Roman" w:cs="Times New Roman"/>
                <w:color w:val="auto"/>
                <w:sz w:val="24"/>
                <w:u w:val="none" w:color="auto"/>
              </w:rPr>
              <w:t>产生量为</w:t>
            </w:r>
            <w:r>
              <w:rPr>
                <w:rFonts w:hint="eastAsia" w:ascii="Times New Roman" w:hAnsi="Times New Roman" w:cs="Times New Roman"/>
                <w:color w:val="auto"/>
                <w:sz w:val="24"/>
                <w:u w:val="none" w:color="auto"/>
                <w:lang w:val="en-US" w:eastAsia="zh-CN"/>
              </w:rPr>
              <w:t>4176</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val="en-US" w:eastAsia="zh-CN"/>
              </w:rPr>
              <w:t>20.88</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/d），经沉淀池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2#</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自然沉淀后回用。</w:t>
            </w:r>
          </w:p>
          <w:p w14:paraId="7FC64229">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②</w:t>
            </w:r>
            <w:r>
              <w:rPr>
                <w:rFonts w:ascii="Times New Roman" w:hAnsi="Times New Roman" w:cs="Times New Roman"/>
                <w:color w:val="auto"/>
                <w:sz w:val="24"/>
                <w:u w:val="none" w:color="auto"/>
              </w:rPr>
              <w:t>设备冲洗废水：设备清洗用水量为</w:t>
            </w:r>
            <w:r>
              <w:rPr>
                <w:rFonts w:hint="eastAsia" w:ascii="Times New Roman" w:hAnsi="Times New Roman" w:cs="Times New Roman"/>
                <w:color w:val="auto"/>
                <w:sz w:val="24"/>
                <w:u w:val="none" w:color="auto"/>
              </w:rPr>
              <w:t>4.</w:t>
            </w:r>
            <w:r>
              <w:rPr>
                <w:rFonts w:hint="eastAsia" w:ascii="Times New Roman" w:hAnsi="Times New Roman" w:cs="Times New Roman"/>
                <w:color w:val="auto"/>
                <w:sz w:val="24"/>
                <w:u w:val="none" w:color="auto"/>
                <w:lang w:val="en-US" w:eastAsia="zh-CN"/>
              </w:rPr>
              <w:t>19</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rPr>
              <w:t>88</w:t>
            </w:r>
            <w:r>
              <w:rPr>
                <w:rFonts w:ascii="Times New Roman" w:hAnsi="Times New Roman" w:cs="Times New Roman"/>
                <w:color w:val="auto"/>
                <w:sz w:val="24"/>
                <w:u w:val="none" w:color="auto"/>
              </w:rPr>
              <w:t>0m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/a（一年以</w:t>
            </w:r>
            <w:r>
              <w:rPr>
                <w:rFonts w:hint="eastAsia" w:ascii="Times New Roman" w:hAnsi="Times New Roman" w:cs="Times New Roman"/>
                <w:color w:val="auto"/>
                <w:sz w:val="24"/>
                <w:u w:val="none" w:color="auto"/>
              </w:rPr>
              <w:t>2</w:t>
            </w:r>
            <w:r>
              <w:rPr>
                <w:rFonts w:hint="eastAsia" w:ascii="Times New Roman" w:hAnsi="Times New Roman" w:cs="Times New Roman"/>
                <w:color w:val="auto"/>
                <w:sz w:val="24"/>
                <w:u w:val="none" w:color="auto"/>
                <w:lang w:val="en-US" w:eastAsia="zh-CN"/>
              </w:rPr>
              <w:t>1</w:t>
            </w:r>
            <w:r>
              <w:rPr>
                <w:rFonts w:ascii="Times New Roman" w:hAnsi="Times New Roman" w:cs="Times New Roman"/>
                <w:color w:val="auto"/>
                <w:sz w:val="24"/>
                <w:u w:val="none" w:color="auto"/>
              </w:rPr>
              <w:t>0天计），排水按90%计算，则设备冲洗废水产生量为</w:t>
            </w:r>
            <w:r>
              <w:rPr>
                <w:rFonts w:hint="eastAsia" w:ascii="Times New Roman" w:hAnsi="Times New Roman" w:cs="Times New Roman"/>
                <w:color w:val="auto"/>
                <w:sz w:val="24"/>
                <w:u w:val="none" w:color="auto"/>
              </w:rPr>
              <w:t>792</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rPr>
              <w:t>3.</w:t>
            </w:r>
            <w:r>
              <w:rPr>
                <w:rFonts w:hint="eastAsia" w:ascii="Times New Roman" w:hAnsi="Times New Roman" w:cs="Times New Roman"/>
                <w:color w:val="auto"/>
                <w:sz w:val="24"/>
                <w:u w:val="none" w:color="auto"/>
                <w:lang w:val="en-US" w:eastAsia="zh-CN"/>
              </w:rPr>
              <w:t>77</w:t>
            </w:r>
            <w:r>
              <w:rPr>
                <w:rFonts w:ascii="Times New Roman" w:hAnsi="Times New Roman" w:cs="Times New Roman"/>
                <w:color w:val="auto"/>
                <w:sz w:val="24"/>
                <w:szCs w:val="24"/>
                <w:u w:val="none" w:color="auto"/>
              </w:rPr>
              <w:t>m</w:t>
            </w:r>
            <w:r>
              <w:rPr>
                <w:rFonts w:ascii="Times New Roman" w:hAnsi="Times New Roman" w:cs="Times New Roman"/>
                <w:color w:val="auto"/>
                <w:sz w:val="24"/>
                <w:szCs w:val="24"/>
                <w:u w:val="none" w:color="auto"/>
                <w:vertAlign w:val="superscript"/>
              </w:rPr>
              <w:t>3</w:t>
            </w:r>
            <w:r>
              <w:rPr>
                <w:rFonts w:ascii="Times New Roman" w:hAnsi="Times New Roman" w:cs="Times New Roman"/>
                <w:color w:val="auto"/>
                <w:sz w:val="24"/>
                <w:szCs w:val="24"/>
                <w:u w:val="none" w:color="auto"/>
              </w:rPr>
              <w:t>/d），冲洗废水经</w:t>
            </w:r>
            <w:r>
              <w:rPr>
                <w:rFonts w:hint="eastAsia" w:ascii="Times New Roman" w:hAnsi="Times New Roman" w:cs="Times New Roman"/>
                <w:color w:val="auto"/>
                <w:sz w:val="24"/>
                <w:szCs w:val="24"/>
                <w:u w:val="none" w:color="auto"/>
              </w:rPr>
              <w:t>三</w:t>
            </w:r>
            <w:r>
              <w:rPr>
                <w:rFonts w:ascii="Times New Roman" w:hAnsi="Times New Roman" w:cs="Times New Roman"/>
                <w:color w:val="auto"/>
                <w:sz w:val="24"/>
                <w:szCs w:val="24"/>
                <w:u w:val="none" w:color="auto"/>
              </w:rPr>
              <w:t>级沉淀池</w:t>
            </w:r>
            <w:r>
              <w:rPr>
                <w:rFonts w:hint="eastAsia" w:ascii="Times New Roman" w:hAnsi="Times New Roman" w:cs="Times New Roman"/>
                <w:color w:val="auto"/>
                <w:sz w:val="24"/>
                <w:szCs w:val="24"/>
                <w:u w:val="none" w:color="auto"/>
              </w:rPr>
              <w:t>（1#</w:t>
            </w: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rPr>
              <w:t>每级均为4.0</w:t>
            </w:r>
            <w:r>
              <w:rPr>
                <w:rFonts w:hint="eastAsia" w:ascii="Times New Roman" w:hAnsi="Times New Roman"/>
                <w:color w:val="auto"/>
                <w:sz w:val="24"/>
                <w:szCs w:val="24"/>
                <w:u w:val="none" w:color="auto"/>
              </w:rPr>
              <w:t>m</w:t>
            </w:r>
            <w:r>
              <w:rPr>
                <w:rFonts w:ascii="Times New Roman" w:hAnsi="Times New Roman"/>
                <w:color w:val="auto"/>
                <w:sz w:val="24"/>
                <w:szCs w:val="24"/>
                <w:u w:val="none" w:color="auto"/>
              </w:rPr>
              <w:t>×</w:t>
            </w:r>
            <w:r>
              <w:rPr>
                <w:rFonts w:hint="eastAsia" w:ascii="Times New Roman" w:hAnsi="Times New Roman"/>
                <w:color w:val="auto"/>
                <w:sz w:val="24"/>
                <w:szCs w:val="24"/>
                <w:u w:val="none" w:color="auto"/>
              </w:rPr>
              <w:t>2.4m</w:t>
            </w:r>
            <w:r>
              <w:rPr>
                <w:rFonts w:ascii="Times New Roman" w:hAnsi="Times New Roman"/>
                <w:color w:val="auto"/>
                <w:sz w:val="24"/>
                <w:szCs w:val="24"/>
                <w:u w:val="none" w:color="auto"/>
              </w:rPr>
              <w:t>×</w:t>
            </w:r>
            <w:r>
              <w:rPr>
                <w:rFonts w:hint="eastAsia" w:ascii="Times New Roman" w:hAnsi="Times New Roman"/>
                <w:color w:val="auto"/>
                <w:sz w:val="24"/>
                <w:szCs w:val="24"/>
                <w:u w:val="none" w:color="auto"/>
              </w:rPr>
              <w:t>2.0</w:t>
            </w:r>
            <w:r>
              <w:rPr>
                <w:rFonts w:ascii="Times New Roman" w:hAnsi="Times New Roman"/>
                <w:color w:val="auto"/>
                <w:sz w:val="24"/>
                <w:szCs w:val="24"/>
                <w:u w:val="none" w:color="auto"/>
              </w:rPr>
              <w:t>m</w:t>
            </w:r>
            <w:r>
              <w:rPr>
                <w:rFonts w:hint="eastAsia" w:ascii="Times New Roman" w:hAnsi="Times New Roman"/>
                <w:color w:val="auto"/>
                <w:sz w:val="24"/>
                <w:szCs w:val="24"/>
                <w:u w:val="none" w:color="auto"/>
              </w:rPr>
              <w:t>，总容积57.6</w:t>
            </w:r>
            <w:r>
              <w:rPr>
                <w:rFonts w:ascii="Times New Roman" w:hAnsi="Times New Roman"/>
                <w:color w:val="auto"/>
                <w:sz w:val="24"/>
                <w:szCs w:val="24"/>
                <w:u w:val="none" w:color="auto"/>
              </w:rPr>
              <w:t>m</w:t>
            </w:r>
            <w:r>
              <w:rPr>
                <w:rFonts w:hint="eastAsia" w:ascii="Times New Roman" w:hAnsi="Times New Roman"/>
                <w:color w:val="auto"/>
                <w:sz w:val="24"/>
                <w:szCs w:val="24"/>
                <w:u w:val="none" w:color="auto"/>
                <w:vertAlign w:val="superscript"/>
              </w:rPr>
              <w:t>3</w:t>
            </w:r>
            <w:r>
              <w:rPr>
                <w:rFonts w:hint="eastAsia" w:ascii="Times New Roman" w:hAnsi="Times New Roman" w:cs="Times New Roman"/>
                <w:color w:val="auto"/>
                <w:sz w:val="24"/>
                <w:szCs w:val="24"/>
                <w:u w:val="none" w:color="auto"/>
              </w:rPr>
              <w:t>）</w:t>
            </w:r>
            <w:r>
              <w:rPr>
                <w:rFonts w:ascii="Times New Roman" w:hAnsi="Times New Roman" w:cs="Times New Roman"/>
                <w:color w:val="auto"/>
                <w:sz w:val="24"/>
                <w:szCs w:val="24"/>
                <w:u w:val="none" w:color="auto"/>
              </w:rPr>
              <w:t>自然沉</w:t>
            </w:r>
            <w:r>
              <w:rPr>
                <w:rFonts w:ascii="Times New Roman" w:hAnsi="Times New Roman" w:cs="Times New Roman"/>
                <w:color w:val="auto"/>
                <w:sz w:val="24"/>
                <w:u w:val="none" w:color="auto"/>
              </w:rPr>
              <w:t>淀后回用。</w:t>
            </w:r>
          </w:p>
          <w:p w14:paraId="7D3E1FF5">
            <w:pPr>
              <w:pStyle w:val="66"/>
              <w:spacing w:line="360" w:lineRule="auto"/>
              <w:ind w:firstLine="48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③</w:t>
            </w:r>
            <w:r>
              <w:rPr>
                <w:rFonts w:ascii="Times New Roman" w:hAnsi="Times New Roman" w:cs="Times New Roman"/>
                <w:color w:val="auto"/>
                <w:sz w:val="24"/>
                <w:u w:val="none" w:color="auto"/>
              </w:rPr>
              <w:t>地面冲洗废水</w:t>
            </w:r>
            <w:r>
              <w:rPr>
                <w:rFonts w:ascii="Times New Roman" w:hAnsi="Times New Roman" w:cs="Times New Roman"/>
                <w:bCs/>
                <w:color w:val="auto"/>
                <w:sz w:val="24"/>
                <w:u w:val="none" w:color="auto"/>
              </w:rPr>
              <w:t>：本项目</w:t>
            </w:r>
            <w:r>
              <w:rPr>
                <w:rFonts w:hint="eastAsia" w:ascii="Times New Roman" w:hAnsi="Times New Roman" w:cs="Times New Roman"/>
                <w:bCs/>
                <w:color w:val="auto"/>
                <w:sz w:val="24"/>
                <w:u w:val="none" w:color="auto"/>
                <w:lang w:val="en-US" w:eastAsia="zh-CN"/>
              </w:rPr>
              <w:t>生产车间</w:t>
            </w:r>
            <w:r>
              <w:rPr>
                <w:rFonts w:ascii="Times New Roman" w:hAnsi="Times New Roman" w:cs="Times New Roman"/>
                <w:bCs/>
                <w:color w:val="auto"/>
                <w:sz w:val="24"/>
                <w:u w:val="none" w:color="auto"/>
              </w:rPr>
              <w:t>地面冲洗水量为</w:t>
            </w:r>
            <w:r>
              <w:rPr>
                <w:rFonts w:ascii="Times New Roman" w:hAnsi="Times New Roman" w:cs="Times New Roman"/>
                <w:color w:val="auto"/>
                <w:sz w:val="24"/>
                <w:u w:val="none" w:color="auto"/>
              </w:rPr>
              <w:t>1.55m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w:t>
            </w:r>
            <w:r>
              <w:rPr>
                <w:rFonts w:hint="eastAsia" w:ascii="Times New Roman" w:hAnsi="Times New Roman" w:cs="Times New Roman"/>
                <w:color w:val="auto"/>
                <w:sz w:val="24"/>
                <w:u w:val="none" w:color="auto"/>
                <w:lang w:val="en-US" w:eastAsia="zh-CN"/>
              </w:rPr>
              <w:t>310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/a），排水按90%计算，则冲洗废水产生量为</w:t>
            </w:r>
            <w:r>
              <w:rPr>
                <w:rFonts w:hint="eastAsia" w:ascii="Times New Roman" w:hAnsi="Times New Roman" w:cs="Times New Roman"/>
                <w:color w:val="auto"/>
                <w:sz w:val="24"/>
                <w:u w:val="none" w:color="auto"/>
                <w:lang w:val="en-US" w:eastAsia="zh-CN"/>
              </w:rPr>
              <w:t>28</w:t>
            </w:r>
            <w:r>
              <w:rPr>
                <w:rFonts w:ascii="Times New Roman" w:hAnsi="Times New Roman" w:cs="Times New Roman"/>
                <w:color w:val="auto"/>
                <w:sz w:val="24"/>
                <w:u w:val="none" w:color="auto"/>
              </w:rPr>
              <w:t>0m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/a（1.4m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/d），冲洗废水经</w:t>
            </w:r>
            <w:r>
              <w:rPr>
                <w:rFonts w:hint="eastAsia" w:ascii="Times New Roman" w:hAnsi="Times New Roman" w:cs="Times New Roman"/>
                <w:color w:val="auto"/>
                <w:sz w:val="24"/>
                <w:u w:val="none" w:color="auto"/>
                <w:lang w:val="en-US" w:eastAsia="zh-CN"/>
              </w:rPr>
              <w:t>三</w:t>
            </w:r>
            <w:r>
              <w:rPr>
                <w:rFonts w:ascii="Times New Roman" w:hAnsi="Times New Roman" w:cs="Times New Roman"/>
                <w:color w:val="auto"/>
                <w:sz w:val="24"/>
                <w:u w:val="none" w:color="auto"/>
              </w:rPr>
              <w:t>级沉淀池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1#</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沉淀后回用。</w:t>
            </w:r>
          </w:p>
          <w:p w14:paraId="1093D2A1">
            <w:pPr>
              <w:spacing w:line="360" w:lineRule="auto"/>
              <w:ind w:right="113" w:firstLine="480" w:firstLineChars="200"/>
              <w:rPr>
                <w:rFonts w:ascii="Times New Roman" w:hAnsi="Times New Roman" w:cs="Times New Roman"/>
                <w:color w:val="auto"/>
                <w:sz w:val="24"/>
                <w:u w:val="none" w:color="auto"/>
              </w:rPr>
            </w:pPr>
            <w:r>
              <w:rPr>
                <w:rFonts w:ascii="Times New Roman" w:hAnsi="Times New Roman" w:eastAsia="宋体" w:cs="Times New Roman"/>
                <w:color w:val="auto"/>
                <w:sz w:val="24"/>
                <w:u w:val="none" w:color="auto"/>
              </w:rPr>
              <w:t>④</w:t>
            </w:r>
            <w:r>
              <w:rPr>
                <w:rFonts w:ascii="Times New Roman" w:hAnsi="Times New Roman" w:cs="Times New Roman"/>
                <w:color w:val="auto"/>
                <w:sz w:val="24"/>
                <w:u w:val="none" w:color="auto"/>
              </w:rPr>
              <w:t>生活污水：生活用水量为</w:t>
            </w:r>
            <w:r>
              <w:rPr>
                <w:rFonts w:hint="eastAsia" w:ascii="Times New Roman" w:hAnsi="Times New Roman" w:cs="Times New Roman"/>
                <w:color w:val="auto"/>
                <w:sz w:val="24"/>
                <w:u w:val="none" w:color="auto"/>
                <w:lang w:val="en-US" w:eastAsia="zh-CN"/>
              </w:rPr>
              <w:t>400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val="en-US" w:eastAsia="zh-CN"/>
              </w:rPr>
              <w:t>2.0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/d），排污系数的80%计，则</w:t>
            </w:r>
            <w:r>
              <w:rPr>
                <w:rFonts w:hint="eastAsia" w:ascii="Times New Roman" w:hAnsi="Times New Roman" w:cs="Times New Roman"/>
                <w:color w:val="auto"/>
                <w:sz w:val="24"/>
                <w:u w:val="none" w:color="auto"/>
                <w:lang w:eastAsia="zh-CN"/>
              </w:rPr>
              <w:t>生活污水</w:t>
            </w:r>
            <w:r>
              <w:rPr>
                <w:rFonts w:ascii="Times New Roman" w:hAnsi="Times New Roman" w:cs="Times New Roman"/>
                <w:color w:val="auto"/>
                <w:sz w:val="24"/>
                <w:u w:val="none" w:color="auto"/>
              </w:rPr>
              <w:t>产生量为</w:t>
            </w:r>
            <w:r>
              <w:rPr>
                <w:rFonts w:hint="eastAsia" w:ascii="Times New Roman" w:hAnsi="Times New Roman" w:cs="Times New Roman"/>
                <w:color w:val="auto"/>
                <w:sz w:val="24"/>
                <w:u w:val="none" w:color="auto"/>
                <w:lang w:val="en-US" w:eastAsia="zh-CN"/>
              </w:rPr>
              <w:t>320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val="en-US" w:eastAsia="zh-CN"/>
              </w:rPr>
              <w:t>1.6</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/d），经化粪池处理后用于周边</w:t>
            </w:r>
            <w:r>
              <w:rPr>
                <w:rFonts w:hint="eastAsia" w:ascii="Times New Roman" w:hAnsi="Times New Roman" w:cs="Times New Roman"/>
                <w:color w:val="auto"/>
                <w:sz w:val="24"/>
                <w:u w:val="none" w:color="auto"/>
                <w:lang w:val="en-US" w:eastAsia="zh-CN"/>
              </w:rPr>
              <w:t>林地</w:t>
            </w:r>
            <w:r>
              <w:rPr>
                <w:rFonts w:hint="eastAsia" w:ascii="Times New Roman" w:hAnsi="Times New Roman" w:cs="Times New Roman"/>
                <w:color w:val="auto"/>
                <w:sz w:val="24"/>
                <w:u w:val="none" w:color="auto"/>
                <w:lang w:eastAsia="zh-CN"/>
              </w:rPr>
              <w:t>施肥</w:t>
            </w:r>
            <w:r>
              <w:rPr>
                <w:rFonts w:ascii="Times New Roman" w:hAnsi="Times New Roman" w:cs="Times New Roman"/>
                <w:color w:val="auto"/>
                <w:sz w:val="24"/>
                <w:u w:val="none" w:color="auto"/>
              </w:rPr>
              <w:t>。</w:t>
            </w:r>
          </w:p>
          <w:p w14:paraId="63856E60">
            <w:pPr>
              <w:widowControl/>
              <w:spacing w:line="360" w:lineRule="auto"/>
              <w:ind w:firstLine="480" w:firstLineChars="200"/>
              <w:jc w:val="left"/>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⑤</w:t>
            </w:r>
            <w:r>
              <w:rPr>
                <w:rFonts w:ascii="Times New Roman" w:hAnsi="Times New Roman" w:cs="Times New Roman"/>
                <w:color w:val="auto"/>
                <w:sz w:val="24"/>
                <w:u w:val="none" w:color="auto"/>
              </w:rPr>
              <w:t>初期雨水</w:t>
            </w:r>
          </w:p>
          <w:p w14:paraId="4574920F">
            <w:pPr>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由于项目运营期有无组织粉尘排放，大部分降落在厂区，初期降雨产生的地面水含有一定的污染物，主要为SS，直接排放对周边水体产生一定影响。建议建设单位对初期雨水进行收集。</w:t>
            </w:r>
          </w:p>
          <w:p w14:paraId="4C3F3154">
            <w:pPr>
              <w:spacing w:line="360" w:lineRule="auto"/>
              <w:ind w:firstLine="480" w:firstLineChars="200"/>
              <w:rPr>
                <w:rFonts w:hint="default" w:ascii="Times New Roman" w:hAnsi="Times New Roman" w:cs="Times New Roman"/>
                <w:color w:val="auto"/>
                <w:sz w:val="24"/>
                <w:u w:val="none" w:color="auto"/>
                <w:lang w:val="en-US" w:eastAsia="zh-CN"/>
              </w:rPr>
            </w:pPr>
            <w:r>
              <w:rPr>
                <w:rFonts w:hint="eastAsia" w:ascii="Times New Roman" w:hAnsi="Times New Roman" w:cs="Times New Roman"/>
                <w:color w:val="auto"/>
                <w:sz w:val="24"/>
                <w:u w:val="none" w:color="auto"/>
                <w:lang w:val="en-US" w:eastAsia="zh-CN"/>
              </w:rPr>
              <w:t>参考《湖南省雨水控制与利用工程技术标准》附表B 湖南省主要城市暴雨强度公式，本项目初期雨水按照岳阳市暴雨强度公式计算：</w:t>
            </w:r>
          </w:p>
          <w:p w14:paraId="3AEC2FFB">
            <w:pPr>
              <w:pStyle w:val="21"/>
              <w:ind w:firstLine="480"/>
              <w:jc w:val="center"/>
              <w:rPr>
                <w:color w:val="auto"/>
                <w:sz w:val="24"/>
                <w:szCs w:val="24"/>
                <w:u w:val="none" w:color="auto"/>
              </w:rPr>
            </w:pPr>
            <w:r>
              <w:rPr>
                <w:color w:val="auto"/>
                <w:position w:val="-30"/>
                <w:sz w:val="24"/>
                <w:szCs w:val="24"/>
                <w:u w:val="none" w:color="auto"/>
              </w:rPr>
              <w:object>
                <v:shape id="_x0000_i1025" o:spt="75" type="#_x0000_t75" style="height:39.7pt;width:158.8pt;" o:ole="t" filled="f" o:preferrelative="t" stroked="f" coordsize="21600,21600">
                  <v:path/>
                  <v:fill on="f" focussize="0,0"/>
                  <v:stroke on="f"/>
                  <v:imagedata r:id="rId8" o:title=""/>
                  <o:lock v:ext="edit" aspectratio="t"/>
                  <w10:wrap type="none"/>
                  <w10:anchorlock/>
                </v:shape>
                <o:OLEObject Type="Embed" ProgID="Equation.3" ShapeID="_x0000_i1025" DrawAspect="Content" ObjectID="_1468075725" r:id="rId7">
                  <o:LockedField>false</o:LockedField>
                </o:OLEObject>
              </w:object>
            </w:r>
          </w:p>
          <w:p w14:paraId="3272D004">
            <w:pPr>
              <w:spacing w:line="360" w:lineRule="auto"/>
              <w:ind w:firstLine="480" w:firstLineChars="200"/>
              <w:rPr>
                <w:rFonts w:hint="eastAsia" w:ascii="Times New Roman" w:cs="Times New Roman"/>
                <w:color w:val="auto"/>
                <w:sz w:val="24"/>
                <w:szCs w:val="24"/>
                <w:u w:val="none" w:color="auto"/>
                <w:lang w:val="en-US" w:eastAsia="zh-CN"/>
              </w:rPr>
            </w:pPr>
            <w:r>
              <w:rPr>
                <w:rFonts w:hint="eastAsia" w:ascii="Times New Roman" w:cs="Times New Roman"/>
                <w:color w:val="auto"/>
                <w:sz w:val="24"/>
                <w:szCs w:val="24"/>
                <w:u w:val="none" w:color="auto"/>
                <w:lang w:val="en-US" w:eastAsia="zh-CN"/>
              </w:rPr>
              <w:t>式中：q——设计暴雨强度，L/(</w:t>
            </w:r>
            <w:r>
              <w:rPr>
                <w:rFonts w:hint="eastAsia" w:ascii="Times New Roman" w:hAnsi="Times New Roman" w:cs="Times New Roman"/>
                <w:color w:val="auto"/>
                <w:sz w:val="24"/>
                <w:szCs w:val="24"/>
                <w:u w:val="none" w:color="auto"/>
                <w:lang w:val="en-US" w:eastAsia="zh-CN"/>
              </w:rPr>
              <w:t>s</w:t>
            </w:r>
            <w:r>
              <w:rPr>
                <w:rFonts w:hint="default" w:ascii="Times New Roman" w:hAnsi="Times New Roman" w:eastAsia="宋体" w:cs="Times New Roman"/>
                <w:color w:val="auto"/>
                <w:sz w:val="24"/>
                <w:szCs w:val="24"/>
                <w:u w:val="none" w:color="auto"/>
              </w:rPr>
              <w:t>·</w:t>
            </w:r>
            <w:r>
              <w:rPr>
                <w:rFonts w:ascii="Times New Roman" w:hAnsi="Times New Roman" w:cs="Times New Roman"/>
                <w:color w:val="auto"/>
                <w:sz w:val="24"/>
                <w:szCs w:val="24"/>
                <w:u w:val="none" w:color="auto"/>
              </w:rPr>
              <w:t>hm</w:t>
            </w:r>
            <w:r>
              <w:rPr>
                <w:rFonts w:hint="eastAsia" w:ascii="Times New Roman" w:cs="Times New Roman"/>
                <w:color w:val="auto"/>
                <w:sz w:val="24"/>
                <w:szCs w:val="24"/>
                <w:u w:val="none" w:color="auto"/>
                <w:vertAlign w:val="superscript"/>
                <w:lang w:val="en-US" w:eastAsia="zh-CN"/>
              </w:rPr>
              <w:t>2</w:t>
            </w:r>
            <w:r>
              <w:rPr>
                <w:rFonts w:hint="eastAsia" w:ascii="Times New Roman" w:cs="Times New Roman"/>
                <w:color w:val="auto"/>
                <w:sz w:val="24"/>
                <w:szCs w:val="24"/>
                <w:u w:val="none" w:color="auto"/>
                <w:lang w:val="en-US" w:eastAsia="zh-CN"/>
              </w:rPr>
              <w:t>)；</w:t>
            </w:r>
          </w:p>
          <w:p w14:paraId="250F9AB4">
            <w:pPr>
              <w:spacing w:line="360" w:lineRule="auto"/>
              <w:ind w:firstLine="1200" w:firstLineChars="500"/>
              <w:rPr>
                <w:rFonts w:hint="default" w:ascii="Times New Roman" w:cs="Times New Roman"/>
                <w:color w:val="auto"/>
                <w:sz w:val="24"/>
                <w:szCs w:val="24"/>
                <w:u w:val="none" w:color="auto"/>
                <w:lang w:val="en-US" w:eastAsia="zh-CN"/>
              </w:rPr>
            </w:pPr>
            <w:r>
              <w:rPr>
                <w:rFonts w:hint="eastAsia" w:ascii="Times New Roman" w:cs="Times New Roman"/>
                <w:color w:val="auto"/>
                <w:sz w:val="24"/>
                <w:szCs w:val="24"/>
                <w:u w:val="none" w:color="auto"/>
                <w:lang w:val="en-US" w:eastAsia="zh-CN"/>
              </w:rPr>
              <w:t>P——设计重现期，年；</w:t>
            </w:r>
          </w:p>
          <w:p w14:paraId="681CBF2C">
            <w:pPr>
              <w:spacing w:line="360" w:lineRule="auto"/>
              <w:ind w:firstLine="1200" w:firstLineChars="500"/>
              <w:rPr>
                <w:rFonts w:hint="default" w:ascii="Times New Roman" w:cs="Times New Roman" w:eastAsiaTheme="minorEastAsia"/>
                <w:color w:val="auto"/>
                <w:sz w:val="24"/>
                <w:szCs w:val="24"/>
                <w:u w:val="none" w:color="auto"/>
                <w:lang w:val="en-US" w:eastAsia="zh-CN"/>
              </w:rPr>
            </w:pPr>
            <w:r>
              <w:rPr>
                <w:rFonts w:hint="eastAsia" w:ascii="Times New Roman" w:cs="Times New Roman"/>
                <w:color w:val="auto"/>
                <w:sz w:val="24"/>
                <w:szCs w:val="24"/>
                <w:u w:val="none" w:color="auto"/>
                <w:lang w:val="en-US" w:eastAsia="zh-CN"/>
              </w:rPr>
              <w:t>t——降雨历时，min。</w:t>
            </w:r>
          </w:p>
          <w:p w14:paraId="7C966E32">
            <w:pPr>
              <w:spacing w:line="360" w:lineRule="auto"/>
              <w:ind w:firstLine="480" w:firstLineChars="200"/>
              <w:rPr>
                <w:rFonts w:ascii="Times New Roman" w:hAnsi="Times New Roman" w:cs="Times New Roman"/>
                <w:color w:val="auto"/>
                <w:sz w:val="24"/>
                <w:szCs w:val="24"/>
                <w:u w:val="none" w:color="auto"/>
              </w:rPr>
            </w:pPr>
            <w:r>
              <w:rPr>
                <w:rFonts w:ascii="Times New Roman" w:cs="Times New Roman"/>
                <w:color w:val="auto"/>
                <w:sz w:val="24"/>
                <w:szCs w:val="24"/>
                <w:u w:val="none" w:color="auto"/>
              </w:rPr>
              <w:t>其中：</w:t>
            </w:r>
            <w:r>
              <w:rPr>
                <w:rFonts w:ascii="Times New Roman" w:hAnsi="Times New Roman" w:cs="Times New Roman"/>
                <w:color w:val="auto"/>
                <w:sz w:val="24"/>
                <w:szCs w:val="24"/>
                <w:u w:val="none" w:color="auto"/>
              </w:rPr>
              <w:t>P=</w:t>
            </w:r>
            <w:r>
              <w:rPr>
                <w:rFonts w:hint="eastAsia" w:ascii="Times New Roman" w:hAnsi="Times New Roman" w:cs="Times New Roman"/>
                <w:color w:val="auto"/>
                <w:sz w:val="24"/>
                <w:szCs w:val="24"/>
                <w:u w:val="none" w:color="auto"/>
                <w:lang w:val="en-US" w:eastAsia="zh-CN"/>
              </w:rPr>
              <w:t>1</w:t>
            </w:r>
            <w:r>
              <w:rPr>
                <w:rFonts w:ascii="Times New Roman" w:cs="Times New Roman"/>
                <w:color w:val="auto"/>
                <w:sz w:val="24"/>
                <w:szCs w:val="24"/>
                <w:u w:val="none" w:color="auto"/>
              </w:rPr>
              <w:t>；</w:t>
            </w:r>
            <w:r>
              <w:rPr>
                <w:rFonts w:ascii="Times New Roman" w:hAnsi="Times New Roman" w:cs="Times New Roman"/>
                <w:color w:val="auto"/>
                <w:sz w:val="24"/>
                <w:szCs w:val="24"/>
                <w:u w:val="none" w:color="auto"/>
              </w:rPr>
              <w:t>t</w:t>
            </w:r>
            <w:r>
              <w:rPr>
                <w:rFonts w:ascii="Times New Roman" w:cs="Times New Roman"/>
                <w:color w:val="auto"/>
                <w:sz w:val="24"/>
                <w:szCs w:val="24"/>
                <w:u w:val="none" w:color="auto"/>
              </w:rPr>
              <w:t>取</w:t>
            </w:r>
            <w:r>
              <w:rPr>
                <w:rFonts w:hint="eastAsia" w:ascii="Times New Roman" w:hAnsi="Times New Roman" w:cs="Times New Roman"/>
                <w:color w:val="auto"/>
                <w:sz w:val="24"/>
                <w:szCs w:val="24"/>
                <w:u w:val="none" w:color="auto"/>
                <w:lang w:val="en-US" w:eastAsia="zh-CN"/>
              </w:rPr>
              <w:t>15</w:t>
            </w:r>
            <w:r>
              <w:rPr>
                <w:rFonts w:ascii="Times New Roman" w:hAnsi="Times New Roman" w:cs="Times New Roman"/>
                <w:color w:val="auto"/>
                <w:sz w:val="24"/>
                <w:szCs w:val="24"/>
                <w:u w:val="none" w:color="auto"/>
              </w:rPr>
              <w:t>min</w:t>
            </w:r>
            <w:r>
              <w:rPr>
                <w:rFonts w:ascii="Times New Roman" w:cs="Times New Roman"/>
                <w:color w:val="auto"/>
                <w:sz w:val="24"/>
                <w:szCs w:val="24"/>
                <w:u w:val="none" w:color="auto"/>
              </w:rPr>
              <w:t>；计算得</w:t>
            </w:r>
            <w:r>
              <w:rPr>
                <w:rFonts w:hint="eastAsia" w:ascii="Times New Roman" w:cs="Times New Roman"/>
                <w:color w:val="auto"/>
                <w:sz w:val="24"/>
                <w:szCs w:val="24"/>
                <w:u w:val="none" w:color="auto"/>
                <w:lang w:val="en-US" w:eastAsia="zh-CN"/>
              </w:rPr>
              <w:t>q为</w:t>
            </w:r>
            <w:r>
              <w:rPr>
                <w:rFonts w:hint="eastAsia" w:ascii="Times New Roman" w:hAnsi="Times New Roman" w:cs="Times New Roman"/>
                <w:color w:val="auto"/>
                <w:sz w:val="24"/>
                <w:szCs w:val="24"/>
                <w:u w:val="none" w:color="auto"/>
                <w:lang w:val="en-US" w:eastAsia="zh-CN"/>
              </w:rPr>
              <w:t>205.0</w:t>
            </w:r>
            <w:r>
              <w:rPr>
                <w:rFonts w:hint="eastAsia" w:ascii="Times New Roman" w:cs="Times New Roman"/>
                <w:color w:val="auto"/>
                <w:sz w:val="24"/>
                <w:szCs w:val="24"/>
                <w:u w:val="none" w:color="auto"/>
                <w:lang w:val="en-US" w:eastAsia="zh-CN"/>
              </w:rPr>
              <w:t>L/(</w:t>
            </w:r>
            <w:r>
              <w:rPr>
                <w:rFonts w:hint="eastAsia" w:ascii="Times New Roman" w:hAnsi="Times New Roman" w:cs="Times New Roman"/>
                <w:color w:val="auto"/>
                <w:sz w:val="24"/>
                <w:szCs w:val="24"/>
                <w:u w:val="none" w:color="auto"/>
                <w:lang w:val="en-US" w:eastAsia="zh-CN"/>
              </w:rPr>
              <w:t>s</w:t>
            </w:r>
            <w:r>
              <w:rPr>
                <w:rFonts w:hint="default" w:ascii="Times New Roman" w:hAnsi="Times New Roman" w:eastAsia="宋体" w:cs="Times New Roman"/>
                <w:color w:val="auto"/>
                <w:sz w:val="24"/>
                <w:szCs w:val="24"/>
                <w:u w:val="none" w:color="auto"/>
              </w:rPr>
              <w:t>·</w:t>
            </w:r>
            <w:r>
              <w:rPr>
                <w:rFonts w:ascii="Times New Roman" w:hAnsi="Times New Roman" w:cs="Times New Roman"/>
                <w:color w:val="auto"/>
                <w:sz w:val="24"/>
                <w:szCs w:val="24"/>
                <w:u w:val="none" w:color="auto"/>
              </w:rPr>
              <w:t>hm</w:t>
            </w:r>
            <w:r>
              <w:rPr>
                <w:rFonts w:hint="eastAsia" w:ascii="Times New Roman" w:cs="Times New Roman"/>
                <w:color w:val="auto"/>
                <w:sz w:val="24"/>
                <w:szCs w:val="24"/>
                <w:u w:val="none" w:color="auto"/>
                <w:vertAlign w:val="superscript"/>
                <w:lang w:val="en-US" w:eastAsia="zh-CN"/>
              </w:rPr>
              <w:t>2</w:t>
            </w:r>
            <w:r>
              <w:rPr>
                <w:rFonts w:hint="eastAsia" w:ascii="Times New Roman" w:cs="Times New Roman"/>
                <w:color w:val="auto"/>
                <w:sz w:val="24"/>
                <w:szCs w:val="24"/>
                <w:u w:val="none" w:color="auto"/>
                <w:lang w:val="en-US" w:eastAsia="zh-CN"/>
              </w:rPr>
              <w:t>)</w:t>
            </w:r>
            <w:r>
              <w:rPr>
                <w:rFonts w:ascii="Times New Roman" w:cs="Times New Roman"/>
                <w:color w:val="auto"/>
                <w:sz w:val="24"/>
                <w:szCs w:val="24"/>
                <w:u w:val="none" w:color="auto"/>
              </w:rPr>
              <w:t>。</w:t>
            </w:r>
          </w:p>
          <w:p w14:paraId="3E0B95D4">
            <w:pPr>
              <w:spacing w:line="360" w:lineRule="auto"/>
              <w:ind w:firstLine="480" w:firstLineChars="200"/>
              <w:rPr>
                <w:rFonts w:ascii="Times New Roman" w:hAnsi="Times New Roman"/>
                <w:color w:val="auto"/>
                <w:sz w:val="24"/>
                <w:u w:val="none" w:color="auto"/>
                <w:lang w:val="zh-CN"/>
              </w:rPr>
            </w:pPr>
            <w:r>
              <w:rPr>
                <w:rFonts w:ascii="Times New Roman" w:cs="Times New Roman"/>
                <w:color w:val="auto"/>
                <w:sz w:val="24"/>
                <w:u w:val="none" w:color="auto"/>
              </w:rPr>
              <w:t>降雨前</w:t>
            </w:r>
            <w:r>
              <w:rPr>
                <w:rFonts w:ascii="Times New Roman" w:hAnsi="Times New Roman" w:cs="Times New Roman"/>
                <w:color w:val="auto"/>
                <w:sz w:val="24"/>
                <w:u w:val="none" w:color="auto"/>
              </w:rPr>
              <w:t>15</w:t>
            </w:r>
            <w:r>
              <w:rPr>
                <w:rFonts w:ascii="Times New Roman" w:cs="Times New Roman"/>
                <w:color w:val="auto"/>
                <w:sz w:val="24"/>
                <w:u w:val="none" w:color="auto"/>
              </w:rPr>
              <w:t>分钟产生的雨水为初期</w:t>
            </w:r>
            <w:r>
              <w:rPr>
                <w:rFonts w:ascii="Times New Roman" w:hAnsi="Times New Roman" w:cs="Times New Roman"/>
                <w:color w:val="auto"/>
                <w:sz w:val="24"/>
                <w:u w:val="none" w:color="auto"/>
              </w:rPr>
              <w:t>雨水</w:t>
            </w:r>
            <w:r>
              <w:rPr>
                <w:rFonts w:ascii="Times New Roman" w:cs="Times New Roman"/>
                <w:color w:val="auto"/>
                <w:sz w:val="24"/>
                <w:u w:val="none" w:color="auto"/>
              </w:rPr>
              <w:t>，</w:t>
            </w:r>
            <w:r>
              <w:rPr>
                <w:rFonts w:ascii="Times New Roman" w:hAnsi="宋体" w:cs="Times New Roman"/>
                <w:color w:val="auto"/>
                <w:sz w:val="24"/>
                <w:u w:val="none" w:color="auto"/>
              </w:rPr>
              <w:t>本项目初期雨水</w:t>
            </w:r>
            <w:r>
              <w:rPr>
                <w:rFonts w:ascii="Times New Roman" w:cs="Times New Roman"/>
                <w:color w:val="auto"/>
                <w:sz w:val="24"/>
                <w:u w:val="none" w:color="auto"/>
              </w:rPr>
              <w:t>汇水面积约</w:t>
            </w:r>
            <w:r>
              <w:rPr>
                <w:rFonts w:hint="eastAsia" w:ascii="Times New Roman" w:hAnsi="Times New Roman" w:cs="Times New Roman"/>
                <w:color w:val="auto"/>
                <w:sz w:val="24"/>
                <w:u w:val="none" w:color="auto"/>
                <w:lang w:val="en-US" w:eastAsia="zh-CN"/>
              </w:rPr>
              <w:t>3200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2</w:t>
            </w:r>
            <w:r>
              <w:rPr>
                <w:rFonts w:ascii="Times New Roman" w:cs="Times New Roman"/>
                <w:color w:val="auto"/>
                <w:sz w:val="24"/>
                <w:u w:val="none" w:color="auto"/>
              </w:rPr>
              <w:t>（</w:t>
            </w:r>
            <w:r>
              <w:rPr>
                <w:rFonts w:hint="eastAsia" w:ascii="Times New Roman" w:hAnsi="Times New Roman" w:cs="Times New Roman"/>
                <w:color w:val="auto"/>
                <w:sz w:val="24"/>
                <w:u w:val="none" w:color="auto"/>
              </w:rPr>
              <w:t>0.</w:t>
            </w:r>
            <w:r>
              <w:rPr>
                <w:rFonts w:hint="eastAsia" w:ascii="Times New Roman" w:hAnsi="Times New Roman" w:cs="Times New Roman"/>
                <w:color w:val="auto"/>
                <w:sz w:val="24"/>
                <w:u w:val="none" w:color="auto"/>
                <w:lang w:val="en-US" w:eastAsia="zh-CN"/>
              </w:rPr>
              <w:t>32</w:t>
            </w:r>
            <w:r>
              <w:rPr>
                <w:rFonts w:ascii="Times New Roman" w:hAnsi="Times New Roman" w:cs="Times New Roman"/>
                <w:color w:val="auto"/>
                <w:sz w:val="24"/>
                <w:u w:val="none" w:color="auto"/>
              </w:rPr>
              <w:t>hm</w:t>
            </w:r>
            <w:r>
              <w:rPr>
                <w:rFonts w:ascii="Times New Roman" w:hAnsi="Times New Roman" w:cs="Times New Roman"/>
                <w:color w:val="auto"/>
                <w:sz w:val="24"/>
                <w:u w:val="none" w:color="auto"/>
                <w:vertAlign w:val="superscript"/>
              </w:rPr>
              <w:t>2</w:t>
            </w:r>
            <w:r>
              <w:rPr>
                <w:rFonts w:ascii="Times New Roman" w:cs="Times New Roman"/>
                <w:color w:val="auto"/>
                <w:sz w:val="24"/>
                <w:u w:val="none" w:color="auto"/>
              </w:rPr>
              <w:t>），经</w:t>
            </w:r>
            <w:r>
              <w:rPr>
                <w:rFonts w:ascii="Times New Roman" w:cs="Times New Roman"/>
                <w:color w:val="auto"/>
                <w:sz w:val="24"/>
                <w:u w:val="none" w:color="auto"/>
                <w:lang w:val="fr-FR"/>
              </w:rPr>
              <w:t>计算项目初期雨水产生量为</w:t>
            </w:r>
            <w:r>
              <w:rPr>
                <w:rFonts w:hint="eastAsia" w:ascii="Times New Roman" w:cs="Times New Roman"/>
                <w:color w:val="auto"/>
                <w:sz w:val="24"/>
                <w:u w:val="none" w:color="auto"/>
                <w:lang w:val="en-US" w:eastAsia="zh-CN"/>
              </w:rPr>
              <w:t>59.05</w:t>
            </w:r>
            <w:r>
              <w:rPr>
                <w:rFonts w:ascii="Times New Roman" w:hAnsi="Times New Roman" w:cs="Times New Roman"/>
                <w:color w:val="auto"/>
                <w:sz w:val="24"/>
                <w:u w:val="none" w:color="auto"/>
                <w:lang w:val="fr-FR"/>
              </w:rPr>
              <w:t>m</w:t>
            </w:r>
            <w:r>
              <w:rPr>
                <w:rFonts w:ascii="Times New Roman" w:hAnsi="Times New Roman" w:cs="Times New Roman"/>
                <w:color w:val="auto"/>
                <w:sz w:val="24"/>
                <w:u w:val="none" w:color="auto"/>
                <w:vertAlign w:val="superscript"/>
                <w:lang w:val="fr-FR"/>
              </w:rPr>
              <w:t>3</w:t>
            </w:r>
            <w:r>
              <w:rPr>
                <w:rFonts w:ascii="Times New Roman" w:hAnsi="Times New Roman" w:cs="Times New Roman"/>
                <w:color w:val="auto"/>
                <w:sz w:val="24"/>
                <w:u w:val="none" w:color="auto"/>
                <w:lang w:val="fr-FR"/>
              </w:rPr>
              <w:t>/</w:t>
            </w:r>
            <w:r>
              <w:rPr>
                <w:rFonts w:ascii="Times New Roman" w:cs="Times New Roman"/>
                <w:color w:val="auto"/>
                <w:sz w:val="24"/>
                <w:u w:val="none" w:color="auto"/>
                <w:lang w:val="fr-FR"/>
              </w:rPr>
              <w:t>次，</w:t>
            </w:r>
            <w:r>
              <w:rPr>
                <w:rFonts w:ascii="Times New Roman" w:cs="Times New Roman"/>
                <w:color w:val="auto"/>
                <w:sz w:val="24"/>
                <w:u w:val="none" w:color="auto"/>
              </w:rPr>
              <w:t>项目</w:t>
            </w:r>
            <w:r>
              <w:rPr>
                <w:rFonts w:hint="eastAsia" w:ascii="Times New Roman" w:cs="Times New Roman"/>
                <w:color w:val="auto"/>
                <w:sz w:val="24"/>
                <w:u w:val="none" w:color="auto"/>
                <w:lang w:eastAsia="zh-CN"/>
              </w:rPr>
              <w:t>初期雨水收集沉淀池</w:t>
            </w:r>
            <w:r>
              <w:rPr>
                <w:rFonts w:ascii="Times New Roman" w:cs="Times New Roman"/>
                <w:color w:val="auto"/>
                <w:sz w:val="24"/>
                <w:u w:val="none" w:color="auto"/>
              </w:rPr>
              <w:t>总容积（</w:t>
            </w:r>
            <w:r>
              <w:rPr>
                <w:rFonts w:hint="eastAsia" w:ascii="Times New Roman" w:hAnsi="Times New Roman" w:cs="Times New Roman"/>
                <w:color w:val="auto"/>
                <w:sz w:val="24"/>
                <w:u w:val="none" w:color="auto"/>
                <w:lang w:val="en-US" w:eastAsia="zh-CN"/>
              </w:rPr>
              <w:t>72</w:t>
            </w:r>
            <w:r>
              <w:rPr>
                <w:rFonts w:ascii="Times New Roman" w:hAnsi="Times New Roman" w:cs="Times New Roman"/>
                <w:color w:val="auto"/>
                <w:sz w:val="24"/>
                <w:u w:val="none" w:color="auto"/>
                <w:lang w:val="fr-FR"/>
              </w:rPr>
              <w:t>m</w:t>
            </w:r>
            <w:r>
              <w:rPr>
                <w:rFonts w:ascii="Times New Roman" w:hAnsi="Times New Roman" w:cs="Times New Roman"/>
                <w:color w:val="auto"/>
                <w:sz w:val="24"/>
                <w:u w:val="none" w:color="auto"/>
                <w:vertAlign w:val="superscript"/>
                <w:lang w:val="fr-FR"/>
              </w:rPr>
              <w:t>3</w:t>
            </w:r>
            <w:r>
              <w:rPr>
                <w:rFonts w:ascii="Times New Roman" w:cs="Times New Roman"/>
                <w:color w:val="auto"/>
                <w:sz w:val="24"/>
                <w:u w:val="none" w:color="auto"/>
              </w:rPr>
              <w:t>）可完全收集项目产生的初期雨水，</w:t>
            </w:r>
            <w:r>
              <w:rPr>
                <w:rFonts w:ascii="Times New Roman" w:hAnsi="Times New Roman"/>
                <w:color w:val="auto"/>
                <w:sz w:val="24"/>
                <w:u w:val="none" w:color="auto"/>
              </w:rPr>
              <w:t>初期雨水主要污染物为SS，经物理沉降后作为</w:t>
            </w:r>
            <w:r>
              <w:rPr>
                <w:rFonts w:ascii="Times New Roman" w:hAnsi="Times New Roman"/>
                <w:color w:val="auto"/>
                <w:sz w:val="24"/>
                <w:u w:val="none" w:color="auto"/>
                <w:lang w:val="zh-CN"/>
              </w:rPr>
              <w:t>厂区内洒水降尘</w:t>
            </w:r>
            <w:r>
              <w:rPr>
                <w:rFonts w:hint="eastAsia" w:ascii="Times New Roman" w:hAnsi="Times New Roman"/>
                <w:color w:val="auto"/>
                <w:sz w:val="24"/>
                <w:u w:val="none" w:color="auto"/>
                <w:lang w:val="en-US" w:eastAsia="zh-CN"/>
              </w:rPr>
              <w:t>用水</w:t>
            </w:r>
            <w:r>
              <w:rPr>
                <w:rFonts w:ascii="Times New Roman" w:hAnsi="Times New Roman"/>
                <w:color w:val="auto"/>
                <w:sz w:val="24"/>
                <w:u w:val="none" w:color="auto"/>
                <w:lang w:val="zh-CN"/>
              </w:rPr>
              <w:t>。</w:t>
            </w:r>
          </w:p>
          <w:p w14:paraId="1886C0E4">
            <w:pPr>
              <w:spacing w:line="360" w:lineRule="auto"/>
              <w:ind w:right="113" w:firstLine="480" w:firstLineChars="200"/>
              <w:rPr>
                <w:rFonts w:ascii="Times New Roman" w:hAnsi="Times New Roman" w:cs="Times New Roman"/>
                <w:color w:val="auto"/>
                <w:sz w:val="24"/>
                <w:u w:val="none" w:color="auto"/>
              </w:rPr>
            </w:pPr>
            <w:r>
              <w:rPr>
                <w:rFonts w:hint="eastAsia" w:ascii="Times New Roman" w:hAnsi="Times New Roman" w:cs="Times New Roman"/>
                <w:color w:val="auto"/>
                <w:sz w:val="24"/>
                <w:u w:val="none" w:color="auto"/>
                <w:lang w:val="en-US" w:eastAsia="zh-CN"/>
              </w:rPr>
              <w:t>年暴雨次数按20次计，则初期雨水年产生量为1440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eastAsia="zh-CN"/>
              </w:rPr>
              <w:t>。</w:t>
            </w:r>
          </w:p>
          <w:p w14:paraId="7D7385F4">
            <w:pPr>
              <w:spacing w:line="360" w:lineRule="auto"/>
              <w:ind w:right="113" w:firstLine="480" w:firstLineChars="200"/>
              <w:rPr>
                <w:rFonts w:hint="eastAsia" w:ascii="Times New Roman" w:hAnsi="Times New Roman" w:cs="Times New Roman"/>
                <w:color w:val="auto"/>
                <w:sz w:val="24"/>
                <w:u w:val="none" w:color="auto"/>
                <w:lang w:eastAsia="zh-CN"/>
              </w:rPr>
            </w:pPr>
            <w:r>
              <w:rPr>
                <w:rFonts w:ascii="Times New Roman" w:hAnsi="Times New Roman" w:cs="Times New Roman"/>
                <w:color w:val="auto"/>
                <w:sz w:val="24"/>
                <w:u w:val="none" w:color="auto"/>
              </w:rPr>
              <w:t>项目水平衡图见图2-1</w:t>
            </w:r>
            <w:r>
              <w:rPr>
                <w:rFonts w:hint="eastAsia" w:ascii="Times New Roman" w:hAnsi="Times New Roman" w:cs="Times New Roman"/>
                <w:color w:val="auto"/>
                <w:sz w:val="24"/>
                <w:u w:val="none" w:color="auto"/>
                <w:lang w:eastAsia="zh-CN"/>
              </w:rPr>
              <w:t>。</w:t>
            </w:r>
          </w:p>
          <w:p w14:paraId="4E44E59E">
            <w:pPr>
              <w:adjustRightInd/>
              <w:snapToGrid/>
              <w:spacing w:line="360" w:lineRule="auto"/>
              <w:ind w:right="113"/>
              <w:jc w:val="center"/>
              <w:rPr>
                <w:rFonts w:hint="eastAsia" w:ascii="Times New Roman" w:hAnsi="Times New Roman" w:cs="Times New Roman" w:eastAsiaTheme="minorEastAsia"/>
                <w:color w:val="auto"/>
                <w:u w:val="none" w:color="auto"/>
                <w:lang w:eastAsia="zh-CN"/>
              </w:rPr>
            </w:pPr>
            <w:r>
              <w:rPr>
                <w:rFonts w:hint="eastAsia" w:ascii="Times New Roman" w:hAnsi="Times New Roman" w:cs="Times New Roman"/>
                <w:color w:val="auto"/>
                <w:sz w:val="24"/>
                <w:u w:val="none" w:color="auto"/>
                <w:lang w:eastAsia="zh-CN"/>
              </w:rPr>
              <w:object>
                <v:shape id="_x0000_i1026" o:spt="75" type="#_x0000_t75" style="height:200.5pt;width:402.05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r>
              <w:rPr>
                <w:rFonts w:ascii="Times New Roman" w:hAnsi="Times New Roman" w:cs="Times New Roman"/>
                <w:b/>
                <w:color w:val="auto"/>
                <w:sz w:val="24"/>
                <w:u w:val="none" w:color="auto"/>
              </w:rPr>
              <w:t>图2-1  项目水平衡图   单位：m</w:t>
            </w:r>
            <w:r>
              <w:rPr>
                <w:rFonts w:ascii="Times New Roman" w:hAnsi="Times New Roman" w:cs="Times New Roman"/>
                <w:b/>
                <w:color w:val="auto"/>
                <w:sz w:val="24"/>
                <w:u w:val="none" w:color="auto"/>
                <w:vertAlign w:val="superscript"/>
              </w:rPr>
              <w:t>3</w:t>
            </w:r>
            <w:r>
              <w:rPr>
                <w:rFonts w:ascii="Times New Roman" w:hAnsi="Times New Roman" w:cs="Times New Roman"/>
                <w:b/>
                <w:color w:val="auto"/>
                <w:sz w:val="24"/>
                <w:u w:val="none" w:color="auto"/>
              </w:rPr>
              <w:t>/</w:t>
            </w:r>
            <w:r>
              <w:rPr>
                <w:rFonts w:hint="eastAsia" w:ascii="Times New Roman" w:hAnsi="Times New Roman" w:cs="Times New Roman"/>
                <w:b/>
                <w:color w:val="auto"/>
                <w:sz w:val="24"/>
                <w:u w:val="none" w:color="auto"/>
                <w:lang w:val="en-US" w:eastAsia="zh-CN"/>
              </w:rPr>
              <w:t>a</w:t>
            </w:r>
          </w:p>
          <w:p w14:paraId="1A669A52">
            <w:pPr>
              <w:pStyle w:val="66"/>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（3）供电工程：</w:t>
            </w:r>
          </w:p>
          <w:p w14:paraId="411A9132">
            <w:pPr>
              <w:pStyle w:val="66"/>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由城市电网引入本工程的一路 10</w:t>
            </w:r>
            <w:r>
              <w:rPr>
                <w:rFonts w:hint="eastAsia" w:ascii="Times New Roman" w:hAnsi="Times New Roman" w:cs="Times New Roman"/>
                <w:color w:val="auto"/>
                <w:sz w:val="24"/>
                <w:u w:val="none" w:color="auto"/>
                <w:lang w:val="en-US" w:eastAsia="zh-CN"/>
              </w:rPr>
              <w:t>kV</w:t>
            </w:r>
            <w:r>
              <w:rPr>
                <w:rFonts w:ascii="Times New Roman" w:hAnsi="Times New Roman" w:cs="Times New Roman"/>
                <w:color w:val="auto"/>
                <w:sz w:val="24"/>
                <w:u w:val="none" w:color="auto"/>
              </w:rPr>
              <w:t xml:space="preserve"> 电缆线路至室外箱变，本工程负荷供电等级为三级，本厂区采用室外箱变供电，室外设一台800KVA箱变，为满足水泵房消火栓泵配电末端切换要求，根据项目用电负荷计算，项目年用电量约</w:t>
            </w:r>
            <w:r>
              <w:rPr>
                <w:rFonts w:hint="eastAsia" w:ascii="Times New Roman" w:hAnsi="Times New Roman" w:cs="Times New Roman"/>
                <w:color w:val="auto"/>
                <w:sz w:val="24"/>
                <w:u w:val="none" w:color="auto"/>
                <w:lang w:val="en-US" w:eastAsia="zh-CN"/>
              </w:rPr>
              <w:t>2</w:t>
            </w:r>
            <w:r>
              <w:rPr>
                <w:rFonts w:ascii="Times New Roman" w:hAnsi="Times New Roman" w:cs="Times New Roman"/>
                <w:color w:val="auto"/>
                <w:sz w:val="24"/>
                <w:u w:val="none" w:color="auto"/>
              </w:rPr>
              <w:t>00万kWh。</w:t>
            </w:r>
          </w:p>
          <w:p w14:paraId="2F76A345">
            <w:pPr>
              <w:spacing w:line="360" w:lineRule="auto"/>
              <w:jc w:val="left"/>
              <w:rPr>
                <w:rFonts w:ascii="Times New Roman" w:hAnsi="Times New Roman" w:cs="Times New Roman"/>
                <w:b/>
                <w:color w:val="auto"/>
                <w:sz w:val="24"/>
                <w:u w:val="none" w:color="auto"/>
              </w:rPr>
            </w:pPr>
            <w:r>
              <w:rPr>
                <w:rFonts w:ascii="Times New Roman" w:hAnsi="Times New Roman" w:cs="Times New Roman"/>
                <w:b/>
                <w:color w:val="auto"/>
                <w:sz w:val="24"/>
                <w:u w:val="none" w:color="auto"/>
              </w:rPr>
              <w:t>8、劳动定员</w:t>
            </w:r>
          </w:p>
          <w:p w14:paraId="492FD389">
            <w:pPr>
              <w:pStyle w:val="66"/>
              <w:spacing w:line="360" w:lineRule="auto"/>
              <w:ind w:firstLine="480"/>
              <w:rPr>
                <w:rFonts w:ascii="Times New Roman" w:hAnsi="Times New Roman" w:cs="Times New Roman"/>
                <w:color w:val="auto"/>
                <w:sz w:val="24"/>
              </w:rPr>
            </w:pPr>
            <w:r>
              <w:rPr>
                <w:rFonts w:ascii="Times New Roman" w:hAnsi="Times New Roman" w:cs="Times New Roman"/>
                <w:color w:val="auto"/>
                <w:sz w:val="24"/>
                <w:u w:val="none" w:color="auto"/>
              </w:rPr>
              <w:t>本项目劳动定员为</w:t>
            </w:r>
            <w:r>
              <w:rPr>
                <w:rFonts w:hint="eastAsia" w:ascii="Times New Roman" w:hAnsi="Times New Roman" w:cs="Times New Roman"/>
                <w:color w:val="auto"/>
                <w:sz w:val="24"/>
                <w:u w:val="none" w:color="auto"/>
              </w:rPr>
              <w:t>40</w:t>
            </w:r>
            <w:r>
              <w:rPr>
                <w:rFonts w:ascii="Times New Roman" w:hAnsi="Times New Roman" w:cs="Times New Roman"/>
                <w:color w:val="auto"/>
                <w:sz w:val="24"/>
                <w:u w:val="none" w:color="auto"/>
              </w:rPr>
              <w:t>人，生产采用一</w:t>
            </w:r>
            <w:r>
              <w:rPr>
                <w:rFonts w:ascii="Times New Roman" w:hAnsi="Times New Roman" w:cs="Times New Roman"/>
                <w:color w:val="auto"/>
                <w:sz w:val="24"/>
              </w:rPr>
              <w:t>班工作制，每天工作</w:t>
            </w:r>
            <w:r>
              <w:rPr>
                <w:rFonts w:hint="eastAsia" w:ascii="Times New Roman" w:hAnsi="Times New Roman" w:cs="Times New Roman"/>
                <w:color w:val="auto"/>
                <w:sz w:val="24"/>
                <w:lang w:val="en-US" w:eastAsia="zh-CN"/>
              </w:rPr>
              <w:t>8</w:t>
            </w:r>
            <w:r>
              <w:rPr>
                <w:rFonts w:ascii="Times New Roman" w:hAnsi="Times New Roman" w:cs="Times New Roman"/>
                <w:color w:val="auto"/>
                <w:sz w:val="24"/>
              </w:rPr>
              <w:t>个小时，全年工作</w:t>
            </w:r>
            <w:r>
              <w:rPr>
                <w:rFonts w:hint="eastAsia" w:ascii="Times New Roman" w:hAnsi="Times New Roman" w:cs="Times New Roman"/>
                <w:color w:val="auto"/>
                <w:sz w:val="24"/>
              </w:rPr>
              <w:t>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0天，</w:t>
            </w:r>
            <w:r>
              <w:rPr>
                <w:rFonts w:hint="eastAsia" w:ascii="Times New Roman" w:hAnsi="Times New Roman" w:cs="Times New Roman"/>
                <w:color w:val="auto"/>
                <w:sz w:val="24"/>
              </w:rPr>
              <w:t>均不在厂区</w:t>
            </w:r>
            <w:r>
              <w:rPr>
                <w:rFonts w:ascii="Times New Roman" w:hAnsi="Times New Roman" w:cs="Times New Roman"/>
                <w:color w:val="auto"/>
                <w:sz w:val="24"/>
              </w:rPr>
              <w:t>食宿。</w:t>
            </w:r>
          </w:p>
          <w:p w14:paraId="4F77434F">
            <w:pPr>
              <w:pStyle w:val="66"/>
              <w:spacing w:line="360" w:lineRule="auto"/>
              <w:ind w:firstLine="480"/>
              <w:rPr>
                <w:rFonts w:ascii="Times New Roman" w:hAnsi="Times New Roman" w:cs="Times New Roman"/>
                <w:color w:val="auto"/>
                <w:sz w:val="24"/>
                <w:u w:val="none" w:color="auto"/>
              </w:rPr>
            </w:pPr>
          </w:p>
          <w:p w14:paraId="7BF76F63">
            <w:pPr>
              <w:pStyle w:val="66"/>
              <w:spacing w:line="360" w:lineRule="auto"/>
              <w:ind w:firstLine="480"/>
              <w:rPr>
                <w:rFonts w:ascii="Times New Roman" w:hAnsi="Times New Roman" w:cs="Times New Roman"/>
                <w:color w:val="auto"/>
                <w:sz w:val="24"/>
                <w:u w:val="none" w:color="auto"/>
              </w:rPr>
            </w:pPr>
          </w:p>
          <w:p w14:paraId="50AD1034">
            <w:pPr>
              <w:pStyle w:val="66"/>
              <w:spacing w:line="360" w:lineRule="auto"/>
              <w:ind w:firstLine="480"/>
              <w:rPr>
                <w:rFonts w:ascii="Times New Roman" w:hAnsi="Times New Roman" w:cs="Times New Roman"/>
                <w:color w:val="auto"/>
                <w:sz w:val="24"/>
                <w:u w:val="none" w:color="auto"/>
              </w:rPr>
            </w:pPr>
          </w:p>
          <w:p w14:paraId="60874156">
            <w:pPr>
              <w:pStyle w:val="66"/>
              <w:spacing w:line="360" w:lineRule="auto"/>
              <w:ind w:firstLine="480"/>
              <w:rPr>
                <w:rFonts w:ascii="Times New Roman" w:hAnsi="Times New Roman" w:cs="Times New Roman"/>
                <w:color w:val="auto"/>
                <w:sz w:val="24"/>
                <w:u w:val="none" w:color="auto"/>
              </w:rPr>
            </w:pPr>
          </w:p>
          <w:p w14:paraId="2FA07E00">
            <w:pPr>
              <w:pStyle w:val="66"/>
              <w:spacing w:line="360" w:lineRule="auto"/>
              <w:ind w:firstLine="480"/>
              <w:rPr>
                <w:rFonts w:ascii="Times New Roman" w:hAnsi="Times New Roman" w:cs="Times New Roman"/>
                <w:color w:val="auto"/>
                <w:sz w:val="24"/>
                <w:u w:val="none" w:color="auto"/>
              </w:rPr>
            </w:pPr>
          </w:p>
          <w:p w14:paraId="19112EC2">
            <w:pPr>
              <w:pStyle w:val="66"/>
              <w:spacing w:line="360" w:lineRule="auto"/>
              <w:ind w:firstLine="480"/>
              <w:rPr>
                <w:rFonts w:ascii="Times New Roman" w:hAnsi="Times New Roman" w:cs="Times New Roman"/>
                <w:color w:val="auto"/>
                <w:sz w:val="24"/>
                <w:u w:val="none" w:color="auto"/>
              </w:rPr>
            </w:pPr>
          </w:p>
          <w:p w14:paraId="127948C8">
            <w:pPr>
              <w:pStyle w:val="66"/>
              <w:spacing w:line="360" w:lineRule="auto"/>
              <w:ind w:firstLine="480"/>
              <w:rPr>
                <w:rFonts w:ascii="Times New Roman" w:hAnsi="Times New Roman" w:cs="Times New Roman"/>
                <w:color w:val="auto"/>
                <w:sz w:val="24"/>
                <w:u w:val="none" w:color="auto"/>
              </w:rPr>
            </w:pPr>
          </w:p>
          <w:p w14:paraId="7C081901">
            <w:pPr>
              <w:pStyle w:val="66"/>
              <w:spacing w:line="360" w:lineRule="auto"/>
              <w:ind w:firstLine="480"/>
              <w:rPr>
                <w:rFonts w:ascii="Times New Roman" w:hAnsi="Times New Roman" w:cs="Times New Roman"/>
                <w:color w:val="auto"/>
                <w:sz w:val="24"/>
                <w:u w:val="none" w:color="auto"/>
              </w:rPr>
            </w:pPr>
          </w:p>
          <w:p w14:paraId="3B76E5EE">
            <w:pPr>
              <w:pStyle w:val="66"/>
              <w:spacing w:line="360" w:lineRule="auto"/>
              <w:ind w:firstLine="480"/>
              <w:rPr>
                <w:rFonts w:ascii="Times New Roman" w:hAnsi="Times New Roman" w:cs="Times New Roman"/>
                <w:color w:val="auto"/>
                <w:sz w:val="24"/>
                <w:u w:val="none" w:color="auto"/>
              </w:rPr>
            </w:pPr>
          </w:p>
          <w:p w14:paraId="29EE5EAA">
            <w:pPr>
              <w:pStyle w:val="66"/>
              <w:spacing w:line="360" w:lineRule="auto"/>
              <w:ind w:firstLine="480"/>
              <w:rPr>
                <w:rFonts w:ascii="Times New Roman" w:hAnsi="Times New Roman" w:cs="Times New Roman"/>
                <w:color w:val="auto"/>
                <w:sz w:val="24"/>
                <w:u w:val="none" w:color="auto"/>
              </w:rPr>
            </w:pPr>
          </w:p>
        </w:tc>
      </w:tr>
      <w:tr w14:paraId="7FA7D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Align w:val="center"/>
          </w:tcPr>
          <w:p w14:paraId="0EB62437">
            <w:pPr>
              <w:pStyle w:val="23"/>
              <w:adjustRightInd w:val="0"/>
              <w:snapToGrid w:val="0"/>
              <w:spacing w:before="0" w:beforeAutospacing="0" w:after="0" w:afterAutospacing="0" w:line="360" w:lineRule="auto"/>
              <w:jc w:val="center"/>
              <w:rPr>
                <w:rFonts w:ascii="Times New Roman" w:hAnsi="Times New Roman" w:cs="Times New Roman"/>
                <w:color w:val="auto"/>
                <w:szCs w:val="24"/>
                <w:u w:val="none" w:color="auto"/>
              </w:rPr>
            </w:pPr>
            <w:r>
              <w:rPr>
                <w:rFonts w:ascii="Times New Roman" w:hAnsi="Times New Roman" w:cs="Times New Roman"/>
                <w:color w:val="auto"/>
                <w:szCs w:val="24"/>
                <w:u w:val="none" w:color="auto"/>
              </w:rPr>
              <w:t>工艺流程和产排污环节</w:t>
            </w:r>
          </w:p>
        </w:tc>
        <w:tc>
          <w:tcPr>
            <w:tcW w:w="8263" w:type="dxa"/>
          </w:tcPr>
          <w:p w14:paraId="036E6766">
            <w:pPr>
              <w:spacing w:line="360" w:lineRule="auto"/>
              <w:rPr>
                <w:rFonts w:ascii="Times New Roman" w:hAnsi="Times New Roman" w:cs="Times New Roman"/>
                <w:b/>
                <w:color w:val="auto"/>
                <w:sz w:val="24"/>
                <w:u w:val="none" w:color="auto"/>
              </w:rPr>
            </w:pPr>
            <w:r>
              <w:rPr>
                <w:rFonts w:ascii="Times New Roman" w:hAnsi="Times New Roman" w:cs="Times New Roman"/>
                <w:b/>
                <w:color w:val="auto"/>
                <w:sz w:val="24"/>
                <w:u w:val="none" w:color="auto"/>
              </w:rPr>
              <w:t>1、施工期工艺流程图及产污环节</w:t>
            </w:r>
          </w:p>
          <w:p w14:paraId="6D0E2C8A">
            <w:pPr>
              <w:spacing w:line="360" w:lineRule="auto"/>
              <w:ind w:firstLine="600" w:firstLineChars="250"/>
              <w:rPr>
                <w:rFonts w:ascii="Times New Roman" w:hAnsi="Times New Roman" w:cs="Times New Roman"/>
                <w:color w:val="auto"/>
                <w:sz w:val="24"/>
                <w:u w:val="none" w:color="auto"/>
              </w:rPr>
            </w:pPr>
            <w:r>
              <w:rPr>
                <w:rFonts w:ascii="Times New Roman" w:hAnsi="Times New Roman" w:cs="Times New Roman"/>
                <w:color w:val="auto"/>
                <w:sz w:val="24"/>
                <w:u w:val="none" w:color="auto"/>
              </w:rPr>
              <w:t>施工期主要包括场地平整等基础施工、主体工程、装修工程以及设备安装、调试等，至竣工验收完成施工期结束。施工期工艺流程图及工艺污染环节流程见图2-2：</w:t>
            </w:r>
          </w:p>
          <w:p w14:paraId="4B2709C5">
            <w:pPr>
              <w:spacing w:line="360" w:lineRule="auto"/>
              <w:jc w:val="center"/>
              <w:rPr>
                <w:rFonts w:ascii="Times New Roman" w:hAnsi="Times New Roman" w:cs="Times New Roman"/>
                <w:color w:val="auto"/>
                <w:sz w:val="24"/>
                <w:u w:val="none" w:color="auto"/>
              </w:rPr>
            </w:pPr>
            <w:r>
              <w:rPr>
                <w:rFonts w:ascii="Times New Roman" w:hAnsi="Times New Roman" w:eastAsia="宋体" w:cs="Times New Roman"/>
                <w:color w:val="auto"/>
                <w:szCs w:val="24"/>
                <w:u w:val="none" w:color="auto"/>
              </w:rPr>
              <w:object>
                <v:shape id="_x0000_i1027" o:spt="75" type="#_x0000_t75" style="height:156.65pt;width:414.7pt;" o:ole="t" filled="f" o:preferrelative="t" stroked="f" coordsize="21600,21600">
                  <v:path/>
                  <v:fill on="f" focussize="0,0"/>
                  <v:stroke on="f"/>
                  <v:imagedata r:id="rId12" o:title=""/>
                  <o:lock v:ext="edit" aspectratio="t"/>
                  <w10:wrap type="none"/>
                  <w10:anchorlock/>
                </v:shape>
                <o:OLEObject Type="Embed" ProgID="Visio.Drawing.11" ShapeID="_x0000_i1027" DrawAspect="Content" ObjectID="_1468075727" r:id="rId11">
                  <o:LockedField>false</o:LockedField>
                </o:OLEObject>
              </w:object>
            </w:r>
          </w:p>
          <w:p w14:paraId="719DF359">
            <w:pPr>
              <w:spacing w:line="360" w:lineRule="auto"/>
              <w:ind w:firstLine="482" w:firstLineChars="200"/>
              <w:jc w:val="center"/>
              <w:rPr>
                <w:rFonts w:ascii="Times New Roman" w:hAnsi="Times New Roman" w:cs="Times New Roman"/>
                <w:b/>
                <w:color w:val="auto"/>
                <w:sz w:val="24"/>
                <w:u w:val="none" w:color="auto"/>
              </w:rPr>
            </w:pPr>
            <w:r>
              <w:rPr>
                <w:rFonts w:ascii="Times New Roman" w:hAnsi="Times New Roman" w:cs="Times New Roman"/>
                <w:b/>
                <w:color w:val="auto"/>
                <w:sz w:val="24"/>
                <w:u w:val="none" w:color="auto"/>
              </w:rPr>
              <w:t>图2-2  施工期工艺流程及产污节点图</w:t>
            </w:r>
          </w:p>
          <w:p w14:paraId="2DA39536">
            <w:pPr>
              <w:spacing w:line="360" w:lineRule="auto"/>
              <w:ind w:firstLine="508" w:firstLineChars="212"/>
              <w:rPr>
                <w:rFonts w:ascii="Times New Roman" w:hAnsi="Times New Roman" w:cs="Times New Roman"/>
                <w:color w:val="auto"/>
                <w:sz w:val="24"/>
                <w:u w:val="none" w:color="auto"/>
              </w:rPr>
            </w:pPr>
            <w:r>
              <w:rPr>
                <w:rFonts w:ascii="Times New Roman" w:hAnsi="Times New Roman" w:cs="Times New Roman"/>
                <w:color w:val="auto"/>
                <w:sz w:val="24"/>
                <w:u w:val="none" w:color="auto"/>
              </w:rPr>
              <w:t>项目施工期间的环境影响问题主要有施工废水、废气、扬尘、施工噪声以及施工固体废弃物等。</w:t>
            </w:r>
          </w:p>
          <w:p w14:paraId="7A1D7B05">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①</w:t>
            </w:r>
            <w:r>
              <w:rPr>
                <w:rFonts w:ascii="Times New Roman" w:hAnsi="Times New Roman" w:cs="Times New Roman"/>
                <w:color w:val="auto"/>
                <w:sz w:val="24"/>
                <w:u w:val="none" w:color="auto"/>
              </w:rPr>
              <w:t>施工废水：施工场地内施工人员的生活污水及场地内少量施工废水；</w:t>
            </w:r>
          </w:p>
          <w:p w14:paraId="02C29460">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②</w:t>
            </w:r>
            <w:r>
              <w:rPr>
                <w:rFonts w:ascii="Times New Roman" w:hAnsi="Times New Roman" w:cs="Times New Roman"/>
                <w:color w:val="auto"/>
                <w:sz w:val="24"/>
                <w:u w:val="none" w:color="auto"/>
              </w:rPr>
              <w:t>废气：运输车辆及施工机械排放的尾气，主要污染物是氮氧化物、一氧化碳、THC等；</w:t>
            </w:r>
          </w:p>
          <w:p w14:paraId="47A7C8BE">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③</w:t>
            </w:r>
            <w:r>
              <w:rPr>
                <w:rFonts w:ascii="Times New Roman" w:hAnsi="Times New Roman" w:cs="Times New Roman"/>
                <w:color w:val="auto"/>
                <w:sz w:val="24"/>
                <w:u w:val="none" w:color="auto"/>
              </w:rPr>
              <w:t>扬尘：施工工地内及施工场地的进出口路段，在风力作用下产生的扬尘；由于车辆的行驶，建筑材料如水泥、河砂等在运输和使用过程中产生的扬尘；施工土方装车过程所产生的扬尘；</w:t>
            </w:r>
          </w:p>
          <w:p w14:paraId="086D703C">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④</w:t>
            </w:r>
            <w:r>
              <w:rPr>
                <w:rFonts w:ascii="Times New Roman" w:hAnsi="Times New Roman" w:cs="Times New Roman"/>
                <w:color w:val="auto"/>
                <w:sz w:val="24"/>
                <w:u w:val="none" w:color="auto"/>
              </w:rPr>
              <w:t>噪声：施工建筑机械、运输车辆及施工过程产生的噪声；</w:t>
            </w:r>
          </w:p>
          <w:p w14:paraId="04F661FC">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⑤</w:t>
            </w:r>
            <w:r>
              <w:rPr>
                <w:rFonts w:ascii="Times New Roman" w:hAnsi="Times New Roman" w:cs="Times New Roman"/>
                <w:color w:val="auto"/>
                <w:sz w:val="24"/>
                <w:u w:val="none" w:color="auto"/>
              </w:rPr>
              <w:t>固体废弃物：施工期主要有建筑垃圾及施工人员生活垃圾。</w:t>
            </w:r>
          </w:p>
          <w:p w14:paraId="631B9AD8">
            <w:pPr>
              <w:spacing w:line="360" w:lineRule="auto"/>
              <w:ind w:right="113"/>
              <w:rPr>
                <w:rFonts w:ascii="Times New Roman" w:hAnsi="Times New Roman" w:cs="Times New Roman"/>
                <w:color w:val="auto"/>
                <w:sz w:val="24"/>
                <w:u w:val="none" w:color="auto"/>
              </w:rPr>
            </w:pPr>
            <w:r>
              <w:rPr>
                <w:rFonts w:ascii="Times New Roman" w:hAnsi="Times New Roman" w:cs="Times New Roman"/>
                <w:b/>
                <w:color w:val="auto"/>
                <w:sz w:val="24"/>
                <w:u w:val="none" w:color="auto"/>
              </w:rPr>
              <w:t>2、营运期工艺流程图及产污环节</w:t>
            </w:r>
          </w:p>
          <w:p w14:paraId="7E063C10">
            <w:pPr>
              <w:adjustRightInd w:val="0"/>
              <w:snapToGrid w:val="0"/>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本项目主要从事混凝土的生产，各工艺混合、搅拌过程，为物理反应，无化学反应。商品混凝土生产工艺、产污环节见下图。</w:t>
            </w:r>
          </w:p>
          <w:p w14:paraId="5B599A5A">
            <w:pPr>
              <w:adjustRightInd w:val="0"/>
              <w:snapToGrid w:val="0"/>
              <w:spacing w:line="360" w:lineRule="auto"/>
              <w:ind w:firstLine="480" w:firstLineChars="200"/>
              <w:rPr>
                <w:rFonts w:hint="eastAsia" w:ascii="Times New Roman" w:hAnsi="Times New Roman" w:cs="Times New Roman"/>
                <w:color w:val="auto"/>
                <w:sz w:val="24"/>
                <w:u w:val="none" w:color="auto"/>
                <w:lang w:eastAsia="zh-CN"/>
              </w:rPr>
            </w:pPr>
          </w:p>
          <w:p w14:paraId="4EC41637">
            <w:pPr>
              <w:adjustRightInd w:val="0"/>
              <w:snapToGrid w:val="0"/>
              <w:spacing w:line="360" w:lineRule="auto"/>
              <w:ind w:firstLine="480" w:firstLineChars="200"/>
              <w:rPr>
                <w:rFonts w:hint="eastAsia" w:ascii="Times New Roman" w:hAnsi="Times New Roman" w:cs="Times New Roman"/>
                <w:color w:val="auto"/>
                <w:sz w:val="24"/>
                <w:u w:val="none" w:color="auto"/>
                <w:lang w:eastAsia="zh-CN"/>
              </w:rPr>
            </w:pPr>
          </w:p>
          <w:p w14:paraId="2C44E549">
            <w:pPr>
              <w:adjustRightInd w:val="0"/>
              <w:snapToGrid w:val="0"/>
              <w:spacing w:line="360" w:lineRule="auto"/>
              <w:ind w:firstLine="482" w:firstLineChars="200"/>
              <w:rPr>
                <w:rFonts w:ascii="Times New Roman" w:hAnsi="Times New Roman" w:cs="Times New Roman"/>
                <w:color w:val="auto"/>
                <w:sz w:val="24"/>
                <w:u w:val="none" w:color="auto"/>
              </w:rPr>
            </w:pPr>
            <w:r>
              <w:rPr>
                <w:rFonts w:ascii="Times New Roman" w:hAnsi="Times New Roman" w:cs="Times New Roman"/>
                <w:b/>
                <w:color w:val="auto"/>
                <w:sz w:val="24"/>
                <w:u w:val="none" w:color="auto"/>
              </w:rPr>
              <w:pict>
                <v:rect id="_x0000_s2120" o:spid="_x0000_s2120" o:spt="1" style="position:absolute;left:0pt;margin-left:243.25pt;margin-top:13.45pt;height:20.15pt;width:46.6pt;z-index:251711488;mso-width-relative:page;mso-height-relative:page;" filled="f" stroked="f" coordsize="21600,21600">
                  <v:path/>
                  <v:fill on="f" focussize="0,0"/>
                  <v:stroke on="f"/>
                  <v:imagedata o:title=""/>
                  <o:lock v:ext="edit"/>
                  <v:textbox>
                    <w:txbxContent>
                      <w:p w14:paraId="2D9C8BBC">
                        <w:pPr>
                          <w:jc w:val="center"/>
                          <w:rPr>
                            <w:rFonts w:ascii="Times New Roman" w:hAnsi="Times New Roman" w:cs="Times New Roman"/>
                          </w:rPr>
                        </w:pPr>
                        <w:r>
                          <w:rPr>
                            <w:rFonts w:hint="eastAsia" w:ascii="Times New Roman" w:hAnsi="Times New Roman" w:cs="Times New Roman"/>
                          </w:rPr>
                          <w:t>G</w:t>
                        </w:r>
                      </w:p>
                    </w:txbxContent>
                  </v:textbox>
                </v:rect>
              </w:pict>
            </w:r>
            <w:r>
              <w:rPr>
                <w:rFonts w:ascii="Times New Roman" w:hAnsi="Times New Roman" w:eastAsia="宋体" w:cs="Times New Roman"/>
                <w:color w:val="auto"/>
                <w:szCs w:val="24"/>
                <w:u w:val="none" w:color="auto"/>
              </w:rPr>
              <w:pict>
                <v:rect id="_x0000_s2121" o:spid="_x0000_s2121" o:spt="1" style="position:absolute;left:0pt;margin-left:184.5pt;margin-top:13.45pt;height:20.15pt;width:58.75pt;z-index:251659264;mso-width-relative:page;mso-height-relative:page;" filled="f" stroked="f" coordsize="21600,21600">
                  <v:path/>
                  <v:fill on="f" focussize="0,0"/>
                  <v:stroke on="f"/>
                  <v:imagedata o:title=""/>
                  <o:lock v:ext="edit"/>
                  <v:textbox>
                    <w:txbxContent>
                      <w:p w14:paraId="5343016D">
                        <w:pPr>
                          <w:jc w:val="center"/>
                        </w:pPr>
                        <w:r>
                          <w:rPr>
                            <w:rFonts w:hint="eastAsia"/>
                          </w:rPr>
                          <w:t>砂石</w:t>
                        </w:r>
                      </w:p>
                    </w:txbxContent>
                  </v:textbox>
                </v:rect>
              </w:pict>
            </w:r>
            <w:r>
              <w:rPr>
                <w:rFonts w:ascii="Times New Roman" w:hAnsi="Times New Roman" w:eastAsia="宋体" w:cs="Times New Roman"/>
                <w:color w:val="auto"/>
                <w:szCs w:val="24"/>
                <w:u w:val="none" w:color="auto"/>
              </w:rPr>
              <w:pict>
                <v:shape id="_x0000_s2122" o:spid="_x0000_s2122" o:spt="32" type="#_x0000_t32" style="position:absolute;left:0pt;margin-left:213.3pt;margin-top:33.6pt;height:20.75pt;width:0pt;z-index:25166131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23" o:spid="_x0000_s2123" o:spt="1" style="position:absolute;left:0pt;margin-left:184.5pt;margin-top:54.35pt;height:20.15pt;width:58.75pt;z-index:251660288;mso-width-relative:page;mso-height-relative:page;" coordsize="21600,21600">
                  <v:path/>
                  <v:fill focussize="0,0"/>
                  <v:stroke/>
                  <v:imagedata o:title=""/>
                  <o:lock v:ext="edit"/>
                  <v:textbox>
                    <w:txbxContent>
                      <w:p w14:paraId="17183D45">
                        <w:r>
                          <w:rPr>
                            <w:rFonts w:hint="eastAsia"/>
                          </w:rPr>
                          <w:t>砂石</w:t>
                        </w:r>
                        <w:r>
                          <w:rPr>
                            <w:rFonts w:hint="eastAsia"/>
                            <w:lang w:val="en-US" w:eastAsia="zh-CN"/>
                          </w:rPr>
                          <w:t>料</w:t>
                        </w:r>
                        <w:r>
                          <w:rPr>
                            <w:rFonts w:hint="eastAsia"/>
                          </w:rPr>
                          <w:t>场</w:t>
                        </w:r>
                      </w:p>
                    </w:txbxContent>
                  </v:textbox>
                </v:rect>
              </w:pict>
            </w:r>
            <w:r>
              <w:rPr>
                <w:rFonts w:ascii="Times New Roman" w:hAnsi="Times New Roman" w:cs="Times New Roman"/>
                <w:b/>
                <w:color w:val="auto"/>
                <w:sz w:val="24"/>
                <w:u w:val="none" w:color="auto"/>
              </w:rPr>
              <w:pict>
                <v:shape id="_x0000_s2124" o:spid="_x0000_s2124" o:spt="32" type="#_x0000_t32" style="position:absolute;left:0pt;margin-left:213.3pt;margin-top:74.5pt;height:20.75pt;width:0pt;z-index:25166336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25" o:spid="_x0000_s2125" o:spt="1" style="position:absolute;left:0pt;margin-left:184.5pt;margin-top:95.25pt;height:20.15pt;width:58.75pt;z-index:251664384;mso-width-relative:page;mso-height-relative:page;" coordsize="21600,21600">
                  <v:path/>
                  <v:fill focussize="0,0"/>
                  <v:stroke/>
                  <v:imagedata o:title=""/>
                  <o:lock v:ext="edit"/>
                  <v:textbox>
                    <w:txbxContent>
                      <w:p w14:paraId="7F122B93">
                        <w:pPr>
                          <w:jc w:val="center"/>
                        </w:pPr>
                        <w:r>
                          <w:rPr>
                            <w:rFonts w:hint="eastAsia"/>
                          </w:rPr>
                          <w:t>进料口</w:t>
                        </w:r>
                      </w:p>
                    </w:txbxContent>
                  </v:textbox>
                </v:rect>
              </w:pict>
            </w:r>
            <w:r>
              <w:rPr>
                <w:rFonts w:ascii="Times New Roman" w:hAnsi="Times New Roman" w:cs="Times New Roman"/>
                <w:b/>
                <w:color w:val="auto"/>
                <w:sz w:val="24"/>
                <w:u w:val="none" w:color="auto"/>
              </w:rPr>
              <w:pict>
                <v:shape id="_x0000_s2126" o:spid="_x0000_s2126" o:spt="32" type="#_x0000_t32" style="position:absolute;left:0pt;margin-left:213.3pt;margin-top:115.4pt;height:20.75pt;width:0pt;z-index:251665408;mso-width-relative:page;mso-height-relative:page;" o:connectortype="straight" filled="f" coordsize="21600,21600">
                  <v:path arrowok="t"/>
                  <v:fill on="f" focussize="0,0"/>
                  <v:stroke endarrow="block"/>
                  <v:imagedata o:title=""/>
                  <o:lock v:ext="edit"/>
                </v:shape>
              </w:pict>
            </w:r>
          </w:p>
          <w:p w14:paraId="642E4AF7">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shape id="_x0000_s2127" o:spid="_x0000_s2127" o:spt="32" type="#_x0000_t32" style="position:absolute;left:0pt;flip:y;margin-left:248.15pt;margin-top:0.85pt;height:10.3pt;width:13.45pt;z-index:251710464;mso-width-relative:page;mso-height-relative:page;" o:connectortype="straight" filled="f" coordsize="21600,21600">
                  <v:path arrowok="t"/>
                  <v:fill on="f" focussize="0,0"/>
                  <v:stroke dashstyle="dash" endarrow="block"/>
                  <v:imagedata o:title=""/>
                  <o:lock v:ext="edit"/>
                </v:shape>
              </w:pict>
            </w:r>
            <w:r>
              <w:rPr>
                <w:rFonts w:ascii="Times New Roman" w:hAnsi="Times New Roman" w:cs="Times New Roman"/>
                <w:b/>
                <w:color w:val="auto"/>
                <w:sz w:val="24"/>
                <w:u w:val="none" w:color="auto"/>
              </w:rPr>
              <w:pict>
                <v:rect id="_x0000_s2128" o:spid="_x0000_s2128" o:spt="1" style="position:absolute;left:0pt;margin-left:175.45pt;margin-top:8.55pt;height:56.65pt;width:73.05pt;z-index:251712512;mso-width-relative:page;mso-height-relative:page;" filled="f" coordsize="21600,21600">
                  <v:path/>
                  <v:fill on="f" focussize="0,0"/>
                  <v:stroke dashstyle="dash"/>
                  <v:imagedata o:title=""/>
                  <o:lock v:ext="edit"/>
                </v:rect>
              </w:pict>
            </w:r>
            <w:r>
              <w:rPr>
                <w:rFonts w:ascii="Times New Roman" w:hAnsi="Times New Roman" w:cs="Times New Roman"/>
                <w:b/>
                <w:color w:val="auto"/>
                <w:sz w:val="24"/>
                <w:u w:val="none" w:color="auto"/>
              </w:rPr>
              <w:pict>
                <v:rect id="_x0000_s2129" o:spid="_x0000_s2129" o:spt="1" style="position:absolute;left:0pt;margin-left:32.35pt;margin-top:2.4pt;height:20.15pt;width:46.6pt;z-index:251705344;mso-width-relative:page;mso-height-relative:page;" filled="f" stroked="f" coordsize="21600,21600">
                  <v:path/>
                  <v:fill on="f" focussize="0,0"/>
                  <v:stroke on="f"/>
                  <v:imagedata o:title=""/>
                  <o:lock v:ext="edit"/>
                  <v:textbox>
                    <w:txbxContent>
                      <w:p w14:paraId="5188D6BD">
                        <w:pPr>
                          <w:jc w:val="center"/>
                          <w:rPr>
                            <w:rFonts w:ascii="Times New Roman" w:hAnsi="Times New Roman" w:cs="Times New Roman"/>
                          </w:rPr>
                        </w:pPr>
                        <w:r>
                          <w:rPr>
                            <w:rFonts w:hint="eastAsia" w:ascii="Times New Roman" w:hAnsi="Times New Roman" w:cs="Times New Roman"/>
                          </w:rPr>
                          <w:t>G</w:t>
                        </w:r>
                      </w:p>
                    </w:txbxContent>
                  </v:textbox>
                </v:rect>
              </w:pict>
            </w:r>
          </w:p>
          <w:p w14:paraId="572B2700">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shape id="_x0000_s2130" o:spid="_x0000_s2130" o:spt="32" type="#_x0000_t32" style="position:absolute;left:0pt;flip:y;margin-left:56.5pt;margin-top:5.4pt;height:47.55pt;width:0pt;z-index:251704320;mso-width-relative:page;mso-height-relative:page;" o:connectortype="straight" filled="f" coordsize="21600,21600">
                  <v:path arrowok="t"/>
                  <v:fill on="f" focussize="0,0"/>
                  <v:stroke dashstyle="dash" endarrow="block"/>
                  <v:imagedata o:title=""/>
                  <o:lock v:ext="edit"/>
                </v:shape>
              </w:pict>
            </w:r>
            <w:r>
              <w:rPr>
                <w:rFonts w:ascii="Times New Roman" w:hAnsi="Times New Roman" w:cs="Times New Roman"/>
                <w:b/>
                <w:color w:val="auto"/>
                <w:sz w:val="24"/>
                <w:u w:val="none" w:color="auto"/>
              </w:rPr>
              <w:pict>
                <v:rect id="_x0000_s2131" o:spid="_x0000_s2131" o:spt="1" style="position:absolute;left:0pt;margin-left:197.95pt;margin-top:-0.45pt;height:20.15pt;width:58.75pt;z-index:251662336;mso-width-relative:page;mso-height-relative:page;" filled="f" stroked="f" coordsize="21600,21600">
                  <v:path/>
                  <v:fill on="f" focussize="0,0"/>
                  <v:stroke on="f"/>
                  <v:imagedata o:title=""/>
                  <o:lock v:ext="edit"/>
                  <v:textbox>
                    <w:txbxContent>
                      <w:p w14:paraId="08C25B29">
                        <w:pPr>
                          <w:jc w:val="center"/>
                          <w:rPr>
                            <w:sz w:val="16"/>
                            <w:szCs w:val="16"/>
                          </w:rPr>
                        </w:pPr>
                        <w:r>
                          <w:rPr>
                            <w:rFonts w:hint="eastAsia"/>
                            <w:sz w:val="16"/>
                            <w:szCs w:val="16"/>
                          </w:rPr>
                          <w:t>装载机</w:t>
                        </w:r>
                      </w:p>
                    </w:txbxContent>
                  </v:textbox>
                </v:rect>
              </w:pict>
            </w:r>
            <w:r>
              <w:rPr>
                <w:rFonts w:ascii="Times New Roman" w:hAnsi="Times New Roman" w:cs="Times New Roman"/>
                <w:b/>
                <w:color w:val="auto"/>
                <w:sz w:val="24"/>
                <w:u w:val="none" w:color="auto"/>
              </w:rPr>
              <w:pict>
                <v:rect id="_x0000_s2132" o:spid="_x0000_s2132" o:spt="1" style="position:absolute;left:0pt;margin-left:204.1pt;margin-top:40.45pt;height:20.15pt;width:58.75pt;z-index:251679744;mso-width-relative:page;mso-height-relative:page;" filled="f" stroked="f" coordsize="21600,21600">
                  <v:path/>
                  <v:fill on="f" focussize="0,0"/>
                  <v:stroke on="f"/>
                  <v:imagedata o:title=""/>
                  <o:lock v:ext="edit"/>
                  <v:textbox>
                    <w:txbxContent>
                      <w:p w14:paraId="368C1FB8">
                        <w:pPr>
                          <w:jc w:val="center"/>
                          <w:rPr>
                            <w:sz w:val="16"/>
                            <w:szCs w:val="16"/>
                          </w:rPr>
                        </w:pPr>
                        <w:r>
                          <w:rPr>
                            <w:rFonts w:hint="eastAsia"/>
                            <w:sz w:val="16"/>
                            <w:szCs w:val="16"/>
                          </w:rPr>
                          <w:t>传送装置</w:t>
                        </w:r>
                      </w:p>
                    </w:txbxContent>
                  </v:textbox>
                </v:rect>
              </w:pict>
            </w:r>
          </w:p>
          <w:p w14:paraId="5AEED5CC">
            <w:pPr>
              <w:adjustRightInd w:val="0"/>
              <w:snapToGrid w:val="0"/>
              <w:jc w:val="center"/>
              <w:rPr>
                <w:rFonts w:ascii="Times New Roman" w:hAnsi="Times New Roman" w:eastAsia="宋体" w:cs="Times New Roman"/>
                <w:color w:val="auto"/>
                <w:szCs w:val="24"/>
                <w:u w:val="none" w:color="auto"/>
              </w:rPr>
            </w:pPr>
          </w:p>
          <w:p w14:paraId="4A6E3300">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147" o:spid="_x0000_s2147" o:spt="1" style="position:absolute;left:0pt;margin-left:369.7pt;margin-top:0.2pt;height:20.15pt;width:46.1pt;z-index:251670528;mso-width-relative:page;mso-height-relative:page;" filled="f" stroked="f" coordsize="21600,21600">
                  <v:path/>
                  <v:fill on="f" focussize="0,0"/>
                  <v:stroke on="f"/>
                  <v:imagedata o:title=""/>
                  <o:lock v:ext="edit"/>
                  <v:textbox>
                    <w:txbxContent>
                      <w:p w14:paraId="563E26F6">
                        <w:pPr>
                          <w:jc w:val="center"/>
                        </w:pPr>
                        <w:r>
                          <w:rPr>
                            <w:rFonts w:hint="eastAsia"/>
                          </w:rPr>
                          <w:t>水</w:t>
                        </w:r>
                      </w:p>
                    </w:txbxContent>
                  </v:textbox>
                </v:rect>
              </w:pict>
            </w:r>
            <w:r>
              <w:rPr>
                <w:rFonts w:ascii="Times New Roman" w:hAnsi="Times New Roman" w:cs="Times New Roman"/>
                <w:b/>
                <w:color w:val="auto"/>
                <w:sz w:val="24"/>
                <w:u w:val="none" w:color="auto"/>
              </w:rPr>
              <w:pict>
                <v:group id="_x0000_s2133" o:spid="_x0000_s2133" o:spt="203" style="position:absolute;left:0pt;margin-left:324.1pt;margin-top:0.2pt;height:119.35pt;width:58.75pt;z-index:251729920;mso-width-relative:page;mso-height-relative:page;" coordorigin="8517,6142" coordsize="1175,2387">
                  <o:lock v:ext="edit" aspectratio="f"/>
                  <v:rect id="_x0000_s2134" o:spid="_x0000_s2134" o:spt="1" style="position:absolute;left:8517;top:8099;height:403;width:906;" filled="f" stroked="f" coordsize="21600,21600">
                    <v:path/>
                    <v:fill on="f" focussize="0,0"/>
                    <v:stroke on="f"/>
                    <v:imagedata o:title=""/>
                    <o:lock v:ext="edit" aspectratio="f"/>
                    <v:textbox>
                      <w:txbxContent>
                        <w:p w14:paraId="700927D6">
                          <w:pPr>
                            <w:jc w:val="center"/>
                            <w:rPr>
                              <w:sz w:val="16"/>
                              <w:szCs w:val="16"/>
                            </w:rPr>
                          </w:pPr>
                          <w:r>
                            <w:rPr>
                              <w:rFonts w:hint="eastAsia"/>
                              <w:sz w:val="16"/>
                              <w:szCs w:val="16"/>
                            </w:rPr>
                            <w:t>泵</w:t>
                          </w:r>
                        </w:p>
                      </w:txbxContent>
                    </v:textbox>
                  </v:rect>
                  <v:rect id="_x0000_s2135" o:spid="_x0000_s2135" o:spt="1" style="position:absolute;left:8517;top:6142;height:403;width:1175;" filled="f" stroked="f" coordsize="21600,21600">
                    <v:path/>
                    <v:fill on="f" focussize="0,0"/>
                    <v:stroke on="f"/>
                    <v:imagedata o:title=""/>
                    <o:lock v:ext="edit" aspectratio="f"/>
                    <v:textbox>
                      <w:txbxContent>
                        <w:p w14:paraId="3A22EA8C">
                          <w:pPr>
                            <w:jc w:val="center"/>
                          </w:pPr>
                          <w:r>
                            <w:rPr>
                              <w:rFonts w:hint="eastAsia"/>
                            </w:rPr>
                            <w:t>外加剂</w:t>
                          </w:r>
                        </w:p>
                      </w:txbxContent>
                    </v:textbox>
                  </v:rect>
                  <v:shape id="_x0000_s2136" o:spid="_x0000_s2136" o:spt="32" type="#_x0000_t32" style="position:absolute;left:9043;top:6475;height:415;width:0;" filled="f" stroked="t" coordsize="21600,21600">
                    <v:path arrowok="t"/>
                    <v:fill on="f" focussize="0,0"/>
                    <v:stroke color="#000000" endarrow="block"/>
                    <v:imagedata o:title=""/>
                    <o:lock v:ext="edit" aspectratio="f"/>
                  </v:shape>
                  <v:rect id="_x0000_s2137" o:spid="_x0000_s2137" o:spt="1" style="position:absolute;left:8683;top:6890;height:403;width:725;" fillcolor="#FFFFFF" filled="t" stroked="t" coordsize="21600,21600">
                    <v:path/>
                    <v:fill on="t" color2="#FFFFFF" focussize="0,0"/>
                    <v:stroke color="#000000" joinstyle="miter"/>
                    <v:imagedata o:title=""/>
                    <o:lock v:ext="edit" aspectratio="f"/>
                    <v:textbox>
                      <w:txbxContent>
                        <w:p w14:paraId="0F738B8A">
                          <w:pPr>
                            <w:jc w:val="center"/>
                          </w:pPr>
                          <w:r>
                            <w:rPr>
                              <w:rFonts w:hint="eastAsia"/>
                            </w:rPr>
                            <w:t>罐</w:t>
                          </w:r>
                        </w:p>
                      </w:txbxContent>
                    </v:textbox>
                  </v:rect>
                  <v:rect id="_x0000_s2138" o:spid="_x0000_s2138" o:spt="1" style="position:absolute;left:8633;top:7696;height:403;width:725;" fillcolor="#FFFFFF" filled="t" stroked="t" coordsize="21600,21600">
                    <v:path/>
                    <v:fill on="t" color2="#FFFFFF" focussize="0,0"/>
                    <v:stroke color="#000000" joinstyle="miter"/>
                    <v:imagedata o:title=""/>
                    <o:lock v:ext="edit" aspectratio="f"/>
                    <v:textbox>
                      <w:txbxContent>
                        <w:p w14:paraId="73C45CB3">
                          <w:pPr>
                            <w:jc w:val="center"/>
                          </w:pPr>
                          <w:r>
                            <w:rPr>
                              <w:rFonts w:hint="eastAsia"/>
                            </w:rPr>
                            <w:t>计量</w:t>
                          </w:r>
                        </w:p>
                      </w:txbxContent>
                    </v:textbox>
                  </v:rect>
                  <v:rect id="_x0000_s2139" o:spid="_x0000_s2139" o:spt="1" style="position:absolute;left:8517;top:7293;height:403;width:906;" filled="f" stroked="f" coordsize="21600,21600">
                    <v:path/>
                    <v:fill on="f" focussize="0,0"/>
                    <v:stroke on="f"/>
                    <v:imagedata o:title=""/>
                    <o:lock v:ext="edit" aspectratio="f"/>
                    <v:textbox>
                      <w:txbxContent>
                        <w:p w14:paraId="58FD66A2">
                          <w:pPr>
                            <w:jc w:val="center"/>
                            <w:rPr>
                              <w:sz w:val="16"/>
                              <w:szCs w:val="16"/>
                            </w:rPr>
                          </w:pPr>
                          <w:r>
                            <w:rPr>
                              <w:rFonts w:hint="eastAsia"/>
                              <w:sz w:val="16"/>
                              <w:szCs w:val="16"/>
                            </w:rPr>
                            <w:t>泵</w:t>
                          </w:r>
                        </w:p>
                      </w:txbxContent>
                    </v:textbox>
                  </v:rect>
                  <v:shape id="_x0000_s2140" o:spid="_x0000_s2140" o:spt="32" type="#_x0000_t32" style="position:absolute;left:9058;top:7307;height:415;width:0;" filled="f" stroked="t" coordsize="21600,21600">
                    <v:path arrowok="t"/>
                    <v:fill on="f" focussize="0,0"/>
                    <v:stroke color="#000000" endarrow="block"/>
                    <v:imagedata o:title=""/>
                    <o:lock v:ext="edit" aspectratio="f"/>
                  </v:shape>
                  <v:shape id="_x0000_s2141" o:spid="_x0000_s2141" o:spt="32" type="#_x0000_t32" style="position:absolute;left:9058;top:8114;height:415;width:0;" filled="f" stroked="t" coordsize="21600,21600">
                    <v:path arrowok="t"/>
                    <v:fill on="f" focussize="0,0"/>
                    <v:stroke color="#000000" endarrow="block"/>
                    <v:imagedata o:title=""/>
                    <o:lock v:ext="edit" aspectratio="f"/>
                  </v:shape>
                </v:group>
              </w:pict>
            </w:r>
            <w:r>
              <w:rPr>
                <w:rFonts w:ascii="Times New Roman" w:hAnsi="Times New Roman" w:cs="Times New Roman"/>
                <w:b/>
                <w:color w:val="auto"/>
                <w:sz w:val="24"/>
                <w:u w:val="none" w:color="auto"/>
              </w:rPr>
              <w:pict>
                <v:rect id="_x0000_s2142" o:spid="_x0000_s2142" o:spt="1" style="position:absolute;left:0pt;margin-left:268.05pt;margin-top:57.75pt;height:20.15pt;width:45.3pt;z-index:251725824;mso-width-relative:page;mso-height-relative:page;" filled="f" stroked="f" coordsize="21600,21600">
                  <v:path/>
                  <v:fill on="f" focussize="0,0"/>
                  <v:stroke on="f"/>
                  <v:imagedata o:title=""/>
                  <o:lock v:ext="edit"/>
                  <v:textbox>
                    <w:txbxContent>
                      <w:p w14:paraId="4868EE85">
                        <w:pPr>
                          <w:jc w:val="center"/>
                          <w:rPr>
                            <w:sz w:val="16"/>
                            <w:szCs w:val="16"/>
                          </w:rPr>
                        </w:pPr>
                        <w:r>
                          <w:rPr>
                            <w:rFonts w:hint="eastAsia"/>
                            <w:sz w:val="16"/>
                            <w:szCs w:val="16"/>
                          </w:rPr>
                          <w:t>配料门</w:t>
                        </w:r>
                      </w:p>
                    </w:txbxContent>
                  </v:textbox>
                </v:rect>
              </w:pict>
            </w:r>
            <w:r>
              <w:rPr>
                <w:rFonts w:ascii="Times New Roman" w:hAnsi="Times New Roman" w:cs="Times New Roman"/>
                <w:b/>
                <w:color w:val="auto"/>
                <w:sz w:val="24"/>
                <w:u w:val="none" w:color="auto"/>
              </w:rPr>
              <w:pict>
                <v:rect id="_x0000_s2143" o:spid="_x0000_s2143" o:spt="1" style="position:absolute;left:0pt;margin-left:271.9pt;margin-top:77.9pt;height:20.15pt;width:36.25pt;z-index:251724800;mso-width-relative:page;mso-height-relative:page;" coordsize="21600,21600">
                  <v:path/>
                  <v:fill focussize="0,0"/>
                  <v:stroke/>
                  <v:imagedata o:title=""/>
                  <o:lock v:ext="edit"/>
                  <v:textbox>
                    <w:txbxContent>
                      <w:p w14:paraId="1DE3ADDE">
                        <w:pPr>
                          <w:jc w:val="center"/>
                        </w:pPr>
                        <w:r>
                          <w:rPr>
                            <w:rFonts w:hint="eastAsia"/>
                          </w:rPr>
                          <w:t>计量</w:t>
                        </w:r>
                      </w:p>
                    </w:txbxContent>
                  </v:textbox>
                </v:rect>
              </w:pict>
            </w:r>
            <w:r>
              <w:rPr>
                <w:rFonts w:ascii="Times New Roman" w:hAnsi="Times New Roman" w:cs="Times New Roman"/>
                <w:b/>
                <w:color w:val="auto"/>
                <w:sz w:val="24"/>
                <w:u w:val="none" w:color="auto"/>
              </w:rPr>
              <w:pict>
                <v:rect id="_x0000_s2144" o:spid="_x0000_s2144" o:spt="1" style="position:absolute;left:0pt;margin-left:277.1pt;margin-top:37.6pt;height:20.15pt;width:36.25pt;z-index:251723776;mso-width-relative:page;mso-height-relative:page;" coordsize="21600,21600">
                  <v:path/>
                  <v:fill focussize="0,0"/>
                  <v:stroke/>
                  <v:imagedata o:title=""/>
                  <o:lock v:ext="edit"/>
                  <v:textbox>
                    <w:txbxContent>
                      <w:p w14:paraId="0D9F2C34">
                        <w:pPr>
                          <w:jc w:val="center"/>
                        </w:pPr>
                        <w:r>
                          <w:rPr>
                            <w:rFonts w:hint="eastAsia"/>
                          </w:rPr>
                          <w:t>筒仓</w:t>
                        </w:r>
                      </w:p>
                    </w:txbxContent>
                  </v:textbox>
                </v:rect>
              </w:pict>
            </w:r>
            <w:r>
              <w:rPr>
                <w:rFonts w:ascii="Times New Roman" w:hAnsi="Times New Roman" w:cs="Times New Roman"/>
                <w:b/>
                <w:color w:val="auto"/>
                <w:sz w:val="24"/>
                <w:u w:val="none" w:color="auto"/>
              </w:rPr>
              <w:pict>
                <v:shape id="_x0000_s2145" o:spid="_x0000_s2145" o:spt="32" type="#_x0000_t32" style="position:absolute;left:0pt;margin-left:295.1pt;margin-top:16.85pt;height:20.75pt;width:0pt;z-index:25172275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46" o:spid="_x0000_s2146" o:spt="1" style="position:absolute;left:0pt;margin-left:268.05pt;margin-top:0.2pt;height:20.15pt;width:58.75pt;z-index:251721728;mso-width-relative:page;mso-height-relative:page;" filled="f" stroked="f" coordsize="21600,21600">
                  <v:path/>
                  <v:fill on="f" focussize="0,0"/>
                  <v:stroke on="f"/>
                  <v:imagedata o:title=""/>
                  <o:lock v:ext="edit"/>
                  <v:textbox>
                    <w:txbxContent>
                      <w:p w14:paraId="195E6AB1">
                        <w:pPr>
                          <w:jc w:val="center"/>
                        </w:pPr>
                        <w:r>
                          <w:rPr>
                            <w:rFonts w:hint="eastAsia"/>
                          </w:rPr>
                          <w:t>膨胀剂</w:t>
                        </w:r>
                      </w:p>
                    </w:txbxContent>
                  </v:textbox>
                </v:rect>
              </w:pict>
            </w:r>
            <w:r>
              <w:rPr>
                <w:rFonts w:ascii="Times New Roman" w:hAnsi="Times New Roman" w:cs="Times New Roman"/>
                <w:b/>
                <w:color w:val="auto"/>
                <w:sz w:val="24"/>
                <w:u w:val="none" w:color="auto"/>
              </w:rPr>
              <w:pict>
                <v:rect id="_x0000_s2148" o:spid="_x0000_s2148" o:spt="1" style="position:absolute;left:0pt;margin-left:124.65pt;margin-top:0.2pt;height:20.15pt;width:46.6pt;z-index:251669504;mso-width-relative:page;mso-height-relative:page;" filled="f" stroked="f" coordsize="21600,21600">
                  <v:path/>
                  <v:fill on="f" focussize="0,0"/>
                  <v:stroke on="f"/>
                  <v:imagedata o:title=""/>
                  <o:lock v:ext="edit"/>
                  <v:textbox>
                    <w:txbxContent>
                      <w:p w14:paraId="643ED3B8">
                        <w:pPr>
                          <w:jc w:val="center"/>
                        </w:pPr>
                        <w:r>
                          <w:rPr>
                            <w:rFonts w:hint="eastAsia"/>
                          </w:rPr>
                          <w:t>矿粉</w:t>
                        </w:r>
                      </w:p>
                    </w:txbxContent>
                  </v:textbox>
                </v:rect>
              </w:pict>
            </w:r>
            <w:r>
              <w:rPr>
                <w:rFonts w:ascii="Times New Roman" w:hAnsi="Times New Roman" w:cs="Times New Roman"/>
                <w:b/>
                <w:color w:val="auto"/>
                <w:sz w:val="24"/>
                <w:u w:val="none" w:color="auto"/>
              </w:rPr>
              <w:pict>
                <v:rect id="_x0000_s2149" o:spid="_x0000_s2149" o:spt="1" style="position:absolute;left:0pt;margin-left:61.3pt;margin-top:0.2pt;height:20.15pt;width:58.75pt;z-index:251668480;mso-width-relative:page;mso-height-relative:page;" filled="f" stroked="f" coordsize="21600,21600">
                  <v:path/>
                  <v:fill on="f" focussize="0,0"/>
                  <v:stroke on="f"/>
                  <v:imagedata o:title=""/>
                  <o:lock v:ext="edit"/>
                  <v:textbox>
                    <w:txbxContent>
                      <w:p w14:paraId="1C0737AD">
                        <w:pPr>
                          <w:jc w:val="center"/>
                        </w:pPr>
                        <w:r>
                          <w:rPr>
                            <w:rFonts w:hint="eastAsia"/>
                          </w:rPr>
                          <w:t>散装水泥</w:t>
                        </w:r>
                      </w:p>
                    </w:txbxContent>
                  </v:textbox>
                </v:rect>
              </w:pict>
            </w:r>
            <w:r>
              <w:rPr>
                <w:rFonts w:ascii="Times New Roman" w:hAnsi="Times New Roman" w:cs="Times New Roman"/>
                <w:b/>
                <w:color w:val="auto"/>
                <w:sz w:val="24"/>
                <w:u w:val="none" w:color="auto"/>
              </w:rPr>
              <w:pict>
                <v:rect id="_x0000_s2150" o:spid="_x0000_s2150" o:spt="1" style="position:absolute;left:0pt;margin-left:3.05pt;margin-top:0.2pt;height:20.15pt;width:48.4pt;z-index:251667456;mso-width-relative:page;mso-height-relative:page;" filled="f" stroked="f" coordsize="21600,21600">
                  <v:path/>
                  <v:fill on="f" focussize="0,0"/>
                  <v:stroke on="f"/>
                  <v:imagedata o:title=""/>
                  <o:lock v:ext="edit"/>
                  <v:textbox>
                    <w:txbxContent>
                      <w:p w14:paraId="0EC766C4">
                        <w:pPr>
                          <w:jc w:val="center"/>
                        </w:pPr>
                        <w:r>
                          <w:rPr>
                            <w:rFonts w:hint="eastAsia"/>
                          </w:rPr>
                          <w:t>粉煤灰</w:t>
                        </w:r>
                      </w:p>
                    </w:txbxContent>
                  </v:textbox>
                </v:rect>
              </w:pict>
            </w:r>
          </w:p>
          <w:p w14:paraId="1EED4BA4">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shape id="_x0000_s2152" o:spid="_x0000_s2152" o:spt="32" type="#_x0000_t32" style="position:absolute;left:0pt;margin-left:391.15pt;margin-top:4.8pt;height:20.75pt;width:0pt;z-index:25167769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53" o:spid="_x0000_s2153" o:spt="1" style="position:absolute;left:0pt;margin-left:130.25pt;margin-top:25.55pt;height:20.15pt;width:36.25pt;z-index:251676672;mso-width-relative:page;mso-height-relative:page;" coordsize="21600,21600">
                  <v:path/>
                  <v:fill focussize="0,0"/>
                  <v:stroke/>
                  <v:imagedata o:title=""/>
                  <o:lock v:ext="edit"/>
                  <v:textbox>
                    <w:txbxContent>
                      <w:p w14:paraId="7F607F38">
                        <w:pPr>
                          <w:jc w:val="center"/>
                        </w:pPr>
                        <w:r>
                          <w:rPr>
                            <w:rFonts w:hint="eastAsia"/>
                          </w:rPr>
                          <w:t>筒仓</w:t>
                        </w:r>
                      </w:p>
                    </w:txbxContent>
                  </v:textbox>
                </v:rect>
              </w:pict>
            </w:r>
            <w:r>
              <w:rPr>
                <w:rFonts w:ascii="Times New Roman" w:hAnsi="Times New Roman" w:cs="Times New Roman"/>
                <w:b/>
                <w:color w:val="auto"/>
                <w:sz w:val="24"/>
                <w:u w:val="none" w:color="auto"/>
              </w:rPr>
              <w:pict>
                <v:shape id="_x0000_s2154" o:spid="_x0000_s2154" o:spt="32" type="#_x0000_t32" style="position:absolute;left:0pt;margin-left:148.25pt;margin-top:4.8pt;height:20.75pt;width:0pt;z-index:25167564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55" o:spid="_x0000_s2155" o:spt="1" style="position:absolute;left:0pt;margin-left:70.35pt;margin-top:25.55pt;height:20.15pt;width:36.25pt;z-index:251674624;mso-width-relative:page;mso-height-relative:page;" coordsize="21600,21600">
                  <v:path/>
                  <v:fill focussize="0,0"/>
                  <v:stroke/>
                  <v:imagedata o:title=""/>
                  <o:lock v:ext="edit"/>
                  <v:textbox>
                    <w:txbxContent>
                      <w:p w14:paraId="40C52CD9">
                        <w:pPr>
                          <w:jc w:val="center"/>
                        </w:pPr>
                        <w:r>
                          <w:rPr>
                            <w:rFonts w:hint="eastAsia"/>
                          </w:rPr>
                          <w:t>筒仓</w:t>
                        </w:r>
                      </w:p>
                    </w:txbxContent>
                  </v:textbox>
                </v:rect>
              </w:pict>
            </w:r>
            <w:r>
              <w:rPr>
                <w:rFonts w:ascii="Times New Roman" w:hAnsi="Times New Roman" w:cs="Times New Roman"/>
                <w:b/>
                <w:color w:val="auto"/>
                <w:sz w:val="24"/>
                <w:u w:val="none" w:color="auto"/>
              </w:rPr>
              <w:pict>
                <v:shape id="_x0000_s2156" o:spid="_x0000_s2156" o:spt="32" type="#_x0000_t32" style="position:absolute;left:0pt;margin-left:88.35pt;margin-top:4.8pt;height:20.75pt;width:0pt;z-index:25167360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shape id="_x0000_s2157" o:spid="_x0000_s2157" o:spt="32" type="#_x0000_t32" style="position:absolute;left:0pt;margin-left:28.45pt;margin-top:4.8pt;height:20.75pt;width:0pt;z-index:251671552;mso-width-relative:page;mso-height-relative:page;" o:connectortype="straight" filled="f" coordsize="21600,21600">
                  <v:path arrowok="t"/>
                  <v:fill on="f" focussize="0,0"/>
                  <v:stroke endarrow="block"/>
                  <v:imagedata o:title=""/>
                  <o:lock v:ext="edit"/>
                </v:shape>
              </w:pict>
            </w:r>
          </w:p>
          <w:p w14:paraId="5668B3D1">
            <w:pPr>
              <w:adjustRightInd w:val="0"/>
              <w:snapToGrid w:val="0"/>
              <w:jc w:val="center"/>
              <w:rPr>
                <w:rFonts w:ascii="Times New Roman" w:hAnsi="Times New Roman" w:eastAsia="宋体" w:cs="Times New Roman"/>
                <w:color w:val="auto"/>
                <w:szCs w:val="24"/>
                <w:u w:val="none" w:color="auto"/>
              </w:rPr>
            </w:pPr>
            <w:r>
              <w:rPr>
                <w:rFonts w:ascii="Times New Roman" w:hAnsi="Times New Roman" w:eastAsia="宋体" w:cs="Times New Roman"/>
                <w:color w:val="auto"/>
                <w:szCs w:val="24"/>
                <w:u w:val="none" w:color="auto"/>
              </w:rPr>
              <w:pict>
                <v:rect id="_x0000_s2158" o:spid="_x0000_s2158" o:spt="1" style="position:absolute;left:0pt;margin-left:3.05pt;margin-top:8.85pt;height:37.25pt;width:316.25pt;z-index:251701248;mso-width-relative:page;mso-height-relative:page;" filled="f" coordsize="21600,21600">
                  <v:path/>
                  <v:fill on="f" focussize="0,0"/>
                  <v:stroke dashstyle="dash"/>
                  <v:imagedata o:title=""/>
                  <o:lock v:ext="edit"/>
                </v:rect>
              </w:pict>
            </w:r>
          </w:p>
          <w:p w14:paraId="7021CC15">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151" o:spid="_x0000_s2151" o:spt="1" style="position:absolute;left:0pt;margin-left:373.9pt;margin-top:1.4pt;height:20.15pt;width:36.25pt;z-index:251678720;mso-width-relative:page;mso-height-relative:page;" coordsize="21600,21600">
                  <v:path/>
                  <v:fill focussize="0,0"/>
                  <v:stroke/>
                  <v:imagedata o:title=""/>
                  <o:lock v:ext="edit"/>
                  <v:textbox>
                    <w:txbxContent>
                      <w:p w14:paraId="05209718">
                        <w:pPr>
                          <w:jc w:val="center"/>
                        </w:pPr>
                        <w:r>
                          <w:rPr>
                            <w:rFonts w:hint="eastAsia"/>
                          </w:rPr>
                          <w:t>水池</w:t>
                        </w:r>
                      </w:p>
                    </w:txbxContent>
                  </v:textbox>
                </v:rect>
              </w:pict>
            </w:r>
            <w:r>
              <w:rPr>
                <w:rFonts w:ascii="Times New Roman" w:hAnsi="Times New Roman" w:cs="Times New Roman"/>
                <w:b/>
                <w:color w:val="auto"/>
                <w:sz w:val="24"/>
                <w:u w:val="none" w:color="auto"/>
              </w:rPr>
              <w:pict>
                <v:rect id="_x0000_s2159" o:spid="_x0000_s2159" o:spt="1" style="position:absolute;left:0pt;margin-left:10.45pt;margin-top:1.4pt;height:20.15pt;width:36.25pt;z-index:251672576;mso-width-relative:page;mso-height-relative:page;" coordsize="21600,21600">
                  <v:path/>
                  <v:fill focussize="0,0"/>
                  <v:stroke/>
                  <v:imagedata o:title=""/>
                  <o:lock v:ext="edit"/>
                  <v:textbox>
                    <w:txbxContent>
                      <w:p w14:paraId="2E6C6A67">
                        <w:pPr>
                          <w:jc w:val="center"/>
                        </w:pPr>
                        <w:r>
                          <w:rPr>
                            <w:rFonts w:hint="eastAsia"/>
                          </w:rPr>
                          <w:t>筒仓</w:t>
                        </w:r>
                      </w:p>
                    </w:txbxContent>
                  </v:textbox>
                </v:rect>
              </w:pict>
            </w:r>
          </w:p>
          <w:p w14:paraId="75FF8DE7">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165" o:spid="_x0000_s2165" o:spt="1" style="position:absolute;left:0pt;margin-left:7.45pt;margin-top:8.9pt;height:20.15pt;width:50.1pt;z-index:251682816;mso-width-relative:page;mso-height-relative:page;" filled="f" stroked="f" coordsize="21600,21600">
                  <v:path/>
                  <v:fill on="f" focussize="0,0"/>
                  <v:stroke on="f"/>
                  <v:imagedata o:title=""/>
                  <o:lock v:ext="edit"/>
                  <v:textbox>
                    <w:txbxContent>
                      <w:p w14:paraId="050EE0B0">
                        <w:pPr>
                          <w:jc w:val="center"/>
                          <w:rPr>
                            <w:sz w:val="16"/>
                            <w:szCs w:val="16"/>
                          </w:rPr>
                        </w:pPr>
                        <w:r>
                          <w:rPr>
                            <w:rFonts w:hint="eastAsia"/>
                            <w:sz w:val="16"/>
                            <w:szCs w:val="16"/>
                          </w:rPr>
                          <w:t>配料门</w:t>
                        </w:r>
                      </w:p>
                    </w:txbxContent>
                  </v:textbox>
                </v:rect>
              </w:pict>
            </w:r>
            <w:r>
              <w:rPr>
                <w:rFonts w:ascii="Times New Roman" w:hAnsi="Times New Roman" w:cs="Times New Roman"/>
                <w:b/>
                <w:color w:val="auto"/>
                <w:sz w:val="24"/>
                <w:u w:val="none" w:color="auto"/>
              </w:rPr>
              <w:pict>
                <v:rect id="_x0000_s2160" o:spid="_x0000_s2160" o:spt="1" style="position:absolute;left:0pt;margin-left:191.3pt;margin-top:8.9pt;height:20.15pt;width:45.3pt;z-index:251727872;mso-width-relative:page;mso-height-relative:page;" filled="f" stroked="f" coordsize="21600,21600">
                  <v:path/>
                  <v:fill on="f" focussize="0,0"/>
                  <v:stroke on="f"/>
                  <v:imagedata o:title=""/>
                  <o:lock v:ext="edit"/>
                  <v:textbox>
                    <w:txbxContent>
                      <w:p w14:paraId="21EB46F1">
                        <w:pPr>
                          <w:jc w:val="center"/>
                          <w:rPr>
                            <w:sz w:val="18"/>
                            <w:szCs w:val="18"/>
                          </w:rPr>
                        </w:pPr>
                        <w:r>
                          <w:rPr>
                            <w:rFonts w:hint="eastAsia"/>
                            <w:sz w:val="16"/>
                            <w:szCs w:val="16"/>
                          </w:rPr>
                          <w:t>配料门</w:t>
                        </w:r>
                      </w:p>
                    </w:txbxContent>
                  </v:textbox>
                </v:rect>
              </w:pict>
            </w:r>
            <w:r>
              <w:rPr>
                <w:rFonts w:ascii="Times New Roman" w:hAnsi="Times New Roman" w:cs="Times New Roman"/>
                <w:b/>
                <w:color w:val="auto"/>
                <w:sz w:val="24"/>
                <w:u w:val="none" w:color="auto"/>
              </w:rPr>
              <w:pict>
                <v:shape id="_x0000_s2161" o:spid="_x0000_s2161" o:spt="32" type="#_x0000_t32" style="position:absolute;left:0pt;margin-left:295.1pt;margin-top:10.2pt;height:20.75pt;width:0pt;z-index:25172684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62" o:spid="_x0000_s2162" o:spt="1" style="position:absolute;left:0pt;margin-left:61.3pt;margin-top:9.5pt;height:20.15pt;width:45.3pt;z-index:251685888;mso-width-relative:page;mso-height-relative:page;" filled="f" stroked="f" coordsize="21600,21600">
                  <v:path/>
                  <v:fill on="f" focussize="0,0"/>
                  <v:stroke on="f"/>
                  <v:imagedata o:title=""/>
                  <o:lock v:ext="edit"/>
                  <v:textbox>
                    <w:txbxContent>
                      <w:p w14:paraId="45D37F74">
                        <w:pPr>
                          <w:jc w:val="center"/>
                          <w:rPr>
                            <w:sz w:val="16"/>
                            <w:szCs w:val="16"/>
                          </w:rPr>
                        </w:pPr>
                        <w:r>
                          <w:rPr>
                            <w:rFonts w:hint="eastAsia"/>
                            <w:sz w:val="16"/>
                            <w:szCs w:val="16"/>
                          </w:rPr>
                          <w:t>配料门</w:t>
                        </w:r>
                      </w:p>
                    </w:txbxContent>
                  </v:textbox>
                </v:rect>
              </w:pict>
            </w:r>
            <w:r>
              <w:rPr>
                <w:rFonts w:ascii="Times New Roman" w:hAnsi="Times New Roman" w:cs="Times New Roman"/>
                <w:b/>
                <w:color w:val="auto"/>
                <w:sz w:val="24"/>
                <w:u w:val="none" w:color="auto"/>
              </w:rPr>
              <w:pict>
                <v:rect id="_x0000_s2163" o:spid="_x0000_s2163" o:spt="1" style="position:absolute;left:0pt;margin-left:369.45pt;margin-top:9.5pt;height:20.15pt;width:50.1pt;z-index:251692032;mso-width-relative:page;mso-height-relative:page;" filled="f" stroked="f" coordsize="21600,21600">
                  <v:path/>
                  <v:fill on="f" focussize="0,0"/>
                  <v:stroke on="f"/>
                  <v:imagedata o:title=""/>
                  <o:lock v:ext="edit"/>
                  <v:textbox>
                    <w:txbxContent>
                      <w:p w14:paraId="77A2F73B">
                        <w:pPr>
                          <w:jc w:val="center"/>
                          <w:rPr>
                            <w:sz w:val="16"/>
                            <w:szCs w:val="16"/>
                          </w:rPr>
                        </w:pPr>
                        <w:r>
                          <w:rPr>
                            <w:rFonts w:hint="eastAsia"/>
                            <w:sz w:val="16"/>
                            <w:szCs w:val="16"/>
                          </w:rPr>
                          <w:t>泵</w:t>
                        </w:r>
                      </w:p>
                    </w:txbxContent>
                  </v:textbox>
                </v:rect>
              </w:pict>
            </w:r>
            <w:r>
              <w:rPr>
                <w:rFonts w:ascii="Times New Roman" w:hAnsi="Times New Roman" w:cs="Times New Roman"/>
                <w:b/>
                <w:color w:val="auto"/>
                <w:sz w:val="24"/>
                <w:u w:val="none" w:color="auto"/>
              </w:rPr>
              <w:pict>
                <v:rect id="_x0000_s2164" o:spid="_x0000_s2164" o:spt="1" style="position:absolute;left:0pt;margin-left:124.65pt;margin-top:8.9pt;height:20.15pt;width:50.1pt;z-index:251688960;mso-width-relative:page;mso-height-relative:page;" filled="f" stroked="f" coordsize="21600,21600">
                  <v:path/>
                  <v:fill on="f" focussize="0,0"/>
                  <v:stroke on="f"/>
                  <v:imagedata o:title=""/>
                  <o:lock v:ext="edit"/>
                  <v:textbox>
                    <w:txbxContent>
                      <w:p w14:paraId="1B9606C4">
                        <w:pPr>
                          <w:jc w:val="center"/>
                          <w:rPr>
                            <w:sz w:val="16"/>
                            <w:szCs w:val="16"/>
                          </w:rPr>
                        </w:pPr>
                        <w:r>
                          <w:rPr>
                            <w:rFonts w:hint="eastAsia"/>
                            <w:sz w:val="16"/>
                            <w:szCs w:val="16"/>
                          </w:rPr>
                          <w:t>配料门</w:t>
                        </w:r>
                      </w:p>
                    </w:txbxContent>
                  </v:textbox>
                </v:rect>
              </w:pict>
            </w:r>
            <w:r>
              <w:rPr>
                <w:rFonts w:ascii="Times New Roman" w:hAnsi="Times New Roman" w:cs="Times New Roman"/>
                <w:b/>
                <w:color w:val="auto"/>
                <w:sz w:val="24"/>
                <w:u w:val="none" w:color="auto"/>
              </w:rPr>
              <w:pict>
                <v:rect id="_x0000_s2166" o:spid="_x0000_s2166" o:spt="1" style="position:absolute;left:0pt;margin-left:373.45pt;margin-top:29.65pt;height:20.15pt;width:36.25pt;z-index:251691008;mso-width-relative:page;mso-height-relative:page;" coordsize="21600,21600">
                  <v:path/>
                  <v:fill focussize="0,0"/>
                  <v:stroke/>
                  <v:imagedata o:title=""/>
                  <o:lock v:ext="edit"/>
                  <v:textbox>
                    <w:txbxContent>
                      <w:p w14:paraId="62D1F914">
                        <w:pPr>
                          <w:jc w:val="center"/>
                        </w:pPr>
                        <w:r>
                          <w:rPr>
                            <w:rFonts w:hint="eastAsia"/>
                          </w:rPr>
                          <w:t>计量</w:t>
                        </w:r>
                      </w:p>
                    </w:txbxContent>
                  </v:textbox>
                </v:rect>
              </w:pict>
            </w:r>
            <w:r>
              <w:rPr>
                <w:rFonts w:ascii="Times New Roman" w:hAnsi="Times New Roman" w:cs="Times New Roman"/>
                <w:b/>
                <w:color w:val="auto"/>
                <w:sz w:val="24"/>
                <w:u w:val="none" w:color="auto"/>
              </w:rPr>
              <w:pict>
                <v:shape id="_x0000_s2167" o:spid="_x0000_s2167" o:spt="32" type="#_x0000_t32" style="position:absolute;left:0pt;margin-left:391.45pt;margin-top:8.9pt;height:20.75pt;width:0pt;z-index:25168998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68" o:spid="_x0000_s2168" o:spt="1" style="position:absolute;left:0pt;margin-left:130.25pt;margin-top:29.65pt;height:20.15pt;width:36.25pt;z-index:251687936;mso-width-relative:page;mso-height-relative:page;" coordsize="21600,21600">
                  <v:path/>
                  <v:fill focussize="0,0"/>
                  <v:stroke/>
                  <v:imagedata o:title=""/>
                  <o:lock v:ext="edit"/>
                  <v:textbox>
                    <w:txbxContent>
                      <w:p w14:paraId="23B41809">
                        <w:pPr>
                          <w:jc w:val="center"/>
                        </w:pPr>
                        <w:r>
                          <w:rPr>
                            <w:rFonts w:hint="eastAsia"/>
                          </w:rPr>
                          <w:t>计量</w:t>
                        </w:r>
                      </w:p>
                    </w:txbxContent>
                  </v:textbox>
                </v:rect>
              </w:pict>
            </w:r>
            <w:r>
              <w:rPr>
                <w:rFonts w:ascii="Times New Roman" w:hAnsi="Times New Roman" w:cs="Times New Roman"/>
                <w:b/>
                <w:color w:val="auto"/>
                <w:sz w:val="24"/>
                <w:u w:val="none" w:color="auto"/>
              </w:rPr>
              <w:pict>
                <v:shape id="_x0000_s2169" o:spid="_x0000_s2169" o:spt="32" type="#_x0000_t32" style="position:absolute;left:0pt;margin-left:148.25pt;margin-top:8.9pt;height:20.75pt;width:0pt;z-index:25168691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70" o:spid="_x0000_s2170" o:spt="1" style="position:absolute;left:0pt;margin-left:65.15pt;margin-top:29.65pt;height:20.15pt;width:36.25pt;z-index:251684864;mso-width-relative:page;mso-height-relative:page;" coordsize="21600,21600">
                  <v:path/>
                  <v:fill focussize="0,0"/>
                  <v:stroke/>
                  <v:imagedata o:title=""/>
                  <o:lock v:ext="edit"/>
                  <v:textbox>
                    <w:txbxContent>
                      <w:p w14:paraId="496F8D35">
                        <w:pPr>
                          <w:jc w:val="center"/>
                        </w:pPr>
                        <w:r>
                          <w:rPr>
                            <w:rFonts w:hint="eastAsia"/>
                          </w:rPr>
                          <w:t>计量</w:t>
                        </w:r>
                      </w:p>
                    </w:txbxContent>
                  </v:textbox>
                </v:rect>
              </w:pict>
            </w:r>
            <w:r>
              <w:rPr>
                <w:rFonts w:ascii="Times New Roman" w:hAnsi="Times New Roman" w:cs="Times New Roman"/>
                <w:b/>
                <w:color w:val="auto"/>
                <w:sz w:val="24"/>
                <w:u w:val="none" w:color="auto"/>
              </w:rPr>
              <w:pict>
                <v:shape id="_x0000_s2171" o:spid="_x0000_s2171" o:spt="32" type="#_x0000_t32" style="position:absolute;left:0pt;margin-left:83.15pt;margin-top:8.9pt;height:20.75pt;width:0pt;z-index:25168384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72" o:spid="_x0000_s2172" o:spt="1" style="position:absolute;left:0pt;margin-left:10.45pt;margin-top:29.65pt;height:20.15pt;width:36.25pt;z-index:251681792;mso-width-relative:page;mso-height-relative:page;" coordsize="21600,21600">
                  <v:path/>
                  <v:fill focussize="0,0"/>
                  <v:stroke/>
                  <v:imagedata o:title=""/>
                  <o:lock v:ext="edit"/>
                  <v:textbox>
                    <w:txbxContent>
                      <w:p w14:paraId="073277D6">
                        <w:pPr>
                          <w:jc w:val="center"/>
                        </w:pPr>
                        <w:r>
                          <w:rPr>
                            <w:rFonts w:hint="eastAsia"/>
                          </w:rPr>
                          <w:t>计量</w:t>
                        </w:r>
                      </w:p>
                    </w:txbxContent>
                  </v:textbox>
                </v:rect>
              </w:pict>
            </w:r>
            <w:r>
              <w:rPr>
                <w:rFonts w:ascii="Times New Roman" w:hAnsi="Times New Roman" w:cs="Times New Roman"/>
                <w:b/>
                <w:color w:val="auto"/>
                <w:sz w:val="24"/>
                <w:u w:val="none" w:color="auto"/>
              </w:rPr>
              <w:pict>
                <v:shape id="_x0000_s2173" o:spid="_x0000_s2173" o:spt="32" type="#_x0000_t32" style="position:absolute;left:0pt;margin-left:28.45pt;margin-top:8.9pt;height:20.75pt;width:0pt;z-index:251680768;mso-width-relative:page;mso-height-relative:page;" o:connectortype="straight" filled="f" coordsize="21600,21600">
                  <v:path arrowok="t"/>
                  <v:fill on="f" focussize="0,0"/>
                  <v:stroke endarrow="block"/>
                  <v:imagedata o:title=""/>
                  <o:lock v:ext="edit"/>
                </v:shape>
              </w:pict>
            </w:r>
          </w:p>
          <w:p w14:paraId="3AEA87F0">
            <w:pPr>
              <w:adjustRightInd w:val="0"/>
              <w:snapToGrid w:val="0"/>
              <w:jc w:val="center"/>
              <w:rPr>
                <w:rFonts w:ascii="Times New Roman" w:hAnsi="Times New Roman" w:eastAsia="宋体" w:cs="Times New Roman"/>
                <w:color w:val="auto"/>
                <w:szCs w:val="24"/>
                <w:u w:val="none" w:color="auto"/>
              </w:rPr>
            </w:pPr>
          </w:p>
          <w:p w14:paraId="0B641413">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174" o:spid="_x0000_s2174" o:spt="1" style="position:absolute;left:0pt;margin-left:184.5pt;margin-top:5.5pt;height:20.15pt;width:58.75pt;z-index:251666432;mso-width-relative:page;mso-height-relative:page;" coordsize="21600,21600">
                  <v:path/>
                  <v:fill focussize="0,0"/>
                  <v:stroke/>
                  <v:imagedata o:title=""/>
                  <o:lock v:ext="edit"/>
                  <v:textbox>
                    <w:txbxContent>
                      <w:p w14:paraId="4501C528">
                        <w:pPr>
                          <w:jc w:val="center"/>
                        </w:pPr>
                        <w:r>
                          <w:rPr>
                            <w:rFonts w:hint="eastAsia"/>
                          </w:rPr>
                          <w:t>计量</w:t>
                        </w:r>
                      </w:p>
                    </w:txbxContent>
                  </v:textbox>
                </v:rect>
              </w:pict>
            </w:r>
          </w:p>
          <w:p w14:paraId="2C738CED">
            <w:pPr>
              <w:adjustRightInd w:val="0"/>
              <w:snapToGrid w:val="0"/>
              <w:jc w:val="center"/>
              <w:rPr>
                <w:rFonts w:ascii="Times New Roman" w:hAnsi="Times New Roman" w:eastAsia="宋体" w:cs="Times New Roman"/>
                <w:color w:val="auto"/>
                <w:szCs w:val="24"/>
                <w:u w:val="none" w:color="auto"/>
              </w:rPr>
            </w:pPr>
          </w:p>
          <w:p w14:paraId="27D8BA86">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177" o:spid="_x0000_s2177" o:spt="1" style="position:absolute;left:0pt;margin-left:363.45pt;margin-top:1.5pt;height:20.15pt;width:45.3pt;z-index:251719680;mso-width-relative:page;mso-height-relative:page;" filled="f" stroked="f" coordsize="21600,21600">
                  <v:path/>
                  <v:fill on="f" focussize="0,0"/>
                  <v:stroke on="f"/>
                  <v:imagedata o:title=""/>
                  <o:lock v:ext="edit"/>
                  <v:textbox>
                    <w:txbxContent>
                      <w:p w14:paraId="5C26661F">
                        <w:pPr>
                          <w:jc w:val="center"/>
                          <w:rPr>
                            <w:sz w:val="16"/>
                            <w:szCs w:val="16"/>
                          </w:rPr>
                        </w:pPr>
                        <w:r>
                          <w:rPr>
                            <w:rFonts w:hint="eastAsia"/>
                            <w:sz w:val="16"/>
                            <w:szCs w:val="16"/>
                          </w:rPr>
                          <w:t>泵</w:t>
                        </w:r>
                      </w:p>
                    </w:txbxContent>
                  </v:textbox>
                </v:rect>
              </w:pict>
            </w:r>
            <w:r>
              <w:rPr>
                <w:rFonts w:ascii="Times New Roman" w:hAnsi="Times New Roman" w:cs="Times New Roman"/>
                <w:b/>
                <w:color w:val="auto"/>
                <w:sz w:val="24"/>
                <w:u w:val="none" w:color="auto"/>
              </w:rPr>
              <w:pict>
                <v:rect id="_x0000_s2175" o:spid="_x0000_s2175" o:spt="1" style="position:absolute;left:0pt;margin-left:1.4pt;margin-top:1.5pt;height:20.15pt;width:45.3pt;z-index:251714560;mso-width-relative:page;mso-height-relative:page;" filled="f" stroked="f" coordsize="21600,21600">
                  <v:path/>
                  <v:fill on="f" focussize="0,0"/>
                  <v:stroke on="f"/>
                  <v:imagedata o:title=""/>
                  <o:lock v:ext="edit"/>
                  <v:textbox>
                    <w:txbxContent>
                      <w:p w14:paraId="142DF4D7">
                        <w:pPr>
                          <w:jc w:val="center"/>
                          <w:rPr>
                            <w:sz w:val="16"/>
                            <w:szCs w:val="16"/>
                          </w:rPr>
                        </w:pPr>
                        <w:r>
                          <w:rPr>
                            <w:rFonts w:hint="eastAsia"/>
                            <w:sz w:val="16"/>
                            <w:szCs w:val="16"/>
                          </w:rPr>
                          <w:t>放料阀</w:t>
                        </w:r>
                      </w:p>
                    </w:txbxContent>
                  </v:textbox>
                </v:rect>
              </w:pict>
            </w:r>
            <w:r>
              <w:rPr>
                <w:rFonts w:ascii="Times New Roman" w:hAnsi="Times New Roman" w:cs="Times New Roman"/>
                <w:b/>
                <w:color w:val="auto"/>
                <w:sz w:val="24"/>
                <w:u w:val="none" w:color="auto"/>
              </w:rPr>
              <w:pict>
                <v:shape id="_x0000_s2176" o:spid="_x0000_s2176" o:spt="32" type="#_x0000_t32" style="position:absolute;left:0pt;margin-left:289.85pt;margin-top:2.1pt;height:20.75pt;width:0pt;z-index:25172889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rect id="_x0000_s2178" o:spid="_x0000_s2178" o:spt="1" style="position:absolute;left:0pt;margin-left:268.05pt;margin-top:2.1pt;height:20.15pt;width:45.3pt;z-index:251718656;mso-width-relative:page;mso-height-relative:page;" filled="f" stroked="f" coordsize="21600,21600">
                  <v:path/>
                  <v:fill on="f" focussize="0,0"/>
                  <v:stroke on="f"/>
                  <v:imagedata o:title=""/>
                  <o:lock v:ext="edit"/>
                  <v:textbox>
                    <w:txbxContent>
                      <w:p w14:paraId="1DF2C6CF">
                        <w:pPr>
                          <w:jc w:val="center"/>
                          <w:rPr>
                            <w:sz w:val="16"/>
                            <w:szCs w:val="16"/>
                          </w:rPr>
                        </w:pPr>
                        <w:r>
                          <w:rPr>
                            <w:rFonts w:hint="eastAsia"/>
                            <w:sz w:val="16"/>
                            <w:szCs w:val="16"/>
                          </w:rPr>
                          <w:t>放料阀</w:t>
                        </w:r>
                      </w:p>
                    </w:txbxContent>
                  </v:textbox>
                </v:rect>
              </w:pict>
            </w:r>
            <w:r>
              <w:rPr>
                <w:rFonts w:ascii="Times New Roman" w:hAnsi="Times New Roman" w:cs="Times New Roman"/>
                <w:b/>
                <w:color w:val="auto"/>
                <w:sz w:val="24"/>
                <w:u w:val="none" w:color="auto"/>
              </w:rPr>
              <w:pict>
                <v:rect id="_x0000_s2179" o:spid="_x0000_s2179" o:spt="1" style="position:absolute;left:0pt;margin-left:191.3pt;margin-top:2.1pt;height:20.15pt;width:45.3pt;z-index:251717632;mso-width-relative:page;mso-height-relative:page;" filled="f" stroked="f" coordsize="21600,21600">
                  <v:path/>
                  <v:fill on="f" focussize="0,0"/>
                  <v:stroke on="f"/>
                  <v:imagedata o:title=""/>
                  <o:lock v:ext="edit"/>
                  <v:textbox>
                    <w:txbxContent>
                      <w:p w14:paraId="60E60968">
                        <w:pPr>
                          <w:jc w:val="center"/>
                          <w:rPr>
                            <w:sz w:val="16"/>
                            <w:szCs w:val="16"/>
                          </w:rPr>
                        </w:pPr>
                        <w:r>
                          <w:rPr>
                            <w:rFonts w:hint="eastAsia"/>
                            <w:sz w:val="16"/>
                            <w:szCs w:val="16"/>
                          </w:rPr>
                          <w:t>放料阀</w:t>
                        </w:r>
                      </w:p>
                    </w:txbxContent>
                  </v:textbox>
                </v:rect>
              </w:pict>
            </w:r>
            <w:r>
              <w:rPr>
                <w:rFonts w:ascii="Times New Roman" w:hAnsi="Times New Roman" w:cs="Times New Roman"/>
                <w:b/>
                <w:color w:val="auto"/>
                <w:sz w:val="24"/>
                <w:u w:val="none" w:color="auto"/>
              </w:rPr>
              <w:pict>
                <v:rect id="_x0000_s2180" o:spid="_x0000_s2180" o:spt="1" style="position:absolute;left:0pt;margin-left:129.45pt;margin-top:2.1pt;height:20.15pt;width:45.3pt;z-index:251716608;mso-width-relative:page;mso-height-relative:page;" filled="f" stroked="f" coordsize="21600,21600">
                  <v:path/>
                  <v:fill on="f" focussize="0,0"/>
                  <v:stroke on="f"/>
                  <v:imagedata o:title=""/>
                  <o:lock v:ext="edit"/>
                  <v:textbox>
                    <w:txbxContent>
                      <w:p w14:paraId="4129BDEC">
                        <w:pPr>
                          <w:jc w:val="center"/>
                          <w:rPr>
                            <w:sz w:val="16"/>
                            <w:szCs w:val="16"/>
                          </w:rPr>
                        </w:pPr>
                        <w:r>
                          <w:rPr>
                            <w:rFonts w:hint="eastAsia"/>
                            <w:sz w:val="16"/>
                            <w:szCs w:val="16"/>
                          </w:rPr>
                          <w:t>放料阀</w:t>
                        </w:r>
                      </w:p>
                    </w:txbxContent>
                  </v:textbox>
                </v:rect>
              </w:pict>
            </w:r>
            <w:r>
              <w:rPr>
                <w:rFonts w:ascii="Times New Roman" w:hAnsi="Times New Roman" w:cs="Times New Roman"/>
                <w:b/>
                <w:color w:val="auto"/>
                <w:sz w:val="24"/>
                <w:u w:val="none" w:color="auto"/>
              </w:rPr>
              <w:pict>
                <v:rect id="_x0000_s2181" o:spid="_x0000_s2181" o:spt="1" style="position:absolute;left:0pt;margin-left:65.15pt;margin-top:2.1pt;height:20.15pt;width:45.3pt;z-index:251715584;mso-width-relative:page;mso-height-relative:page;" filled="f" stroked="f" coordsize="21600,21600">
                  <v:path/>
                  <v:fill on="f" focussize="0,0"/>
                  <v:stroke on="f"/>
                  <v:imagedata o:title=""/>
                  <o:lock v:ext="edit"/>
                  <v:textbox>
                    <w:txbxContent>
                      <w:p w14:paraId="2898E937">
                        <w:pPr>
                          <w:jc w:val="center"/>
                          <w:rPr>
                            <w:sz w:val="16"/>
                            <w:szCs w:val="16"/>
                          </w:rPr>
                        </w:pPr>
                        <w:r>
                          <w:rPr>
                            <w:rFonts w:hint="eastAsia"/>
                            <w:sz w:val="16"/>
                            <w:szCs w:val="16"/>
                          </w:rPr>
                          <w:t>放料阀</w:t>
                        </w:r>
                      </w:p>
                    </w:txbxContent>
                  </v:textbox>
                </v:rect>
              </w:pict>
            </w:r>
            <w:r>
              <w:rPr>
                <w:rFonts w:ascii="Times New Roman" w:hAnsi="Times New Roman" w:cs="Times New Roman"/>
                <w:b/>
                <w:color w:val="auto"/>
                <w:sz w:val="24"/>
                <w:u w:val="none" w:color="auto"/>
              </w:rPr>
              <w:pict>
                <v:shape id="_x0000_s2182" o:spid="_x0000_s2182" o:spt="32" type="#_x0000_t32" style="position:absolute;left:0pt;margin-left:213.3pt;margin-top:1.5pt;height:20.75pt;width:0pt;z-index:25169715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shape id="_x0000_s2183" o:spid="_x0000_s2183" o:spt="32" type="#_x0000_t32" style="position:absolute;left:0pt;margin-left:391.45pt;margin-top:1.5pt;height:20.75pt;width:0pt;z-index:25169612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shape id="_x0000_s2184" o:spid="_x0000_s2184" o:spt="32" type="#_x0000_t32" style="position:absolute;left:0pt;margin-left:148.25pt;margin-top:1.5pt;height:20.75pt;width:0pt;z-index:25169510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shape id="_x0000_s2185" o:spid="_x0000_s2185" o:spt="32" type="#_x0000_t32" style="position:absolute;left:0pt;margin-left:83.15pt;margin-top:1.5pt;height:20.75pt;width:0pt;z-index:25169408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color w:val="auto"/>
                <w:sz w:val="24"/>
                <w:u w:val="none" w:color="auto"/>
              </w:rPr>
              <w:pict>
                <v:shape id="_x0000_s2186" o:spid="_x0000_s2186" o:spt="32" type="#_x0000_t32" style="position:absolute;left:0pt;margin-left:28.45pt;margin-top:1.5pt;height:20.75pt;width:0pt;z-index:251693056;mso-width-relative:page;mso-height-relative:page;" o:connectortype="straight" filled="f" coordsize="21600,21600">
                  <v:path arrowok="t"/>
                  <v:fill on="f" focussize="0,0"/>
                  <v:stroke endarrow="block"/>
                  <v:imagedata o:title=""/>
                  <o:lock v:ext="edit"/>
                </v:shape>
              </w:pict>
            </w:r>
          </w:p>
          <w:p w14:paraId="0D8B02D2">
            <w:pPr>
              <w:adjustRightInd w:val="0"/>
              <w:snapToGrid w:val="0"/>
              <w:jc w:val="center"/>
              <w:rPr>
                <w:rFonts w:ascii="Times New Roman" w:hAnsi="Times New Roman" w:eastAsia="宋体" w:cs="Times New Roman"/>
                <w:color w:val="auto"/>
                <w:szCs w:val="24"/>
                <w:u w:val="none" w:color="auto"/>
              </w:rPr>
            </w:pPr>
            <w:r>
              <w:rPr>
                <w:rFonts w:ascii="Times New Roman" w:hAnsi="Times New Roman" w:eastAsia="宋体" w:cs="Times New Roman"/>
                <w:color w:val="auto"/>
                <w:szCs w:val="24"/>
                <w:u w:val="none" w:color="auto"/>
              </w:rPr>
              <w:pict>
                <v:rect id="_x0000_s2187" o:spid="_x0000_s2187" o:spt="1" style="position:absolute;left:0pt;margin-left:19.3pt;margin-top:10.15pt;height:21.2pt;width:379.7pt;z-index:251698176;mso-width-relative:page;mso-height-relative:page;" filled="f" coordsize="21600,21600">
                  <v:path/>
                  <v:fill on="f" focussize="0,0"/>
                  <v:stroke/>
                  <v:imagedata o:title=""/>
                  <o:lock v:ext="edit"/>
                  <v:textbox>
                    <w:txbxContent>
                      <w:p w14:paraId="51B1BE80">
                        <w:pPr>
                          <w:jc w:val="center"/>
                        </w:pPr>
                        <w:r>
                          <w:rPr>
                            <w:rFonts w:hint="eastAsia"/>
                          </w:rPr>
                          <w:t>搅拌机（微机控制系统）</w:t>
                        </w:r>
                      </w:p>
                    </w:txbxContent>
                  </v:textbox>
                </v:rect>
              </w:pict>
            </w:r>
          </w:p>
          <w:p w14:paraId="21F15CC8">
            <w:pPr>
              <w:adjustRightInd w:val="0"/>
              <w:snapToGrid w:val="0"/>
              <w:jc w:val="center"/>
              <w:rPr>
                <w:rFonts w:ascii="Times New Roman" w:hAnsi="Times New Roman" w:eastAsia="宋体" w:cs="Times New Roman"/>
                <w:color w:val="auto"/>
                <w:szCs w:val="24"/>
                <w:u w:val="none" w:color="auto"/>
              </w:rPr>
            </w:pPr>
          </w:p>
          <w:p w14:paraId="2DFC7D67">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203" o:spid="_x0000_s2203" o:spt="1" style="position:absolute;left:0pt;margin-left:319.35pt;margin-top:12pt;height:20.15pt;width:46.6pt;z-index:251734016;mso-width-relative:page;mso-height-relative:page;" filled="f" stroked="f" coordsize="21600,21600">
                  <v:path/>
                  <v:fill on="f" focussize="0,0"/>
                  <v:stroke on="f"/>
                  <v:imagedata o:title=""/>
                  <o:lock v:ext="edit"/>
                  <v:textbox>
                    <w:txbxContent>
                      <w:p w14:paraId="78791E3E">
                        <w:pPr>
                          <w:jc w:val="center"/>
                          <w:rPr>
                            <w:rFonts w:hint="eastAsia" w:ascii="Times New Roman" w:hAnsi="Times New Roman" w:cs="Times New Roman" w:eastAsiaTheme="minorEastAsia"/>
                            <w:color w:val="auto"/>
                            <w:lang w:val="en-US" w:eastAsia="zh-CN"/>
                          </w:rPr>
                        </w:pPr>
                        <w:r>
                          <w:rPr>
                            <w:rFonts w:ascii="Times New Roman" w:hAnsi="Times New Roman" w:cs="Times New Roman"/>
                            <w:color w:val="auto"/>
                          </w:rPr>
                          <w:t>W</w:t>
                        </w:r>
                        <w:r>
                          <w:rPr>
                            <w:rFonts w:hint="eastAsia" w:ascii="Times New Roman" w:hAnsi="Times New Roman" w:cs="Times New Roman"/>
                            <w:color w:val="auto"/>
                            <w:lang w:val="en-US" w:eastAsia="zh-CN"/>
                          </w:rPr>
                          <w:t>S</w:t>
                        </w:r>
                      </w:p>
                    </w:txbxContent>
                  </v:textbox>
                </v:rect>
              </w:pict>
            </w:r>
            <w:r>
              <w:rPr>
                <w:rFonts w:ascii="Times New Roman" w:hAnsi="Times New Roman" w:cs="Times New Roman"/>
                <w:b/>
                <w:color w:val="auto"/>
                <w:sz w:val="24"/>
                <w:u w:val="none" w:color="auto"/>
              </w:rPr>
              <w:pict>
                <v:shape id="_x0000_s2188" o:spid="_x0000_s2188" o:spt="32" type="#_x0000_t32" style="position:absolute;left:0pt;flip:x;margin-left:106.6pt;margin-top:7.25pt;height:14.95pt;width:18.05pt;z-index:251702272;mso-width-relative:page;mso-height-relative:page;" o:connectortype="straight" filled="f" coordsize="21600,21600">
                  <v:path arrowok="t"/>
                  <v:fill on="f" focussize="0,0"/>
                  <v:stroke dashstyle="dash" endarrow="block"/>
                  <v:imagedata o:title=""/>
                  <o:lock v:ext="edit"/>
                </v:shape>
              </w:pict>
            </w:r>
            <w:r>
              <w:rPr>
                <w:rFonts w:ascii="Times New Roman" w:hAnsi="Times New Roman" w:cs="Times New Roman"/>
                <w:b/>
                <w:color w:val="auto"/>
                <w:sz w:val="24"/>
                <w:u w:val="none" w:color="auto"/>
              </w:rPr>
              <w:pict>
                <v:shape id="_x0000_s2189" o:spid="_x0000_s2189" o:spt="32" type="#_x0000_t32" style="position:absolute;left:0pt;margin-left:213.3pt;margin-top:6.9pt;height:32.3pt;width:0pt;z-index:251699200;mso-width-relative:page;mso-height-relative:page;" o:connectortype="straight" filled="f" coordsize="21600,21600">
                  <v:path arrowok="t"/>
                  <v:fill on="f" focussize="0,0"/>
                  <v:stroke endarrow="block"/>
                  <v:imagedata o:title=""/>
                  <o:lock v:ext="edit"/>
                </v:shape>
              </w:pict>
            </w:r>
          </w:p>
          <w:p w14:paraId="0E15A0AB">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shape id="_x0000_s2202" o:spid="_x0000_s2202" o:spt="32" type="#_x0000_t32" style="position:absolute;left:0pt;flip:y;margin-left:310.6pt;margin-top:10.1pt;height:17pt;width:19.6pt;z-index:251732992;mso-width-relative:page;mso-height-relative:page;" o:connectortype="straight" filled="f" coordsize="21600,21600">
                  <v:path arrowok="t"/>
                  <v:fill on="f" focussize="0,0"/>
                  <v:stroke dashstyle="dash" endarrow="block"/>
                  <v:imagedata o:title=""/>
                  <o:lock v:ext="edit"/>
                </v:shape>
              </w:pict>
            </w:r>
            <w:r>
              <w:rPr>
                <w:rFonts w:ascii="Times New Roman" w:hAnsi="Times New Roman" w:cs="Times New Roman"/>
                <w:b/>
                <w:color w:val="auto"/>
                <w:sz w:val="24"/>
                <w:u w:val="none" w:color="auto"/>
              </w:rPr>
              <w:pict>
                <v:rect id="_x0000_s2190" o:spid="_x0000_s2190" o:spt="1" style="position:absolute;left:0pt;margin-left:9.9pt;margin-top:0.6pt;height:78.8pt;width:69.05pt;z-index:251713536;mso-width-relative:page;mso-height-relative:page;" filled="f" stroked="f" coordsize="21600,21600">
                  <v:path/>
                  <v:fill on="f" focussize="0,0"/>
                  <v:stroke on="f"/>
                  <v:imagedata o:title=""/>
                  <o:lock v:ext="edit"/>
                  <v:textbox>
                    <w:txbxContent>
                      <w:p w14:paraId="3AD415A0">
                        <w:pPr>
                          <w:jc w:val="center"/>
                          <w:rPr>
                            <w:rFonts w:ascii="Times New Roman" w:hAnsi="Times New Roman" w:cs="Times New Roman"/>
                          </w:rPr>
                        </w:pPr>
                        <w:r>
                          <w:rPr>
                            <w:rFonts w:hint="eastAsia" w:ascii="Times New Roman" w:hAnsi="Times New Roman" w:cs="Times New Roman"/>
                          </w:rPr>
                          <w:t>备注：</w:t>
                        </w:r>
                      </w:p>
                      <w:p w14:paraId="2DC8569E">
                        <w:pPr>
                          <w:jc w:val="center"/>
                          <w:rPr>
                            <w:rFonts w:ascii="Times New Roman" w:hAnsi="Times New Roman" w:cs="Times New Roman"/>
                          </w:rPr>
                        </w:pPr>
                        <w:r>
                          <w:rPr>
                            <w:rFonts w:hint="eastAsia" w:ascii="Times New Roman" w:hAnsi="Times New Roman" w:cs="Times New Roman"/>
                          </w:rPr>
                          <w:t>G—废气</w:t>
                        </w:r>
                      </w:p>
                      <w:p w14:paraId="56CC4586">
                        <w:pPr>
                          <w:jc w:val="center"/>
                          <w:rPr>
                            <w:rFonts w:ascii="Times New Roman" w:hAnsi="Times New Roman" w:cs="Times New Roman"/>
                          </w:rPr>
                        </w:pPr>
                        <w:r>
                          <w:rPr>
                            <w:rFonts w:hint="eastAsia" w:ascii="Times New Roman" w:hAnsi="Times New Roman" w:cs="Times New Roman"/>
                          </w:rPr>
                          <w:t>W—废水</w:t>
                        </w:r>
                      </w:p>
                      <w:p w14:paraId="429683C0">
                        <w:pPr>
                          <w:jc w:val="center"/>
                          <w:rPr>
                            <w:rFonts w:ascii="Times New Roman" w:hAnsi="Times New Roman" w:cs="Times New Roman"/>
                          </w:rPr>
                        </w:pPr>
                        <w:r>
                          <w:rPr>
                            <w:rFonts w:hint="eastAsia" w:ascii="Times New Roman" w:hAnsi="Times New Roman" w:cs="Times New Roman"/>
                          </w:rPr>
                          <w:t>Z—噪声</w:t>
                        </w:r>
                      </w:p>
                      <w:p w14:paraId="0F3A8920">
                        <w:pPr>
                          <w:jc w:val="center"/>
                          <w:rPr>
                            <w:rFonts w:ascii="Times New Roman" w:hAnsi="Times New Roman" w:cs="Times New Roman"/>
                          </w:rPr>
                        </w:pPr>
                        <w:r>
                          <w:rPr>
                            <w:rFonts w:hint="eastAsia" w:ascii="Times New Roman" w:hAnsi="Times New Roman" w:cs="Times New Roman"/>
                          </w:rPr>
                          <w:t>S</w:t>
                        </w:r>
                        <w:r>
                          <w:rPr>
                            <w:rFonts w:ascii="Times New Roman" w:hAnsi="Times New Roman" w:cs="Times New Roman"/>
                          </w:rPr>
                          <w:softHyphen/>
                        </w:r>
                        <w:r>
                          <w:rPr>
                            <w:rFonts w:hint="eastAsia" w:ascii="Times New Roman" w:hAnsi="Times New Roman" w:cs="Times New Roman"/>
                          </w:rPr>
                          <w:t>固废</w:t>
                        </w:r>
                      </w:p>
                    </w:txbxContent>
                  </v:textbox>
                </v:rect>
              </w:pict>
            </w:r>
            <w:r>
              <w:rPr>
                <w:rFonts w:ascii="Times New Roman" w:hAnsi="Times New Roman" w:cs="Times New Roman"/>
                <w:b/>
                <w:color w:val="auto"/>
                <w:sz w:val="24"/>
                <w:u w:val="none" w:color="auto"/>
              </w:rPr>
              <w:pict>
                <v:rect id="_x0000_s2191" o:spid="_x0000_s2191" o:spt="1" style="position:absolute;left:0pt;margin-left:256.7pt;margin-top:0.6pt;height:20.15pt;width:46.6pt;z-index:251709440;mso-width-relative:page;mso-height-relative:page;" filled="f" stroked="f" coordsize="21600,21600">
                  <v:path/>
                  <v:fill on="f" focussize="0,0"/>
                  <v:stroke on="f"/>
                  <v:imagedata o:title=""/>
                  <o:lock v:ext="edit"/>
                  <v:textbox>
                    <w:txbxContent>
                      <w:p w14:paraId="16538F9E">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WZ</w:t>
                        </w:r>
                      </w:p>
                    </w:txbxContent>
                  </v:textbox>
                </v:rect>
              </w:pict>
            </w:r>
            <w:r>
              <w:rPr>
                <w:rFonts w:ascii="Times New Roman" w:hAnsi="Times New Roman" w:cs="Times New Roman"/>
                <w:b/>
                <w:color w:val="auto"/>
                <w:sz w:val="24"/>
                <w:u w:val="none" w:color="auto"/>
              </w:rPr>
              <w:pict>
                <v:shape id="_x0000_s2192" o:spid="_x0000_s2192" o:spt="32" type="#_x0000_t32" style="position:absolute;left:0pt;flip:y;margin-left:243.25pt;margin-top:10.1pt;height:17pt;width:19.6pt;z-index:251708416;mso-width-relative:page;mso-height-relative:page;" o:connectortype="straight" filled="f" coordsize="21600,21600">
                  <v:path arrowok="t"/>
                  <v:fill on="f" focussize="0,0"/>
                  <v:stroke dashstyle="dash" endarrow="block"/>
                  <v:imagedata o:title=""/>
                  <o:lock v:ext="edit"/>
                </v:shape>
              </w:pict>
            </w:r>
            <w:r>
              <w:rPr>
                <w:rFonts w:ascii="Times New Roman" w:hAnsi="Times New Roman" w:cs="Times New Roman"/>
                <w:b/>
                <w:color w:val="auto"/>
                <w:sz w:val="24"/>
                <w:u w:val="none" w:color="auto"/>
              </w:rPr>
              <w:pict>
                <v:rect id="_x0000_s2193" o:spid="_x0000_s2193" o:spt="1" style="position:absolute;left:0pt;margin-left:88.35pt;margin-top:10.1pt;height:20.15pt;width:46.6pt;z-index:251703296;mso-width-relative:page;mso-height-relative:page;" filled="f" stroked="f" coordsize="21600,21600">
                  <v:path/>
                  <v:fill on="f" focussize="0,0"/>
                  <v:stroke on="f"/>
                  <v:imagedata o:title=""/>
                  <o:lock v:ext="edit"/>
                  <v:textbox>
                    <w:txbxContent>
                      <w:p w14:paraId="36B49D2E">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WSZ</w:t>
                        </w:r>
                      </w:p>
                    </w:txbxContent>
                  </v:textbox>
                </v:rect>
              </w:pict>
            </w:r>
          </w:p>
          <w:p w14:paraId="11AA4B56">
            <w:pPr>
              <w:adjustRightInd w:val="0"/>
              <w:snapToGrid w:val="0"/>
              <w:jc w:val="center"/>
              <w:rPr>
                <w:rFonts w:ascii="Times New Roman" w:hAnsi="Times New Roman" w:eastAsia="宋体" w:cs="Times New Roman"/>
                <w:color w:val="auto"/>
                <w:szCs w:val="24"/>
                <w:u w:val="none" w:color="auto"/>
              </w:rPr>
            </w:pPr>
          </w:p>
          <w:p w14:paraId="0F3BB0BF">
            <w:pPr>
              <w:adjustRightInd w:val="0"/>
              <w:snapToGrid w:val="0"/>
              <w:jc w:val="center"/>
              <w:rPr>
                <w:rFonts w:ascii="Times New Roman" w:hAnsi="Times New Roman" w:eastAsia="宋体" w:cs="Times New Roman"/>
                <w:color w:val="auto"/>
                <w:szCs w:val="24"/>
                <w:u w:val="none" w:color="auto"/>
              </w:rPr>
            </w:pPr>
            <w:r>
              <w:rPr>
                <w:rFonts w:ascii="Times New Roman" w:hAnsi="Times New Roman" w:cs="Times New Roman"/>
                <w:b/>
                <w:color w:val="auto"/>
                <w:sz w:val="24"/>
                <w:u w:val="none" w:color="auto"/>
              </w:rPr>
              <w:pict>
                <v:rect id="_x0000_s2194" o:spid="_x0000_s2194" o:spt="1" style="position:absolute;left:0pt;margin-left:347.4pt;margin-top:2.95pt;height:20.15pt;width:46.6pt;z-index:251707392;mso-width-relative:page;mso-height-relative:page;" filled="f" stroked="f" coordsize="21600,21600">
                  <v:path/>
                  <v:fill on="f" focussize="0,0"/>
                  <v:stroke on="f"/>
                  <v:imagedata o:title=""/>
                  <o:lock v:ext="edit"/>
                  <v:textbox>
                    <w:txbxContent>
                      <w:p w14:paraId="102A20DF">
                        <w:pPr>
                          <w:jc w:val="center"/>
                          <w:rPr>
                            <w:rFonts w:ascii="Times New Roman" w:hAnsi="Times New Roman" w:cs="Times New Roman"/>
                          </w:rPr>
                        </w:pPr>
                        <w:r>
                          <w:rPr>
                            <w:rFonts w:hint="eastAsia" w:ascii="Times New Roman" w:hAnsi="Times New Roman" w:cs="Times New Roman"/>
                          </w:rPr>
                          <w:t>送工地</w:t>
                        </w:r>
                      </w:p>
                    </w:txbxContent>
                  </v:textbox>
                </v:rect>
              </w:pict>
            </w:r>
            <w:r>
              <w:rPr>
                <w:rFonts w:ascii="Times New Roman" w:hAnsi="Times New Roman" w:cs="Times New Roman"/>
                <w:b/>
                <w:color w:val="auto"/>
                <w:sz w:val="24"/>
                <w:u w:val="none" w:color="auto"/>
              </w:rPr>
              <w:pict>
                <v:rect id="_x0000_s2195" o:spid="_x0000_s2195" o:spt="1" style="position:absolute;left:0pt;margin-left:268.6pt;margin-top:2.35pt;height:20.15pt;width:59.9pt;z-index:251730944;mso-width-relative:page;mso-height-relative:page;" fillcolor="#FFFFFF" filled="t" stroked="t" coordsize="21600,21600">
                  <v:path/>
                  <v:fill on="t" color2="#FFFFFF" focussize="0,0"/>
                  <v:stroke color="#000000" joinstyle="miter"/>
                  <v:imagedata o:title=""/>
                  <o:lock v:ext="edit" aspectratio="f"/>
                  <v:textbox>
                    <w:txbxContent>
                      <w:p w14:paraId="536BD3C1">
                        <w:pPr>
                          <w:jc w:val="center"/>
                          <w:rPr>
                            <w:rFonts w:hint="default" w:eastAsiaTheme="minorEastAsia"/>
                            <w:lang w:val="en-US" w:eastAsia="zh-CN"/>
                          </w:rPr>
                        </w:pPr>
                        <w:r>
                          <w:rPr>
                            <w:rFonts w:hint="eastAsia"/>
                            <w:lang w:val="en-US" w:eastAsia="zh-CN"/>
                          </w:rPr>
                          <w:t>取样试验</w:t>
                        </w:r>
                      </w:p>
                    </w:txbxContent>
                  </v:textbox>
                </v:rect>
              </w:pict>
            </w:r>
            <w:r>
              <w:rPr>
                <w:rFonts w:ascii="Times New Roman" w:hAnsi="Times New Roman" w:cs="Times New Roman"/>
                <w:b/>
                <w:color w:val="auto"/>
                <w:sz w:val="24"/>
                <w:u w:val="none" w:color="auto"/>
              </w:rPr>
              <w:pict>
                <v:rect id="_x0000_s2196" o:spid="_x0000_s2196" o:spt="1" style="position:absolute;left:0pt;margin-left:166.5pt;margin-top:2.95pt;height:20.15pt;width:82.6pt;z-index:251700224;mso-width-relative:page;mso-height-relative:page;" coordsize="21600,21600">
                  <v:path/>
                  <v:fill focussize="0,0"/>
                  <v:stroke/>
                  <v:imagedata o:title=""/>
                  <o:lock v:ext="edit"/>
                  <v:textbox>
                    <w:txbxContent>
                      <w:p w14:paraId="166298FE">
                        <w:pPr>
                          <w:jc w:val="center"/>
                        </w:pPr>
                        <w:r>
                          <w:rPr>
                            <w:rFonts w:hint="eastAsia"/>
                          </w:rPr>
                          <w:t>混凝土搅拌车</w:t>
                        </w:r>
                      </w:p>
                    </w:txbxContent>
                  </v:textbox>
                </v:rect>
              </w:pict>
            </w:r>
          </w:p>
          <w:p w14:paraId="5D1E2D1F">
            <w:pPr>
              <w:adjustRightInd w:val="0"/>
              <w:snapToGrid w:val="0"/>
              <w:jc w:val="center"/>
              <w:rPr>
                <w:rFonts w:ascii="Times New Roman" w:hAnsi="Times New Roman" w:eastAsia="宋体" w:cs="Times New Roman"/>
                <w:color w:val="auto"/>
                <w:szCs w:val="24"/>
                <w:u w:val="none" w:color="auto"/>
              </w:rPr>
            </w:pPr>
            <w:r>
              <w:rPr>
                <w:rFonts w:ascii="Times New Roman" w:hAnsi="Times New Roman" w:eastAsia="宋体" w:cs="Times New Roman"/>
                <w:color w:val="auto"/>
                <w:szCs w:val="24"/>
                <w:u w:val="none" w:color="auto"/>
              </w:rPr>
              <w:pict>
                <v:shape id="_x0000_s2197" o:spid="_x0000_s2197" o:spt="32" type="#_x0000_t32" style="position:absolute;left:0pt;margin-left:329.1pt;margin-top:1.05pt;height:0pt;width:20.1pt;z-index:251731968;mso-width-relative:page;mso-height-relative:page;" o:connectortype="straight" filled="f" coordsize="21600,21600">
                  <v:path arrowok="t"/>
                  <v:fill on="f" focussize="0,0"/>
                  <v:stroke endarrow="block"/>
                  <v:imagedata o:title=""/>
                  <o:lock v:ext="edit"/>
                </v:shape>
              </w:pict>
            </w:r>
            <w:r>
              <w:rPr>
                <w:rFonts w:ascii="Times New Roman" w:hAnsi="Times New Roman" w:eastAsia="宋体" w:cs="Times New Roman"/>
                <w:color w:val="auto"/>
                <w:szCs w:val="24"/>
                <w:u w:val="none" w:color="auto"/>
              </w:rPr>
              <w:pict>
                <v:shape id="_x0000_s2198" o:spid="_x0000_s2198" o:spt="32" type="#_x0000_t32" style="position:absolute;left:0pt;margin-left:249.1pt;margin-top:0.4pt;height:0pt;width:20.1pt;z-index:251706368;mso-width-relative:page;mso-height-relative:page;" o:connectortype="straight" filled="f" coordsize="21600,21600">
                  <v:path arrowok="t"/>
                  <v:fill on="f" focussize="0,0"/>
                  <v:stroke endarrow="block"/>
                  <v:imagedata o:title=""/>
                  <o:lock v:ext="edit"/>
                </v:shape>
              </w:pict>
            </w:r>
          </w:p>
          <w:p w14:paraId="1B827E3C">
            <w:pPr>
              <w:adjustRightInd w:val="0"/>
              <w:snapToGrid w:val="0"/>
              <w:jc w:val="center"/>
              <w:rPr>
                <w:rFonts w:ascii="Times New Roman" w:hAnsi="Times New Roman" w:eastAsia="宋体" w:cs="Times New Roman"/>
                <w:color w:val="auto"/>
                <w:szCs w:val="24"/>
                <w:u w:val="none" w:color="auto"/>
              </w:rPr>
            </w:pPr>
          </w:p>
          <w:p w14:paraId="7396A0A0">
            <w:pPr>
              <w:adjustRightInd w:val="0"/>
              <w:snapToGrid w:val="0"/>
              <w:jc w:val="center"/>
              <w:rPr>
                <w:rFonts w:ascii="Times New Roman" w:hAnsi="Times New Roman" w:cs="Times New Roman"/>
                <w:color w:val="auto"/>
                <w:u w:val="none" w:color="auto"/>
              </w:rPr>
            </w:pPr>
          </w:p>
          <w:p w14:paraId="711C30D7">
            <w:pPr>
              <w:adjustRightInd w:val="0"/>
              <w:snapToGrid w:val="0"/>
              <w:spacing w:line="360" w:lineRule="auto"/>
              <w:ind w:firstLine="482" w:firstLineChars="200"/>
              <w:jc w:val="center"/>
              <w:rPr>
                <w:rFonts w:ascii="Times New Roman" w:hAnsi="Times New Roman" w:cs="Times New Roman"/>
                <w:b/>
                <w:bCs/>
                <w:color w:val="auto"/>
                <w:sz w:val="24"/>
                <w:u w:val="none" w:color="auto"/>
              </w:rPr>
            </w:pPr>
          </w:p>
          <w:p w14:paraId="4C89611E">
            <w:pPr>
              <w:adjustRightInd w:val="0"/>
              <w:snapToGrid w:val="0"/>
              <w:spacing w:line="360" w:lineRule="auto"/>
              <w:ind w:firstLine="482" w:firstLineChars="200"/>
              <w:jc w:val="center"/>
              <w:rPr>
                <w:rFonts w:ascii="Times New Roman" w:hAnsi="Times New Roman" w:cs="Times New Roman"/>
                <w:color w:val="auto"/>
                <w:sz w:val="24"/>
                <w:u w:val="none" w:color="auto"/>
              </w:rPr>
            </w:pPr>
            <w:r>
              <w:rPr>
                <w:rFonts w:ascii="Times New Roman" w:hAnsi="Times New Roman" w:cs="Times New Roman"/>
                <w:b/>
                <w:bCs/>
                <w:color w:val="auto"/>
                <w:sz w:val="24"/>
                <w:u w:val="none" w:color="auto"/>
              </w:rPr>
              <w:t>图2-3  项目商品混凝土生产工艺流程图</w:t>
            </w:r>
          </w:p>
          <w:p w14:paraId="4AB2AE6E">
            <w:pPr>
              <w:adjustRightInd w:val="0"/>
              <w:snapToGrid w:val="0"/>
              <w:spacing w:line="360" w:lineRule="auto"/>
              <w:ind w:firstLine="482" w:firstLineChars="200"/>
              <w:rPr>
                <w:rFonts w:ascii="Times New Roman" w:hAnsi="Times New Roman" w:cs="Times New Roman"/>
                <w:b/>
                <w:color w:val="auto"/>
                <w:sz w:val="24"/>
                <w:u w:val="none" w:color="auto"/>
              </w:rPr>
            </w:pPr>
            <w:r>
              <w:rPr>
                <w:rFonts w:ascii="Times New Roman" w:hAnsi="Times New Roman" w:cs="Times New Roman"/>
                <w:b/>
                <w:color w:val="auto"/>
                <w:sz w:val="24"/>
                <w:u w:val="none" w:color="auto"/>
              </w:rPr>
              <w:t>生产工艺简述：</w:t>
            </w:r>
          </w:p>
          <w:p w14:paraId="5953779B">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lang w:val="en-US" w:eastAsia="zh-CN"/>
              </w:rPr>
              <w:t>1</w:t>
            </w:r>
            <w:r>
              <w:rPr>
                <w:rFonts w:hint="eastAsia" w:ascii="Times New Roman" w:hAnsi="Times New Roman" w:eastAsia="宋体" w:cs="Times New Roman"/>
                <w:color w:val="auto"/>
                <w:sz w:val="24"/>
                <w:u w:val="none" w:color="auto"/>
                <w:lang w:eastAsia="zh-CN"/>
              </w:rPr>
              <w:t>）</w:t>
            </w:r>
            <w:r>
              <w:rPr>
                <w:rFonts w:hint="default" w:ascii="Times New Roman" w:hAnsi="Times New Roman" w:cs="Times New Roman"/>
                <w:color w:val="auto"/>
                <w:sz w:val="24"/>
                <w:u w:val="none" w:color="auto"/>
              </w:rPr>
              <w:t>预选原材料：各原辅材料厂商提供样品，对所提供样品进行预配比试配，测定其强度等性能，选出合格且符合要求的样品，由专人负责原料采购。本工序产生的污染物为粉尘。</w:t>
            </w:r>
          </w:p>
          <w:p w14:paraId="5BD46EF4">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lang w:val="en-US" w:eastAsia="zh-CN"/>
              </w:rPr>
              <w:t>2</w:t>
            </w:r>
            <w:r>
              <w:rPr>
                <w:rFonts w:hint="eastAsia" w:ascii="Times New Roman" w:hAnsi="Times New Roman" w:eastAsia="宋体" w:cs="Times New Roman"/>
                <w:color w:val="auto"/>
                <w:sz w:val="24"/>
                <w:u w:val="none" w:color="auto"/>
                <w:lang w:eastAsia="zh-CN"/>
              </w:rPr>
              <w:t>）</w:t>
            </w:r>
            <w:r>
              <w:rPr>
                <w:rFonts w:hint="default" w:ascii="Times New Roman" w:hAnsi="Times New Roman" w:cs="Times New Roman"/>
                <w:color w:val="auto"/>
                <w:sz w:val="24"/>
                <w:u w:val="none" w:color="auto"/>
              </w:rPr>
              <w:t>检验控制：对采购回来的原材料再次进行质量检验，合格后，将水泥、砂石、粉煤灰、矿粉、膨胀剂（根据混凝土用途需要添加）加入原料筒仓，外加剂进行配制后加入外加剂罐。本工序产生的污染物为粉尘。</w:t>
            </w:r>
          </w:p>
          <w:p w14:paraId="085CCCDB">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lang w:val="en-US" w:eastAsia="zh-CN"/>
              </w:rPr>
              <w:t>3</w:t>
            </w:r>
            <w:r>
              <w:rPr>
                <w:rFonts w:hint="eastAsia" w:ascii="Times New Roman" w:hAnsi="Times New Roman" w:eastAsia="宋体" w:cs="Times New Roman"/>
                <w:color w:val="auto"/>
                <w:sz w:val="24"/>
                <w:u w:val="none" w:color="auto"/>
                <w:lang w:eastAsia="zh-CN"/>
              </w:rPr>
              <w:t>）</w:t>
            </w:r>
            <w:r>
              <w:rPr>
                <w:rFonts w:hint="default" w:ascii="Times New Roman" w:hAnsi="Times New Roman" w:cs="Times New Roman"/>
                <w:color w:val="auto"/>
                <w:sz w:val="24"/>
                <w:u w:val="none" w:color="auto"/>
              </w:rPr>
              <w:t>配料</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搅拌：由计算机进行计量配料，完成后加入搅拌机，并由水泵泵入水进行强制搅拌，每天需停机对搅拌机进行清洗。本工序产生的污染物为粉尘、废水以及噪声。</w:t>
            </w:r>
          </w:p>
          <w:p w14:paraId="3F64459B">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lang w:val="en-US" w:eastAsia="zh-CN"/>
              </w:rPr>
              <w:t>4</w:t>
            </w:r>
            <w:r>
              <w:rPr>
                <w:rFonts w:hint="eastAsia" w:ascii="Times New Roman" w:hAnsi="Times New Roman" w:eastAsia="宋体" w:cs="Times New Roman"/>
                <w:color w:val="auto"/>
                <w:sz w:val="24"/>
                <w:u w:val="none" w:color="auto"/>
                <w:lang w:eastAsia="zh-CN"/>
              </w:rPr>
              <w:t>）</w:t>
            </w:r>
            <w:r>
              <w:rPr>
                <w:rFonts w:hint="default" w:ascii="Times New Roman" w:hAnsi="Times New Roman" w:cs="Times New Roman"/>
                <w:color w:val="auto"/>
                <w:sz w:val="24"/>
                <w:u w:val="none" w:color="auto"/>
              </w:rPr>
              <w:t>装入罐车：搅拌完成后，将产品装入搅拌车，并在出厂检验合格后运输交付客户。本工序产生的污染物为粉尘、噪声，运输过程将产生车辆噪声，扬尘，车辆</w:t>
            </w:r>
            <w:r>
              <w:rPr>
                <w:rFonts w:hint="default" w:ascii="Times New Roman" w:hAnsi="Times New Roman" w:cs="Times New Roman"/>
                <w:color w:val="auto"/>
                <w:sz w:val="24"/>
                <w:u w:val="none" w:color="auto"/>
                <w:lang w:val="en-US" w:eastAsia="zh-CN"/>
              </w:rPr>
              <w:t>冲洗</w:t>
            </w:r>
            <w:r>
              <w:rPr>
                <w:rFonts w:hint="default" w:ascii="Times New Roman" w:hAnsi="Times New Roman" w:cs="Times New Roman"/>
                <w:color w:val="auto"/>
                <w:sz w:val="24"/>
                <w:u w:val="none" w:color="auto"/>
              </w:rPr>
              <w:t>将产生车辆</w:t>
            </w:r>
            <w:r>
              <w:rPr>
                <w:rFonts w:hint="default" w:ascii="Times New Roman" w:hAnsi="Times New Roman" w:cs="Times New Roman"/>
                <w:color w:val="auto"/>
                <w:sz w:val="24"/>
                <w:u w:val="none" w:color="auto"/>
                <w:lang w:val="en-US" w:eastAsia="zh-CN"/>
              </w:rPr>
              <w:t>冲洗</w:t>
            </w:r>
            <w:r>
              <w:rPr>
                <w:rFonts w:hint="default" w:ascii="Times New Roman" w:hAnsi="Times New Roman" w:cs="Times New Roman"/>
                <w:color w:val="auto"/>
                <w:sz w:val="24"/>
                <w:u w:val="none" w:color="auto"/>
              </w:rPr>
              <w:t>废水。</w:t>
            </w:r>
          </w:p>
          <w:p w14:paraId="6DC1059D">
            <w:pPr>
              <w:spacing w:line="360" w:lineRule="auto"/>
              <w:ind w:firstLine="480" w:firstLineChars="200"/>
              <w:rPr>
                <w:rFonts w:hint="eastAsia" w:ascii="Times New Roman" w:hAnsi="Times New Roman" w:cs="Times New Roman"/>
                <w:color w:val="auto"/>
                <w:sz w:val="24"/>
                <w:u w:val="none" w:color="auto"/>
                <w:lang w:val="en-US" w:eastAsia="zh-CN"/>
              </w:rPr>
            </w:pPr>
            <w:r>
              <w:rPr>
                <w:rFonts w:hint="eastAsia" w:ascii="Times New Roman" w:hAnsi="Times New Roman" w:cs="Times New Roman"/>
                <w:b w:val="0"/>
                <w:bCs w:val="0"/>
                <w:color w:val="auto"/>
                <w:sz w:val="24"/>
                <w:u w:val="none" w:color="auto"/>
                <w:lang w:val="en-US" w:eastAsia="zh-CN"/>
              </w:rPr>
              <w:t>（5）取样试验：</w:t>
            </w:r>
            <w:r>
              <w:rPr>
                <w:rFonts w:hint="default" w:ascii="Times New Roman" w:hAnsi="Times New Roman" w:cs="Times New Roman"/>
                <w:sz w:val="24"/>
                <w:u w:val="none" w:color="auto"/>
              </w:rPr>
              <w:t>建设单位在选择物料供应商之时，会随机抽取部分样品进行检验，确保原辅料符合生产需求，若达到不到生产的要求，则直接退还给供应商；若符合生产需求，则进入生产工序，且后续同一供应商同一原料不再检测。在混凝土达到预定搅拌工艺要求后，抽取样品在实验楼进行检测（采用物理实验，不涉及化学试剂，检测内容比如结后的硬度力学实验、凝结时间等物理实验等），以确定生产的混凝土符合该规格的《预搅拌商品混凝土国家标准》（GB/T14902-2016）。</w:t>
            </w:r>
            <w:r>
              <w:rPr>
                <w:rFonts w:hint="eastAsia" w:ascii="Times New Roman" w:hAnsi="Times New Roman" w:cs="Times New Roman"/>
                <w:color w:val="auto"/>
                <w:sz w:val="24"/>
                <w:u w:val="none" w:color="auto"/>
                <w:lang w:val="en-US" w:eastAsia="zh-CN"/>
              </w:rPr>
              <w:t>试验过程中会产生废弃试验样品。</w:t>
            </w:r>
          </w:p>
          <w:p w14:paraId="4C4E0AAE">
            <w:pPr>
              <w:adjustRightInd w:val="0"/>
              <w:snapToGrid w:val="0"/>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本项目生产工艺相对比较简单，所有工序均为物理过程，生产时首先将各种原料进行计量配送，然后进行重量配料，之后进行强制配料，强制配料过程采用电脑控制，从而保证混凝土的品质，之后进行计量泵送入运输车辆，最后送</w:t>
            </w:r>
            <w:r>
              <w:rPr>
                <w:rFonts w:hint="eastAsia" w:ascii="Times New Roman" w:hAnsi="Times New Roman" w:cs="Times New Roman"/>
                <w:color w:val="auto"/>
                <w:sz w:val="24"/>
                <w:u w:val="none" w:color="auto"/>
                <w:lang w:val="en-US" w:eastAsia="zh-CN"/>
              </w:rPr>
              <w:t>至</w:t>
            </w:r>
            <w:r>
              <w:rPr>
                <w:rFonts w:ascii="Times New Roman" w:hAnsi="Times New Roman" w:cs="Times New Roman"/>
                <w:color w:val="auto"/>
                <w:sz w:val="24"/>
                <w:u w:val="none" w:color="auto"/>
              </w:rPr>
              <w:t>建筑工地。</w:t>
            </w:r>
          </w:p>
          <w:p w14:paraId="1E149054">
            <w:pPr>
              <w:adjustRightInd w:val="0"/>
              <w:snapToGrid w:val="0"/>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本项目砂、石提升以密闭皮带输送方式完成。水泥、粉煤灰、膨胀剂及矿粉等则以压缩空气吹入筒仓，辅以螺旋输送机供料，搅拌用水采用压力供水。</w:t>
            </w:r>
          </w:p>
          <w:p w14:paraId="548AE67E">
            <w:pPr>
              <w:spacing w:line="360" w:lineRule="auto"/>
              <w:ind w:firstLine="480" w:firstLineChars="200"/>
              <w:rPr>
                <w:rFonts w:hint="eastAsia" w:ascii="Times New Roman" w:hAnsi="Times New Roman" w:cs="Times New Roman"/>
                <w:color w:val="auto"/>
                <w:sz w:val="24"/>
                <w:u w:val="none" w:color="auto"/>
                <w:lang w:eastAsia="zh-CN"/>
              </w:rPr>
            </w:pPr>
            <w:r>
              <w:rPr>
                <w:rFonts w:ascii="Times New Roman" w:hAnsi="Times New Roman" w:cs="Times New Roman"/>
                <w:color w:val="auto"/>
                <w:sz w:val="24"/>
                <w:u w:val="none" w:color="auto"/>
              </w:rPr>
              <w:t>项目商品混凝土服务范围主要为</w:t>
            </w:r>
            <w:r>
              <w:rPr>
                <w:rFonts w:hint="eastAsia" w:ascii="Times New Roman" w:hAnsi="Times New Roman" w:cs="Times New Roman"/>
                <w:color w:val="auto"/>
                <w:sz w:val="24"/>
                <w:u w:val="none" w:color="auto"/>
                <w:lang w:val="en-US" w:eastAsia="zh-CN"/>
              </w:rPr>
              <w:t>岳阳县城以及周边乡镇</w:t>
            </w:r>
            <w:r>
              <w:rPr>
                <w:rFonts w:hint="eastAsia" w:ascii="Times New Roman" w:hAnsi="Times New Roman" w:cs="Times New Roman"/>
                <w:color w:val="auto"/>
                <w:sz w:val="24"/>
                <w:u w:val="none" w:color="auto"/>
                <w:lang w:eastAsia="zh-CN"/>
              </w:rPr>
              <w:t>。</w:t>
            </w:r>
          </w:p>
          <w:p w14:paraId="232AAEBF">
            <w:pPr>
              <w:spacing w:line="360" w:lineRule="auto"/>
              <w:ind w:firstLine="480" w:firstLineChars="200"/>
              <w:rPr>
                <w:rFonts w:hint="eastAsia" w:ascii="Times New Roman" w:hAnsi="Times New Roman" w:cs="Times New Roman"/>
                <w:color w:val="auto"/>
                <w:sz w:val="24"/>
                <w:u w:val="none" w:color="auto"/>
                <w:lang w:eastAsia="zh-CN"/>
              </w:rPr>
            </w:pPr>
          </w:p>
          <w:p w14:paraId="6D3F8012">
            <w:pPr>
              <w:spacing w:line="360" w:lineRule="auto"/>
              <w:ind w:firstLine="480" w:firstLineChars="200"/>
              <w:rPr>
                <w:rFonts w:hint="eastAsia" w:ascii="Times New Roman" w:hAnsi="Times New Roman" w:cs="Times New Roman"/>
                <w:color w:val="auto"/>
                <w:sz w:val="24"/>
                <w:u w:val="none" w:color="auto"/>
                <w:lang w:eastAsia="zh-CN"/>
              </w:rPr>
            </w:pPr>
          </w:p>
          <w:p w14:paraId="5B8D3346">
            <w:pPr>
              <w:spacing w:line="360" w:lineRule="auto"/>
              <w:ind w:firstLine="480" w:firstLineChars="200"/>
              <w:rPr>
                <w:rFonts w:hint="eastAsia" w:ascii="Times New Roman" w:hAnsi="Times New Roman" w:cs="Times New Roman"/>
                <w:color w:val="auto"/>
                <w:sz w:val="24"/>
                <w:u w:val="none" w:color="auto"/>
                <w:lang w:val="en-US" w:eastAsia="zh-CN"/>
              </w:rPr>
            </w:pPr>
          </w:p>
        </w:tc>
      </w:tr>
      <w:tr w14:paraId="1BAB6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9" w:hRule="atLeast"/>
          <w:jc w:val="center"/>
        </w:trPr>
        <w:tc>
          <w:tcPr>
            <w:tcW w:w="567" w:type="dxa"/>
            <w:vAlign w:val="center"/>
          </w:tcPr>
          <w:p w14:paraId="2F756BB5">
            <w:pPr>
              <w:pStyle w:val="23"/>
              <w:adjustRightInd w:val="0"/>
              <w:snapToGrid w:val="0"/>
              <w:spacing w:before="0" w:beforeAutospacing="0" w:after="0" w:afterAutospacing="0"/>
              <w:jc w:val="center"/>
              <w:rPr>
                <w:rFonts w:ascii="Times New Roman" w:hAnsi="Times New Roman" w:cs="Times New Roman"/>
                <w:color w:val="auto"/>
                <w:szCs w:val="24"/>
                <w:u w:val="none" w:color="auto"/>
              </w:rPr>
            </w:pPr>
            <w:r>
              <w:rPr>
                <w:rFonts w:ascii="Times New Roman" w:hAnsi="Times New Roman" w:cs="Times New Roman"/>
                <w:bCs/>
                <w:color w:val="auto"/>
                <w:szCs w:val="24"/>
                <w:u w:val="none" w:color="auto"/>
              </w:rPr>
              <w:t>与项目有关的原有环境污染问题</w:t>
            </w:r>
          </w:p>
        </w:tc>
        <w:tc>
          <w:tcPr>
            <w:tcW w:w="8263" w:type="dxa"/>
            <w:vAlign w:val="center"/>
          </w:tcPr>
          <w:p w14:paraId="7F211ED9">
            <w:pPr>
              <w:pStyle w:val="43"/>
              <w:spacing w:line="360" w:lineRule="auto"/>
              <w:ind w:firstLine="480" w:firstLineChars="200"/>
              <w:jc w:val="both"/>
              <w:rPr>
                <w:rFonts w:hint="eastAsia"/>
                <w:bCs/>
                <w:color w:val="auto"/>
                <w:sz w:val="24"/>
                <w:u w:val="none" w:color="auto"/>
                <w:lang w:val="en-US" w:eastAsia="zh-CN"/>
              </w:rPr>
            </w:pPr>
          </w:p>
          <w:p w14:paraId="1C4881F7">
            <w:pPr>
              <w:pStyle w:val="43"/>
              <w:spacing w:line="360" w:lineRule="auto"/>
              <w:ind w:firstLine="480" w:firstLineChars="200"/>
              <w:jc w:val="both"/>
              <w:rPr>
                <w:rFonts w:hint="eastAsia"/>
                <w:bCs/>
                <w:color w:val="auto"/>
                <w:sz w:val="24"/>
                <w:u w:val="none" w:color="auto"/>
                <w:lang w:val="en-US" w:eastAsia="zh-CN"/>
              </w:rPr>
            </w:pPr>
          </w:p>
          <w:p w14:paraId="287BADE6">
            <w:pPr>
              <w:pStyle w:val="43"/>
              <w:spacing w:line="360" w:lineRule="auto"/>
              <w:ind w:firstLine="480" w:firstLineChars="200"/>
              <w:jc w:val="both"/>
              <w:rPr>
                <w:rFonts w:hint="eastAsia"/>
                <w:bCs/>
                <w:color w:val="auto"/>
                <w:sz w:val="24"/>
                <w:u w:val="none" w:color="auto"/>
                <w:lang w:val="en-US" w:eastAsia="zh-CN"/>
              </w:rPr>
            </w:pPr>
          </w:p>
          <w:p w14:paraId="44B7F96C">
            <w:pPr>
              <w:pStyle w:val="43"/>
              <w:spacing w:line="360" w:lineRule="auto"/>
              <w:ind w:firstLine="480" w:firstLineChars="200"/>
              <w:jc w:val="both"/>
              <w:rPr>
                <w:rFonts w:hint="eastAsia"/>
                <w:bCs/>
                <w:color w:val="auto"/>
                <w:sz w:val="24"/>
                <w:u w:val="none" w:color="auto"/>
                <w:lang w:val="en-US" w:eastAsia="zh-CN"/>
              </w:rPr>
            </w:pPr>
          </w:p>
          <w:p w14:paraId="70FFB2AB">
            <w:pPr>
              <w:pStyle w:val="43"/>
              <w:spacing w:line="360" w:lineRule="auto"/>
              <w:ind w:firstLine="480" w:firstLineChars="200"/>
              <w:jc w:val="both"/>
              <w:rPr>
                <w:rFonts w:hint="eastAsia"/>
                <w:bCs/>
                <w:color w:val="auto"/>
                <w:sz w:val="24"/>
                <w:u w:val="none" w:color="auto"/>
                <w:lang w:val="en-US" w:eastAsia="zh-CN"/>
              </w:rPr>
            </w:pPr>
          </w:p>
          <w:p w14:paraId="4131996D">
            <w:pPr>
              <w:pStyle w:val="43"/>
              <w:spacing w:line="360" w:lineRule="auto"/>
              <w:ind w:firstLine="480" w:firstLineChars="200"/>
              <w:jc w:val="both"/>
              <w:rPr>
                <w:rFonts w:hint="eastAsia"/>
                <w:bCs/>
                <w:color w:val="auto"/>
                <w:sz w:val="24"/>
                <w:u w:val="none" w:color="auto"/>
                <w:lang w:val="en-US" w:eastAsia="zh-CN"/>
              </w:rPr>
            </w:pPr>
            <w:r>
              <w:rPr>
                <w:rFonts w:hint="eastAsia"/>
                <w:bCs/>
                <w:color w:val="auto"/>
                <w:sz w:val="24"/>
                <w:u w:val="none" w:color="auto"/>
                <w:lang w:val="en-US" w:eastAsia="zh-CN"/>
              </w:rPr>
              <w:t>本项目为新建项目，利用空地进行建设，没有与本次评价有关的原有环境污染问题。</w:t>
            </w:r>
          </w:p>
          <w:p w14:paraId="679F067D">
            <w:pPr>
              <w:pStyle w:val="43"/>
              <w:spacing w:line="360" w:lineRule="auto"/>
              <w:ind w:firstLine="480" w:firstLineChars="200"/>
              <w:jc w:val="both"/>
              <w:rPr>
                <w:rFonts w:hint="eastAsia"/>
                <w:bCs/>
                <w:color w:val="auto"/>
                <w:sz w:val="24"/>
                <w:u w:val="none" w:color="auto"/>
                <w:lang w:val="en-US" w:eastAsia="zh-CN"/>
              </w:rPr>
            </w:pPr>
          </w:p>
          <w:p w14:paraId="46D4FA6A">
            <w:pPr>
              <w:pStyle w:val="43"/>
              <w:spacing w:line="360" w:lineRule="auto"/>
              <w:ind w:firstLine="480" w:firstLineChars="200"/>
              <w:jc w:val="both"/>
              <w:rPr>
                <w:rFonts w:hint="eastAsia"/>
                <w:bCs/>
                <w:color w:val="auto"/>
                <w:sz w:val="24"/>
                <w:u w:val="none" w:color="auto"/>
                <w:lang w:val="en-US" w:eastAsia="zh-CN"/>
              </w:rPr>
            </w:pPr>
          </w:p>
          <w:p w14:paraId="220BB72C">
            <w:pPr>
              <w:pStyle w:val="43"/>
              <w:spacing w:line="360" w:lineRule="auto"/>
              <w:ind w:firstLine="480" w:firstLineChars="200"/>
              <w:jc w:val="both"/>
              <w:rPr>
                <w:rFonts w:hint="eastAsia"/>
                <w:bCs/>
                <w:color w:val="auto"/>
                <w:sz w:val="24"/>
                <w:u w:val="none" w:color="auto"/>
                <w:lang w:val="en-US" w:eastAsia="zh-CN"/>
              </w:rPr>
            </w:pPr>
          </w:p>
          <w:p w14:paraId="32A09499">
            <w:pPr>
              <w:pStyle w:val="43"/>
              <w:spacing w:line="360" w:lineRule="auto"/>
              <w:ind w:firstLine="480" w:firstLineChars="200"/>
              <w:jc w:val="both"/>
              <w:rPr>
                <w:rFonts w:hint="eastAsia"/>
                <w:bCs/>
                <w:color w:val="auto"/>
                <w:sz w:val="24"/>
                <w:u w:val="none" w:color="auto"/>
                <w:lang w:val="en-US" w:eastAsia="zh-CN"/>
              </w:rPr>
            </w:pPr>
          </w:p>
          <w:p w14:paraId="56DA5A68">
            <w:pPr>
              <w:pStyle w:val="43"/>
              <w:spacing w:line="360" w:lineRule="auto"/>
              <w:ind w:firstLine="480" w:firstLineChars="200"/>
              <w:jc w:val="both"/>
              <w:rPr>
                <w:rFonts w:hint="eastAsia"/>
                <w:bCs/>
                <w:color w:val="auto"/>
                <w:sz w:val="24"/>
                <w:u w:val="none" w:color="auto"/>
                <w:lang w:val="en-US" w:eastAsia="zh-CN"/>
              </w:rPr>
            </w:pPr>
          </w:p>
        </w:tc>
      </w:tr>
    </w:tbl>
    <w:p w14:paraId="76FAB966">
      <w:pPr>
        <w:pStyle w:val="23"/>
        <w:spacing w:line="360" w:lineRule="auto"/>
        <w:outlineLvl w:val="9"/>
        <w:rPr>
          <w:rFonts w:ascii="Times New Roman" w:hAnsi="Times New Roman" w:cs="Times New Roman"/>
          <w:snapToGrid w:val="0"/>
          <w:color w:val="auto"/>
          <w:szCs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sectPr>
      </w:pPr>
    </w:p>
    <w:p w14:paraId="72A47316">
      <w:pPr>
        <w:pStyle w:val="23"/>
        <w:jc w:val="center"/>
        <w:outlineLvl w:val="0"/>
        <w:rPr>
          <w:rFonts w:ascii="Times New Roman" w:hAnsi="Times New Roman" w:cs="Times New Roman"/>
          <w:b/>
          <w:bCs/>
          <w:snapToGrid w:val="0"/>
          <w:color w:val="auto"/>
          <w:sz w:val="30"/>
          <w:szCs w:val="30"/>
        </w:rPr>
      </w:pPr>
      <w:bookmarkStart w:id="10" w:name="_Toc3693"/>
      <w:r>
        <w:rPr>
          <w:rFonts w:ascii="Times New Roman" w:hAnsi="Times New Roman" w:cs="Times New Roman"/>
          <w:b/>
          <w:bCs/>
          <w:snapToGrid w:val="0"/>
          <w:color w:val="auto"/>
          <w:sz w:val="30"/>
          <w:szCs w:val="30"/>
        </w:rPr>
        <w:t>三、区域环境质量现状、环境保护目标及评价标准</w:t>
      </w:r>
      <w:bookmarkEnd w:id="10"/>
    </w:p>
    <w:tbl>
      <w:tblPr>
        <w:tblStyle w:val="26"/>
        <w:tblW w:w="89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486"/>
      </w:tblGrid>
      <w:tr w14:paraId="47A59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50" w:type="dxa"/>
            <w:vAlign w:val="center"/>
          </w:tcPr>
          <w:p w14:paraId="6C7D161A">
            <w:pPr>
              <w:adjustRightInd w:val="0"/>
              <w:snapToGrid w:val="0"/>
              <w:spacing w:line="360" w:lineRule="auto"/>
              <w:jc w:val="center"/>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区域环境质量现状</w:t>
            </w:r>
          </w:p>
        </w:tc>
        <w:tc>
          <w:tcPr>
            <w:tcW w:w="8176" w:type="dxa"/>
            <w:vAlign w:val="center"/>
          </w:tcPr>
          <w:p w14:paraId="06B7B594">
            <w:pPr>
              <w:pStyle w:val="113"/>
              <w:widowControl w:val="0"/>
              <w:snapToGrid w:val="0"/>
              <w:ind w:left="0" w:leftChars="0" w:firstLine="0" w:firstLineChars="0"/>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1</w:t>
            </w:r>
            <w:r>
              <w:rPr>
                <w:rFonts w:hint="eastAsia" w:ascii="Times New Roman" w:hAnsi="Times New Roman" w:eastAsia="宋体" w:cs="Times New Roman"/>
                <w:b/>
                <w:color w:val="auto"/>
                <w:sz w:val="24"/>
                <w:szCs w:val="24"/>
                <w:u w:val="none" w:color="auto"/>
                <w:lang w:eastAsia="zh-CN"/>
              </w:rPr>
              <w:t>、</w:t>
            </w:r>
            <w:r>
              <w:rPr>
                <w:rFonts w:ascii="Times New Roman" w:hAnsi="Times New Roman" w:eastAsia="宋体" w:cs="Times New Roman"/>
                <w:b/>
                <w:color w:val="auto"/>
                <w:sz w:val="24"/>
                <w:szCs w:val="24"/>
                <w:u w:val="none" w:color="auto"/>
              </w:rPr>
              <w:t>环境空气质量现状</w:t>
            </w:r>
          </w:p>
          <w:p w14:paraId="68549D52">
            <w:pPr>
              <w:pStyle w:val="113"/>
              <w:snapToGrid w:val="0"/>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1.1 常规监测因子</w:t>
            </w:r>
          </w:p>
          <w:p w14:paraId="6EE18DE9">
            <w:pPr>
              <w:pStyle w:val="113"/>
              <w:rPr>
                <w:rFonts w:hint="default" w:ascii="Times New Roman" w:hAnsi="Times New Roman" w:cs="Times New Roman"/>
                <w:bCs/>
                <w:color w:val="auto"/>
                <w:sz w:val="24"/>
                <w:szCs w:val="24"/>
                <w:u w:val="none" w:color="auto"/>
              </w:rPr>
            </w:pPr>
            <w:r>
              <w:rPr>
                <w:rFonts w:hint="default" w:ascii="Times New Roman" w:hAnsi="Times New Roman" w:cs="Times New Roman"/>
                <w:bCs/>
                <w:color w:val="auto"/>
                <w:sz w:val="24"/>
                <w:u w:val="none" w:color="auto"/>
              </w:rPr>
              <w:t>根据</w:t>
            </w:r>
            <w:r>
              <w:rPr>
                <w:rFonts w:hint="default" w:ascii="Times New Roman" w:hAnsi="Times New Roman" w:cs="Times New Roman"/>
                <w:color w:val="auto"/>
                <w:sz w:val="24"/>
                <w:szCs w:val="24"/>
                <w:highlight w:val="none"/>
                <w:u w:val="none" w:color="auto"/>
                <w:lang w:val="en-US" w:eastAsia="zh-CN"/>
              </w:rPr>
              <w:t>《建设项目环境影响报告表编制技术指南（污染影响类）（试行）》</w:t>
            </w:r>
            <w:r>
              <w:rPr>
                <w:rFonts w:hint="default" w:ascii="Times New Roman" w:hAnsi="Times New Roman" w:cs="Times New Roman"/>
                <w:bCs/>
                <w:color w:val="auto"/>
                <w:sz w:val="24"/>
                <w:u w:val="none" w:color="auto"/>
              </w:rPr>
              <w:t>，常规污染物引用与建设项目距离近的有效数据，包括近3年的规划环境影响评价的监测数据，国家、地方环境空气质量监测网数据或生态环境主管部门公开发布的质量数据等。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cs="Times New Roman"/>
                <w:bCs/>
                <w:color w:val="auto"/>
                <w:sz w:val="24"/>
                <w:szCs w:val="24"/>
                <w:u w:val="none" w:color="auto"/>
              </w:rPr>
              <w:t>排放国家、地方环境空气质量标准中有标准限值要求的特征污染物时，引用建设项目周边5千米范围内近3年的现有监测数据，无相关数据的选择当季主导风向下风向1个点位补充不少于3天的监测数据。</w:t>
            </w:r>
          </w:p>
          <w:p w14:paraId="3B848DCB">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由于本项目评价范围为以厂址为中心，边长为5km的矩形区域，在评价范围内没有环境空气质量监测网数据，故区域达标判定所用数据引用202</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年岳阳市生态环境局岳阳县分局</w:t>
            </w:r>
            <w:r>
              <w:rPr>
                <w:rFonts w:hint="default" w:ascii="Times New Roman" w:hAnsi="Times New Roman" w:cs="Times New Roman"/>
                <w:color w:val="auto"/>
                <w:sz w:val="24"/>
                <w:lang w:eastAsia="zh-CN"/>
              </w:rPr>
              <w:t>环境质量公报</w:t>
            </w:r>
            <w:r>
              <w:rPr>
                <w:rFonts w:hint="default" w:ascii="Times New Roman" w:hAnsi="Times New Roman" w:cs="Times New Roman"/>
                <w:color w:val="auto"/>
                <w:sz w:val="24"/>
              </w:rPr>
              <w:t>结论数据。</w:t>
            </w:r>
          </w:p>
          <w:p w14:paraId="0A597343">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具体达标判定监测数据及评价结果见下表。</w:t>
            </w:r>
          </w:p>
          <w:p w14:paraId="2F6DF577">
            <w:pPr>
              <w:snapToGrid w:val="0"/>
              <w:jc w:val="center"/>
              <w:rPr>
                <w:rFonts w:ascii="Times New Roman" w:hAnsi="Times New Roman" w:cs="Times New Roman"/>
                <w:b/>
                <w:color w:val="auto"/>
                <w:sz w:val="24"/>
                <w:u w:val="single"/>
              </w:rPr>
            </w:pPr>
            <w:r>
              <w:rPr>
                <w:rFonts w:ascii="Times New Roman" w:hAnsi="Times New Roman" w:cs="Times New Roman"/>
                <w:b/>
                <w:color w:val="auto"/>
                <w:sz w:val="24"/>
                <w:u w:val="single"/>
              </w:rPr>
              <w:t>表3-1  202</w:t>
            </w:r>
            <w:r>
              <w:rPr>
                <w:rFonts w:hint="eastAsia" w:ascii="Times New Roman" w:hAnsi="Times New Roman" w:cs="Times New Roman"/>
                <w:b/>
                <w:color w:val="auto"/>
                <w:sz w:val="24"/>
                <w:u w:val="single"/>
                <w:lang w:val="en-US" w:eastAsia="zh-CN"/>
              </w:rPr>
              <w:t>3</w:t>
            </w:r>
            <w:r>
              <w:rPr>
                <w:rFonts w:ascii="Times New Roman" w:hAnsi="Times New Roman" w:cs="Times New Roman"/>
                <w:b/>
                <w:color w:val="auto"/>
                <w:sz w:val="24"/>
                <w:u w:val="single"/>
              </w:rPr>
              <w:t>年岳阳县空气质量现状评价表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21"/>
              <w:gridCol w:w="1815"/>
              <w:gridCol w:w="809"/>
              <w:gridCol w:w="1296"/>
              <w:gridCol w:w="1297"/>
              <w:gridCol w:w="1088"/>
              <w:gridCol w:w="1214"/>
            </w:tblGrid>
            <w:tr w14:paraId="10E2E8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721" w:type="dxa"/>
                  <w:noWrap/>
                  <w:vAlign w:val="center"/>
                </w:tcPr>
                <w:p w14:paraId="4FB24210">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评价因子</w:t>
                  </w:r>
                </w:p>
              </w:tc>
              <w:tc>
                <w:tcPr>
                  <w:tcW w:w="1815" w:type="dxa"/>
                  <w:noWrap/>
                  <w:vAlign w:val="center"/>
                </w:tcPr>
                <w:p w14:paraId="5EC544EE">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评均时段</w:t>
                  </w:r>
                </w:p>
              </w:tc>
              <w:tc>
                <w:tcPr>
                  <w:tcW w:w="809" w:type="dxa"/>
                  <w:noWrap/>
                  <w:vAlign w:val="center"/>
                </w:tcPr>
                <w:p w14:paraId="34311B05">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百分位</w:t>
                  </w:r>
                </w:p>
              </w:tc>
              <w:tc>
                <w:tcPr>
                  <w:tcW w:w="1296" w:type="dxa"/>
                  <w:noWrap/>
                  <w:vAlign w:val="center"/>
                </w:tcPr>
                <w:p w14:paraId="50172C9A">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现状浓度/</w:t>
                  </w:r>
                </w:p>
              </w:tc>
              <w:tc>
                <w:tcPr>
                  <w:tcW w:w="1297" w:type="dxa"/>
                  <w:noWrap/>
                  <w:vAlign w:val="center"/>
                </w:tcPr>
                <w:p w14:paraId="4C5B5A97">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标准浓度/</w:t>
                  </w:r>
                </w:p>
              </w:tc>
              <w:tc>
                <w:tcPr>
                  <w:tcW w:w="1088" w:type="dxa"/>
                  <w:noWrap/>
                  <w:vAlign w:val="center"/>
                </w:tcPr>
                <w:p w14:paraId="7BC21916">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占标率/</w:t>
                  </w:r>
                  <w:r>
                    <w:rPr>
                      <w:rFonts w:hint="eastAsia" w:ascii="Times New Roman" w:hAnsi="Times New Roman" w:cs="Times New Roman"/>
                      <w:color w:val="auto"/>
                      <w:sz w:val="21"/>
                      <w:u w:val="single"/>
                      <w:lang w:val="en-US" w:eastAsia="zh-CN"/>
                    </w:rPr>
                    <w:t>%</w:t>
                  </w:r>
                </w:p>
              </w:tc>
              <w:tc>
                <w:tcPr>
                  <w:tcW w:w="1214" w:type="dxa"/>
                  <w:noWrap/>
                  <w:vAlign w:val="center"/>
                </w:tcPr>
                <w:p w14:paraId="3BBE2AA7">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达标情况</w:t>
                  </w:r>
                </w:p>
              </w:tc>
            </w:tr>
            <w:tr w14:paraId="18765A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721" w:type="dxa"/>
                  <w:noWrap/>
                  <w:vAlign w:val="center"/>
                </w:tcPr>
                <w:p w14:paraId="3F7E1E1B">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SO</w:t>
                  </w:r>
                  <w:r>
                    <w:rPr>
                      <w:rFonts w:ascii="Times New Roman" w:hAnsi="Times New Roman" w:cs="Times New Roman"/>
                      <w:color w:val="auto"/>
                      <w:sz w:val="21"/>
                      <w:u w:val="single"/>
                      <w:vertAlign w:val="subscript"/>
                    </w:rPr>
                    <w:t>2</w:t>
                  </w:r>
                </w:p>
              </w:tc>
              <w:tc>
                <w:tcPr>
                  <w:tcW w:w="1815" w:type="dxa"/>
                  <w:noWrap/>
                  <w:vAlign w:val="center"/>
                </w:tcPr>
                <w:p w14:paraId="10CDE175">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年平均浓度</w:t>
                  </w:r>
                </w:p>
              </w:tc>
              <w:tc>
                <w:tcPr>
                  <w:tcW w:w="809" w:type="dxa"/>
                  <w:noWrap/>
                  <w:vAlign w:val="center"/>
                </w:tcPr>
                <w:p w14:paraId="5780C378">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w:t>
                  </w:r>
                </w:p>
              </w:tc>
              <w:tc>
                <w:tcPr>
                  <w:tcW w:w="1296" w:type="dxa"/>
                  <w:noWrap/>
                  <w:vAlign w:val="center"/>
                </w:tcPr>
                <w:p w14:paraId="79279ED0">
                  <w:pPr>
                    <w:pStyle w:val="38"/>
                    <w:spacing w:before="24" w:line="240" w:lineRule="auto"/>
                    <w:rPr>
                      <w:rFonts w:ascii="Times New Roman" w:hAnsi="Times New Roman" w:cs="Times New Roman"/>
                      <w:color w:val="auto"/>
                      <w:sz w:val="21"/>
                      <w:u w:val="single"/>
                    </w:rPr>
                  </w:pPr>
                  <w:r>
                    <w:rPr>
                      <w:rFonts w:hint="eastAsia" w:ascii="Times New Roman" w:hAnsi="Times New Roman" w:cs="Times New Roman"/>
                      <w:color w:val="auto"/>
                      <w:sz w:val="21"/>
                      <w:u w:val="single"/>
                      <w:lang w:val="en-US" w:eastAsia="zh-CN"/>
                    </w:rPr>
                    <w:t>5</w:t>
                  </w:r>
                  <w:r>
                    <w:rPr>
                      <w:rFonts w:ascii="Times New Roman" w:hAnsi="Times New Roman" w:cs="Times New Roman"/>
                      <w:color w:val="auto"/>
                      <w:sz w:val="21"/>
                      <w:u w:val="single"/>
                    </w:rPr>
                    <w:t>μg/m</w:t>
                  </w:r>
                  <w:r>
                    <w:rPr>
                      <w:rFonts w:ascii="Times New Roman" w:hAnsi="Times New Roman" w:cs="Times New Roman"/>
                      <w:color w:val="auto"/>
                      <w:sz w:val="21"/>
                      <w:u w:val="single"/>
                      <w:vertAlign w:val="superscript"/>
                    </w:rPr>
                    <w:t>3</w:t>
                  </w:r>
                </w:p>
              </w:tc>
              <w:tc>
                <w:tcPr>
                  <w:tcW w:w="1297" w:type="dxa"/>
                  <w:noWrap/>
                  <w:vAlign w:val="center"/>
                </w:tcPr>
                <w:p w14:paraId="398CB559">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60μg/m</w:t>
                  </w:r>
                  <w:r>
                    <w:rPr>
                      <w:rFonts w:ascii="Times New Roman" w:hAnsi="Times New Roman" w:cs="Times New Roman"/>
                      <w:color w:val="auto"/>
                      <w:sz w:val="21"/>
                      <w:u w:val="single"/>
                      <w:vertAlign w:val="superscript"/>
                    </w:rPr>
                    <w:t>3</w:t>
                  </w:r>
                </w:p>
              </w:tc>
              <w:tc>
                <w:tcPr>
                  <w:tcW w:w="1088" w:type="dxa"/>
                  <w:noWrap/>
                  <w:vAlign w:val="center"/>
                </w:tcPr>
                <w:p w14:paraId="6D653D4B">
                  <w:pPr>
                    <w:pStyle w:val="38"/>
                    <w:spacing w:before="24" w:line="240" w:lineRule="auto"/>
                    <w:rPr>
                      <w:rFonts w:hint="default" w:ascii="Times New Roman" w:hAnsi="Times New Roman" w:eastAsia="宋体" w:cs="Times New Roman"/>
                      <w:color w:val="auto"/>
                      <w:sz w:val="21"/>
                      <w:u w:val="single"/>
                      <w:lang w:val="en-US" w:eastAsia="zh-CN"/>
                    </w:rPr>
                  </w:pPr>
                  <w:r>
                    <w:rPr>
                      <w:rFonts w:hint="eastAsia" w:ascii="Times New Roman" w:hAnsi="Times New Roman" w:cs="Times New Roman"/>
                      <w:color w:val="auto"/>
                      <w:sz w:val="21"/>
                      <w:u w:val="single"/>
                      <w:lang w:val="en-US" w:eastAsia="zh-CN"/>
                    </w:rPr>
                    <w:t>8.3</w:t>
                  </w:r>
                </w:p>
              </w:tc>
              <w:tc>
                <w:tcPr>
                  <w:tcW w:w="1214" w:type="dxa"/>
                  <w:noWrap/>
                  <w:vAlign w:val="center"/>
                </w:tcPr>
                <w:p w14:paraId="4946C7EC">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w:t>
                  </w:r>
                </w:p>
              </w:tc>
            </w:tr>
            <w:tr w14:paraId="308D43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721" w:type="dxa"/>
                  <w:noWrap/>
                  <w:vAlign w:val="center"/>
                </w:tcPr>
                <w:p w14:paraId="1D54F8E0">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NO</w:t>
                  </w:r>
                  <w:r>
                    <w:rPr>
                      <w:rFonts w:ascii="Times New Roman" w:hAnsi="Times New Roman" w:cs="Times New Roman"/>
                      <w:color w:val="auto"/>
                      <w:sz w:val="21"/>
                      <w:u w:val="single"/>
                      <w:vertAlign w:val="subscript"/>
                    </w:rPr>
                    <w:t>2</w:t>
                  </w:r>
                </w:p>
              </w:tc>
              <w:tc>
                <w:tcPr>
                  <w:tcW w:w="1815" w:type="dxa"/>
                  <w:noWrap/>
                  <w:vAlign w:val="center"/>
                </w:tcPr>
                <w:p w14:paraId="65E99835">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年平均浓度</w:t>
                  </w:r>
                </w:p>
              </w:tc>
              <w:tc>
                <w:tcPr>
                  <w:tcW w:w="809" w:type="dxa"/>
                  <w:noWrap/>
                  <w:vAlign w:val="center"/>
                </w:tcPr>
                <w:p w14:paraId="45A7858C">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w:t>
                  </w:r>
                </w:p>
              </w:tc>
              <w:tc>
                <w:tcPr>
                  <w:tcW w:w="1296" w:type="dxa"/>
                  <w:noWrap/>
                  <w:vAlign w:val="center"/>
                </w:tcPr>
                <w:p w14:paraId="3F7737CE">
                  <w:pPr>
                    <w:pStyle w:val="38"/>
                    <w:spacing w:before="24" w:line="240" w:lineRule="auto"/>
                    <w:rPr>
                      <w:rFonts w:ascii="Times New Roman" w:hAnsi="Times New Roman" w:cs="Times New Roman"/>
                      <w:color w:val="auto"/>
                      <w:sz w:val="21"/>
                      <w:u w:val="single"/>
                    </w:rPr>
                  </w:pPr>
                  <w:r>
                    <w:rPr>
                      <w:rFonts w:hint="eastAsia" w:ascii="Times New Roman" w:hAnsi="Times New Roman" w:cs="Times New Roman"/>
                      <w:color w:val="auto"/>
                      <w:sz w:val="21"/>
                      <w:u w:val="single"/>
                      <w:lang w:val="en-US" w:eastAsia="zh-CN"/>
                    </w:rPr>
                    <w:t>18</w:t>
                  </w:r>
                  <w:r>
                    <w:rPr>
                      <w:rFonts w:ascii="Times New Roman" w:hAnsi="Times New Roman" w:cs="Times New Roman"/>
                      <w:color w:val="auto"/>
                      <w:sz w:val="21"/>
                      <w:u w:val="single"/>
                    </w:rPr>
                    <w:t>μg/m</w:t>
                  </w:r>
                  <w:r>
                    <w:rPr>
                      <w:rFonts w:ascii="Times New Roman" w:hAnsi="Times New Roman" w:cs="Times New Roman"/>
                      <w:color w:val="auto"/>
                      <w:sz w:val="21"/>
                      <w:u w:val="single"/>
                      <w:vertAlign w:val="superscript"/>
                    </w:rPr>
                    <w:t>3</w:t>
                  </w:r>
                </w:p>
              </w:tc>
              <w:tc>
                <w:tcPr>
                  <w:tcW w:w="1297" w:type="dxa"/>
                  <w:noWrap/>
                  <w:vAlign w:val="center"/>
                </w:tcPr>
                <w:p w14:paraId="6434A180">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40μg/m</w:t>
                  </w:r>
                  <w:r>
                    <w:rPr>
                      <w:rFonts w:ascii="Times New Roman" w:hAnsi="Times New Roman" w:cs="Times New Roman"/>
                      <w:color w:val="auto"/>
                      <w:sz w:val="21"/>
                      <w:u w:val="single"/>
                      <w:vertAlign w:val="superscript"/>
                    </w:rPr>
                    <w:t>3</w:t>
                  </w:r>
                </w:p>
              </w:tc>
              <w:tc>
                <w:tcPr>
                  <w:tcW w:w="1088" w:type="dxa"/>
                  <w:noWrap/>
                  <w:vAlign w:val="center"/>
                </w:tcPr>
                <w:p w14:paraId="72F40E0E">
                  <w:pPr>
                    <w:pStyle w:val="38"/>
                    <w:spacing w:before="24" w:line="240" w:lineRule="auto"/>
                    <w:rPr>
                      <w:rFonts w:hint="default" w:ascii="Times New Roman" w:hAnsi="Times New Roman" w:eastAsia="宋体" w:cs="Times New Roman"/>
                      <w:color w:val="auto"/>
                      <w:sz w:val="21"/>
                      <w:u w:val="single"/>
                      <w:lang w:val="en-US" w:eastAsia="zh-CN"/>
                    </w:rPr>
                  </w:pPr>
                  <w:r>
                    <w:rPr>
                      <w:rFonts w:hint="eastAsia" w:ascii="Times New Roman" w:hAnsi="Times New Roman" w:cs="Times New Roman"/>
                      <w:color w:val="auto"/>
                      <w:sz w:val="21"/>
                      <w:u w:val="single"/>
                      <w:lang w:val="en-US" w:eastAsia="zh-CN"/>
                    </w:rPr>
                    <w:t>45.0</w:t>
                  </w:r>
                </w:p>
              </w:tc>
              <w:tc>
                <w:tcPr>
                  <w:tcW w:w="1214" w:type="dxa"/>
                  <w:noWrap/>
                  <w:vAlign w:val="center"/>
                </w:tcPr>
                <w:p w14:paraId="61B87E1C">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w:t>
                  </w:r>
                </w:p>
              </w:tc>
            </w:tr>
            <w:tr w14:paraId="34EEF6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721" w:type="dxa"/>
                  <w:noWrap/>
                  <w:vAlign w:val="center"/>
                </w:tcPr>
                <w:p w14:paraId="6734C487">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CO</w:t>
                  </w:r>
                </w:p>
              </w:tc>
              <w:tc>
                <w:tcPr>
                  <w:tcW w:w="1815" w:type="dxa"/>
                  <w:noWrap/>
                  <w:vAlign w:val="center"/>
                </w:tcPr>
                <w:p w14:paraId="68C7921A">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百分位上日平均</w:t>
                  </w:r>
                </w:p>
              </w:tc>
              <w:tc>
                <w:tcPr>
                  <w:tcW w:w="809" w:type="dxa"/>
                  <w:noWrap/>
                  <w:vAlign w:val="center"/>
                </w:tcPr>
                <w:p w14:paraId="4A489AAD">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95</w:t>
                  </w:r>
                </w:p>
              </w:tc>
              <w:tc>
                <w:tcPr>
                  <w:tcW w:w="1296" w:type="dxa"/>
                  <w:noWrap/>
                  <w:vAlign w:val="center"/>
                </w:tcPr>
                <w:p w14:paraId="4560DB2E">
                  <w:pPr>
                    <w:pStyle w:val="38"/>
                    <w:spacing w:before="24" w:line="240" w:lineRule="auto"/>
                    <w:rPr>
                      <w:rFonts w:ascii="Times New Roman" w:hAnsi="Times New Roman" w:cs="Times New Roman"/>
                      <w:color w:val="auto"/>
                      <w:sz w:val="21"/>
                      <w:u w:val="single"/>
                    </w:rPr>
                  </w:pPr>
                  <w:r>
                    <w:rPr>
                      <w:rFonts w:hint="eastAsia" w:ascii="Times New Roman" w:hAnsi="Times New Roman" w:cs="Times New Roman"/>
                      <w:color w:val="auto"/>
                      <w:sz w:val="21"/>
                      <w:u w:val="single"/>
                      <w:lang w:val="en-US" w:eastAsia="zh-CN"/>
                    </w:rPr>
                    <w:t>0.9</w:t>
                  </w:r>
                  <w:r>
                    <w:rPr>
                      <w:rFonts w:ascii="Times New Roman" w:hAnsi="Times New Roman" w:cs="Times New Roman"/>
                      <w:color w:val="auto"/>
                      <w:sz w:val="21"/>
                      <w:u w:val="single"/>
                    </w:rPr>
                    <w:t>mg/m</w:t>
                  </w:r>
                  <w:r>
                    <w:rPr>
                      <w:rFonts w:ascii="Times New Roman" w:hAnsi="Times New Roman" w:cs="Times New Roman"/>
                      <w:color w:val="auto"/>
                      <w:sz w:val="21"/>
                      <w:u w:val="single"/>
                      <w:vertAlign w:val="superscript"/>
                    </w:rPr>
                    <w:t>3</w:t>
                  </w:r>
                </w:p>
              </w:tc>
              <w:tc>
                <w:tcPr>
                  <w:tcW w:w="1297" w:type="dxa"/>
                  <w:noWrap/>
                  <w:vAlign w:val="center"/>
                </w:tcPr>
                <w:p w14:paraId="4E007A72">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4.0mg/m</w:t>
                  </w:r>
                  <w:r>
                    <w:rPr>
                      <w:rFonts w:ascii="Times New Roman" w:hAnsi="Times New Roman" w:cs="Times New Roman"/>
                      <w:color w:val="auto"/>
                      <w:sz w:val="21"/>
                      <w:u w:val="single"/>
                      <w:vertAlign w:val="superscript"/>
                    </w:rPr>
                    <w:t>3</w:t>
                  </w:r>
                </w:p>
              </w:tc>
              <w:tc>
                <w:tcPr>
                  <w:tcW w:w="1088" w:type="dxa"/>
                  <w:noWrap/>
                  <w:vAlign w:val="center"/>
                </w:tcPr>
                <w:p w14:paraId="53DDA2AA">
                  <w:pPr>
                    <w:pStyle w:val="38"/>
                    <w:spacing w:before="24" w:line="240" w:lineRule="auto"/>
                    <w:rPr>
                      <w:rFonts w:hint="default" w:ascii="Times New Roman" w:hAnsi="Times New Roman" w:eastAsia="宋体" w:cs="Times New Roman"/>
                      <w:color w:val="auto"/>
                      <w:sz w:val="21"/>
                      <w:u w:val="single"/>
                      <w:lang w:val="en-US" w:eastAsia="zh-CN"/>
                    </w:rPr>
                  </w:pPr>
                  <w:r>
                    <w:rPr>
                      <w:rFonts w:hint="eastAsia" w:ascii="Times New Roman" w:hAnsi="Times New Roman" w:cs="Times New Roman"/>
                      <w:color w:val="auto"/>
                      <w:sz w:val="21"/>
                      <w:u w:val="single"/>
                      <w:lang w:val="en-US" w:eastAsia="zh-CN"/>
                    </w:rPr>
                    <w:t>22.5</w:t>
                  </w:r>
                </w:p>
              </w:tc>
              <w:tc>
                <w:tcPr>
                  <w:tcW w:w="1214" w:type="dxa"/>
                  <w:noWrap/>
                  <w:vAlign w:val="center"/>
                </w:tcPr>
                <w:p w14:paraId="40995313">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w:t>
                  </w:r>
                </w:p>
              </w:tc>
            </w:tr>
            <w:tr w14:paraId="705FAC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721" w:type="dxa"/>
                  <w:noWrap/>
                  <w:vAlign w:val="center"/>
                </w:tcPr>
                <w:p w14:paraId="57A1520C">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臭氧</w:t>
                  </w:r>
                </w:p>
              </w:tc>
              <w:tc>
                <w:tcPr>
                  <w:tcW w:w="1815" w:type="dxa"/>
                  <w:noWrap/>
                  <w:vAlign w:val="center"/>
                </w:tcPr>
                <w:p w14:paraId="17E6E610">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8h平均质量浓度</w:t>
                  </w:r>
                </w:p>
              </w:tc>
              <w:tc>
                <w:tcPr>
                  <w:tcW w:w="809" w:type="dxa"/>
                  <w:noWrap/>
                  <w:vAlign w:val="center"/>
                </w:tcPr>
                <w:p w14:paraId="12B47454">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90</w:t>
                  </w:r>
                </w:p>
              </w:tc>
              <w:tc>
                <w:tcPr>
                  <w:tcW w:w="1296" w:type="dxa"/>
                  <w:noWrap/>
                  <w:vAlign w:val="center"/>
                </w:tcPr>
                <w:p w14:paraId="7E18D1A4">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1</w:t>
                  </w:r>
                  <w:r>
                    <w:rPr>
                      <w:rFonts w:hint="eastAsia" w:ascii="Times New Roman" w:hAnsi="Times New Roman" w:cs="Times New Roman"/>
                      <w:color w:val="auto"/>
                      <w:sz w:val="21"/>
                      <w:u w:val="single"/>
                      <w:lang w:val="en-US" w:eastAsia="zh-CN"/>
                    </w:rPr>
                    <w:t>28</w:t>
                  </w:r>
                  <w:r>
                    <w:rPr>
                      <w:rFonts w:ascii="Times New Roman" w:hAnsi="Times New Roman" w:cs="Times New Roman"/>
                      <w:color w:val="auto"/>
                      <w:sz w:val="21"/>
                      <w:u w:val="single"/>
                    </w:rPr>
                    <w:t>μg/m</w:t>
                  </w:r>
                  <w:r>
                    <w:rPr>
                      <w:rFonts w:ascii="Times New Roman" w:hAnsi="Times New Roman" w:cs="Times New Roman"/>
                      <w:color w:val="auto"/>
                      <w:sz w:val="21"/>
                      <w:u w:val="single"/>
                      <w:vertAlign w:val="superscript"/>
                    </w:rPr>
                    <w:t>3</w:t>
                  </w:r>
                </w:p>
              </w:tc>
              <w:tc>
                <w:tcPr>
                  <w:tcW w:w="1297" w:type="dxa"/>
                  <w:noWrap/>
                  <w:vAlign w:val="center"/>
                </w:tcPr>
                <w:p w14:paraId="20510987">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160μg/m</w:t>
                  </w:r>
                  <w:r>
                    <w:rPr>
                      <w:rFonts w:ascii="Times New Roman" w:hAnsi="Times New Roman" w:cs="Times New Roman"/>
                      <w:color w:val="auto"/>
                      <w:sz w:val="21"/>
                      <w:u w:val="single"/>
                      <w:vertAlign w:val="superscript"/>
                    </w:rPr>
                    <w:t>3</w:t>
                  </w:r>
                </w:p>
              </w:tc>
              <w:tc>
                <w:tcPr>
                  <w:tcW w:w="1088" w:type="dxa"/>
                  <w:noWrap/>
                  <w:vAlign w:val="center"/>
                </w:tcPr>
                <w:p w14:paraId="520DF71D">
                  <w:pPr>
                    <w:pStyle w:val="38"/>
                    <w:spacing w:before="24" w:line="240" w:lineRule="auto"/>
                    <w:rPr>
                      <w:rFonts w:hint="default" w:ascii="Times New Roman" w:hAnsi="Times New Roman" w:eastAsia="宋体" w:cs="Times New Roman"/>
                      <w:color w:val="auto"/>
                      <w:sz w:val="21"/>
                      <w:u w:val="single"/>
                      <w:lang w:val="en-US" w:eastAsia="zh-CN"/>
                    </w:rPr>
                  </w:pPr>
                  <w:r>
                    <w:rPr>
                      <w:rFonts w:hint="eastAsia" w:ascii="Times New Roman" w:hAnsi="Times New Roman" w:cs="Times New Roman"/>
                      <w:color w:val="auto"/>
                      <w:sz w:val="21"/>
                      <w:u w:val="single"/>
                      <w:lang w:val="en-US" w:eastAsia="zh-CN"/>
                    </w:rPr>
                    <w:t>80.0</w:t>
                  </w:r>
                </w:p>
              </w:tc>
              <w:tc>
                <w:tcPr>
                  <w:tcW w:w="1214" w:type="dxa"/>
                  <w:noWrap/>
                  <w:vAlign w:val="center"/>
                </w:tcPr>
                <w:p w14:paraId="180E9CEA">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w:t>
                  </w:r>
                </w:p>
              </w:tc>
            </w:tr>
            <w:tr w14:paraId="198114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721" w:type="dxa"/>
                  <w:noWrap/>
                  <w:vAlign w:val="center"/>
                </w:tcPr>
                <w:p w14:paraId="460D1B56">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PM</w:t>
                  </w:r>
                  <w:r>
                    <w:rPr>
                      <w:rFonts w:ascii="Times New Roman" w:hAnsi="Times New Roman" w:cs="Times New Roman"/>
                      <w:color w:val="auto"/>
                      <w:sz w:val="21"/>
                      <w:u w:val="single"/>
                      <w:vertAlign w:val="subscript"/>
                    </w:rPr>
                    <w:t>2.5</w:t>
                  </w:r>
                </w:p>
              </w:tc>
              <w:tc>
                <w:tcPr>
                  <w:tcW w:w="1815" w:type="dxa"/>
                  <w:noWrap/>
                  <w:vAlign w:val="center"/>
                </w:tcPr>
                <w:p w14:paraId="3F69BD78">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年平均浓度</w:t>
                  </w:r>
                </w:p>
              </w:tc>
              <w:tc>
                <w:tcPr>
                  <w:tcW w:w="809" w:type="dxa"/>
                  <w:noWrap/>
                  <w:vAlign w:val="center"/>
                </w:tcPr>
                <w:p w14:paraId="74B58A80">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w:t>
                  </w:r>
                </w:p>
              </w:tc>
              <w:tc>
                <w:tcPr>
                  <w:tcW w:w="1296" w:type="dxa"/>
                  <w:noWrap/>
                  <w:vAlign w:val="center"/>
                </w:tcPr>
                <w:p w14:paraId="3B9BBF45">
                  <w:pPr>
                    <w:pStyle w:val="38"/>
                    <w:spacing w:before="24" w:line="240" w:lineRule="auto"/>
                    <w:rPr>
                      <w:rFonts w:ascii="Times New Roman" w:hAnsi="Times New Roman" w:cs="Times New Roman"/>
                      <w:color w:val="auto"/>
                      <w:sz w:val="21"/>
                      <w:u w:val="single"/>
                    </w:rPr>
                  </w:pPr>
                  <w:r>
                    <w:rPr>
                      <w:rFonts w:hint="eastAsia" w:ascii="Times New Roman" w:hAnsi="Times New Roman" w:cs="Times New Roman"/>
                      <w:color w:val="auto"/>
                      <w:sz w:val="21"/>
                      <w:u w:val="single"/>
                      <w:lang w:val="en-US" w:eastAsia="zh-CN"/>
                    </w:rPr>
                    <w:t>34</w:t>
                  </w:r>
                  <w:r>
                    <w:rPr>
                      <w:rFonts w:ascii="Times New Roman" w:hAnsi="Times New Roman" w:cs="Times New Roman"/>
                      <w:color w:val="auto"/>
                      <w:sz w:val="21"/>
                      <w:u w:val="single"/>
                    </w:rPr>
                    <w:t>μg/m</w:t>
                  </w:r>
                  <w:r>
                    <w:rPr>
                      <w:rFonts w:ascii="Times New Roman" w:hAnsi="Times New Roman" w:cs="Times New Roman"/>
                      <w:color w:val="auto"/>
                      <w:sz w:val="21"/>
                      <w:u w:val="single"/>
                      <w:vertAlign w:val="superscript"/>
                    </w:rPr>
                    <w:t>3</w:t>
                  </w:r>
                </w:p>
              </w:tc>
              <w:tc>
                <w:tcPr>
                  <w:tcW w:w="1297" w:type="dxa"/>
                  <w:noWrap/>
                  <w:vAlign w:val="center"/>
                </w:tcPr>
                <w:p w14:paraId="149888E5">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35μg/m</w:t>
                  </w:r>
                  <w:r>
                    <w:rPr>
                      <w:rFonts w:ascii="Times New Roman" w:hAnsi="Times New Roman" w:cs="Times New Roman"/>
                      <w:color w:val="auto"/>
                      <w:sz w:val="21"/>
                      <w:u w:val="single"/>
                      <w:vertAlign w:val="superscript"/>
                    </w:rPr>
                    <w:t>3</w:t>
                  </w:r>
                </w:p>
              </w:tc>
              <w:tc>
                <w:tcPr>
                  <w:tcW w:w="1088" w:type="dxa"/>
                  <w:noWrap/>
                  <w:vAlign w:val="center"/>
                </w:tcPr>
                <w:p w14:paraId="08A8087F">
                  <w:pPr>
                    <w:pStyle w:val="38"/>
                    <w:spacing w:before="24" w:line="240" w:lineRule="auto"/>
                    <w:rPr>
                      <w:rFonts w:hint="default" w:ascii="Times New Roman" w:hAnsi="Times New Roman" w:eastAsia="宋体" w:cs="Times New Roman"/>
                      <w:color w:val="auto"/>
                      <w:sz w:val="21"/>
                      <w:u w:val="single"/>
                      <w:lang w:val="en-US" w:eastAsia="zh-CN"/>
                    </w:rPr>
                  </w:pPr>
                  <w:r>
                    <w:rPr>
                      <w:rFonts w:hint="eastAsia" w:ascii="Times New Roman" w:hAnsi="Times New Roman" w:cs="Times New Roman"/>
                      <w:color w:val="auto"/>
                      <w:sz w:val="21"/>
                      <w:u w:val="single"/>
                      <w:lang w:val="en-US" w:eastAsia="zh-CN"/>
                    </w:rPr>
                    <w:t>97.1</w:t>
                  </w:r>
                </w:p>
              </w:tc>
              <w:tc>
                <w:tcPr>
                  <w:tcW w:w="1214" w:type="dxa"/>
                  <w:noWrap/>
                  <w:vAlign w:val="center"/>
                </w:tcPr>
                <w:p w14:paraId="6B32C086">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w:t>
                  </w:r>
                </w:p>
              </w:tc>
            </w:tr>
            <w:tr w14:paraId="2D679F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8" w:hRule="atLeast"/>
                <w:jc w:val="center"/>
              </w:trPr>
              <w:tc>
                <w:tcPr>
                  <w:tcW w:w="721" w:type="dxa"/>
                  <w:noWrap/>
                  <w:vAlign w:val="center"/>
                </w:tcPr>
                <w:p w14:paraId="58F76FF7">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PM</w:t>
                  </w:r>
                  <w:r>
                    <w:rPr>
                      <w:rFonts w:ascii="Times New Roman" w:hAnsi="Times New Roman" w:cs="Times New Roman"/>
                      <w:color w:val="auto"/>
                      <w:sz w:val="21"/>
                      <w:u w:val="single"/>
                      <w:vertAlign w:val="subscript"/>
                    </w:rPr>
                    <w:t>10</w:t>
                  </w:r>
                </w:p>
              </w:tc>
              <w:tc>
                <w:tcPr>
                  <w:tcW w:w="1815" w:type="dxa"/>
                  <w:noWrap/>
                  <w:vAlign w:val="center"/>
                </w:tcPr>
                <w:p w14:paraId="61AB43D4">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年平均浓度</w:t>
                  </w:r>
                </w:p>
              </w:tc>
              <w:tc>
                <w:tcPr>
                  <w:tcW w:w="809" w:type="dxa"/>
                  <w:noWrap/>
                  <w:vAlign w:val="center"/>
                </w:tcPr>
                <w:p w14:paraId="4E618014">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w:t>
                  </w:r>
                </w:p>
              </w:tc>
              <w:tc>
                <w:tcPr>
                  <w:tcW w:w="1296" w:type="dxa"/>
                  <w:noWrap/>
                  <w:vAlign w:val="center"/>
                </w:tcPr>
                <w:p w14:paraId="2F7AE9B0">
                  <w:pPr>
                    <w:pStyle w:val="38"/>
                    <w:spacing w:before="24" w:line="240" w:lineRule="auto"/>
                    <w:rPr>
                      <w:rFonts w:ascii="Times New Roman" w:hAnsi="Times New Roman" w:cs="Times New Roman"/>
                      <w:color w:val="auto"/>
                      <w:sz w:val="21"/>
                      <w:u w:val="single"/>
                    </w:rPr>
                  </w:pPr>
                  <w:r>
                    <w:rPr>
                      <w:rFonts w:hint="eastAsia" w:ascii="Times New Roman" w:hAnsi="Times New Roman" w:cs="Times New Roman"/>
                      <w:color w:val="auto"/>
                      <w:sz w:val="21"/>
                      <w:u w:val="single"/>
                      <w:lang w:val="en-US" w:eastAsia="zh-CN"/>
                    </w:rPr>
                    <w:t>49</w:t>
                  </w:r>
                  <w:r>
                    <w:rPr>
                      <w:rFonts w:ascii="Times New Roman" w:hAnsi="Times New Roman" w:cs="Times New Roman"/>
                      <w:color w:val="auto"/>
                      <w:sz w:val="21"/>
                      <w:u w:val="single"/>
                    </w:rPr>
                    <w:t>μg/m</w:t>
                  </w:r>
                  <w:r>
                    <w:rPr>
                      <w:rFonts w:ascii="Times New Roman" w:hAnsi="Times New Roman" w:cs="Times New Roman"/>
                      <w:color w:val="auto"/>
                      <w:sz w:val="21"/>
                      <w:u w:val="single"/>
                      <w:vertAlign w:val="superscript"/>
                    </w:rPr>
                    <w:t>3</w:t>
                  </w:r>
                </w:p>
              </w:tc>
              <w:tc>
                <w:tcPr>
                  <w:tcW w:w="1297" w:type="dxa"/>
                  <w:noWrap/>
                  <w:vAlign w:val="center"/>
                </w:tcPr>
                <w:p w14:paraId="5197F08B">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70μg/m</w:t>
                  </w:r>
                  <w:r>
                    <w:rPr>
                      <w:rFonts w:ascii="Times New Roman" w:hAnsi="Times New Roman" w:cs="Times New Roman"/>
                      <w:color w:val="auto"/>
                      <w:sz w:val="21"/>
                      <w:u w:val="single"/>
                      <w:vertAlign w:val="superscript"/>
                    </w:rPr>
                    <w:t>3</w:t>
                  </w:r>
                </w:p>
              </w:tc>
              <w:tc>
                <w:tcPr>
                  <w:tcW w:w="1088" w:type="dxa"/>
                  <w:noWrap/>
                  <w:vAlign w:val="center"/>
                </w:tcPr>
                <w:p w14:paraId="760207EE">
                  <w:pPr>
                    <w:pStyle w:val="38"/>
                    <w:spacing w:before="24" w:line="240" w:lineRule="auto"/>
                    <w:rPr>
                      <w:rFonts w:hint="default" w:ascii="Times New Roman" w:hAnsi="Times New Roman" w:eastAsia="宋体" w:cs="Times New Roman"/>
                      <w:color w:val="auto"/>
                      <w:sz w:val="21"/>
                      <w:u w:val="single"/>
                      <w:lang w:val="en-US" w:eastAsia="zh-CN"/>
                    </w:rPr>
                  </w:pPr>
                  <w:r>
                    <w:rPr>
                      <w:rFonts w:hint="eastAsia" w:ascii="Times New Roman" w:hAnsi="Times New Roman" w:cs="Times New Roman"/>
                      <w:color w:val="auto"/>
                      <w:sz w:val="21"/>
                      <w:u w:val="single"/>
                      <w:lang w:val="en-US" w:eastAsia="zh-CN"/>
                    </w:rPr>
                    <w:t>70.0</w:t>
                  </w:r>
                </w:p>
              </w:tc>
              <w:tc>
                <w:tcPr>
                  <w:tcW w:w="1214" w:type="dxa"/>
                  <w:noWrap/>
                  <w:vAlign w:val="center"/>
                </w:tcPr>
                <w:p w14:paraId="2F308B65">
                  <w:pPr>
                    <w:pStyle w:val="38"/>
                    <w:spacing w:before="24" w:line="240" w:lineRule="auto"/>
                    <w:rPr>
                      <w:rFonts w:ascii="Times New Roman" w:hAnsi="Times New Roman" w:cs="Times New Roman"/>
                      <w:color w:val="auto"/>
                      <w:sz w:val="21"/>
                      <w:u w:val="single"/>
                    </w:rPr>
                  </w:pPr>
                  <w:r>
                    <w:rPr>
                      <w:rFonts w:ascii="Times New Roman" w:hAnsi="Times New Roman" w:cs="Times New Roman"/>
                      <w:color w:val="auto"/>
                      <w:sz w:val="21"/>
                      <w:u w:val="single"/>
                    </w:rPr>
                    <w:t>达标</w:t>
                  </w:r>
                </w:p>
              </w:tc>
            </w:tr>
          </w:tbl>
          <w:p w14:paraId="0ADA0223">
            <w:pPr>
              <w:widowControl/>
              <w:spacing w:line="360" w:lineRule="auto"/>
              <w:ind w:firstLine="480" w:firstLineChars="200"/>
              <w:jc w:val="left"/>
              <w:rPr>
                <w:color w:val="auto"/>
                <w:sz w:val="24"/>
              </w:rPr>
            </w:pPr>
            <w:r>
              <w:rPr>
                <w:color w:val="auto"/>
                <w:sz w:val="24"/>
                <w:u w:val="single"/>
              </w:rPr>
              <w:t>由上表中监测数据可知项目所在区域为达标区域。</w:t>
            </w:r>
          </w:p>
          <w:p w14:paraId="5577DDDD">
            <w:pPr>
              <w:pStyle w:val="113"/>
              <w:snapToGrid w:val="0"/>
              <w:ind w:firstLine="482"/>
              <w:rPr>
                <w:rFonts w:ascii="Times New Roman" w:hAnsi="Times New Roman" w:eastAsia="宋体" w:cs="Times New Roman"/>
                <w:color w:val="auto"/>
                <w:szCs w:val="24"/>
              </w:rPr>
            </w:pPr>
            <w:r>
              <w:rPr>
                <w:rFonts w:ascii="Times New Roman" w:hAnsi="Times New Roman" w:eastAsia="宋体" w:cs="Times New Roman"/>
                <w:b/>
                <w:color w:val="auto"/>
              </w:rPr>
              <w:t>1.2 特征污染因子</w:t>
            </w:r>
          </w:p>
          <w:p w14:paraId="4F3EB674">
            <w:pPr>
              <w:pStyle w:val="113"/>
              <w:snapToGrid w:val="0"/>
              <w:rPr>
                <w:rFonts w:ascii="Times New Roman" w:hAnsi="Times New Roman" w:cs="Times New Roman"/>
                <w:color w:val="auto"/>
                <w:szCs w:val="24"/>
              </w:rPr>
            </w:pPr>
            <w:r>
              <w:rPr>
                <w:rFonts w:ascii="Times New Roman" w:hAnsi="Times New Roman" w:cs="Times New Roman"/>
                <w:color w:val="auto"/>
                <w:szCs w:val="24"/>
              </w:rPr>
              <w:t>为了解本项目所在区域环境空气其他污染物质量现状，本次评价</w:t>
            </w:r>
            <w:r>
              <w:rPr>
                <w:rFonts w:hint="eastAsia" w:ascii="Times New Roman" w:hAnsi="Times New Roman" w:cs="Times New Roman"/>
                <w:color w:val="auto"/>
                <w:szCs w:val="24"/>
              </w:rPr>
              <w:t>引用</w:t>
            </w:r>
            <w:r>
              <w:rPr>
                <w:rFonts w:ascii="Times New Roman" w:hAnsi="Times New Roman" w:cs="Times New Roman"/>
                <w:color w:val="auto"/>
                <w:kern w:val="0"/>
                <w:lang w:bidi="ar"/>
              </w:rPr>
              <w:t>岳阳格物检测有限公司</w:t>
            </w:r>
            <w:r>
              <w:rPr>
                <w:rFonts w:ascii="Times New Roman" w:hAnsi="Times New Roman" w:eastAsia="宋体" w:cs="Times New Roman"/>
                <w:color w:val="auto"/>
                <w:kern w:val="0"/>
                <w:lang w:bidi="ar"/>
              </w:rPr>
              <w:t>于2023年</w:t>
            </w:r>
            <w:r>
              <w:rPr>
                <w:rFonts w:ascii="Times New Roman" w:hAnsi="Times New Roman" w:cs="Times New Roman"/>
                <w:color w:val="auto"/>
                <w:kern w:val="0"/>
                <w:lang w:bidi="ar"/>
              </w:rPr>
              <w:t>5</w:t>
            </w:r>
            <w:r>
              <w:rPr>
                <w:rFonts w:ascii="Times New Roman" w:hAnsi="Times New Roman" w:eastAsia="宋体" w:cs="Times New Roman"/>
                <w:color w:val="auto"/>
                <w:kern w:val="0"/>
                <w:lang w:bidi="ar"/>
              </w:rPr>
              <w:t>月</w:t>
            </w:r>
            <w:r>
              <w:rPr>
                <w:rFonts w:ascii="Times New Roman" w:hAnsi="Times New Roman" w:cs="Times New Roman"/>
                <w:color w:val="auto"/>
                <w:kern w:val="0"/>
                <w:lang w:bidi="ar"/>
              </w:rPr>
              <w:t>19</w:t>
            </w:r>
            <w:r>
              <w:rPr>
                <w:rFonts w:hint="eastAsia" w:ascii="Times New Roman" w:hAnsi="Times New Roman" w:cs="Times New Roman"/>
                <w:color w:val="auto"/>
                <w:kern w:val="0"/>
                <w:lang w:eastAsia="zh-CN" w:bidi="ar"/>
              </w:rPr>
              <w:t>—</w:t>
            </w:r>
            <w:r>
              <w:rPr>
                <w:rFonts w:ascii="Times New Roman" w:hAnsi="Times New Roman" w:cs="Times New Roman"/>
                <w:color w:val="auto"/>
                <w:kern w:val="0"/>
                <w:lang w:bidi="ar"/>
              </w:rPr>
              <w:t>21</w:t>
            </w:r>
            <w:r>
              <w:rPr>
                <w:rFonts w:ascii="Times New Roman" w:hAnsi="Times New Roman" w:eastAsia="宋体" w:cs="Times New Roman"/>
                <w:color w:val="auto"/>
                <w:kern w:val="0"/>
                <w:lang w:bidi="ar"/>
              </w:rPr>
              <w:t>日</w:t>
            </w:r>
            <w:r>
              <w:rPr>
                <w:rFonts w:hint="eastAsia" w:ascii="Times New Roman" w:hAnsi="Times New Roman" w:eastAsia="宋体" w:cs="Times New Roman"/>
                <w:color w:val="auto"/>
                <w:kern w:val="0"/>
                <w:lang w:bidi="ar"/>
              </w:rPr>
              <w:t>对</w:t>
            </w:r>
            <w:r>
              <w:rPr>
                <w:rFonts w:hint="eastAsia" w:ascii="Times New Roman" w:hAnsi="Times New Roman" w:cs="Times New Roman"/>
                <w:color w:val="auto"/>
                <w:szCs w:val="24"/>
              </w:rPr>
              <w:t>《湖南希奕环境卫生管理有限公司日处理20吨餐厨垃圾建设项目》区域</w:t>
            </w:r>
            <w:r>
              <w:rPr>
                <w:rFonts w:ascii="Times New Roman" w:hAnsi="Times New Roman" w:cs="Times New Roman"/>
                <w:color w:val="auto"/>
                <w:szCs w:val="24"/>
              </w:rPr>
              <w:t>空气质量进行了3天的监测。</w:t>
            </w:r>
          </w:p>
          <w:p w14:paraId="7F5E8755">
            <w:pPr>
              <w:pStyle w:val="113"/>
              <w:snapToGrid w:val="0"/>
              <w:rPr>
                <w:rFonts w:ascii="Times New Roman" w:hAnsi="Times New Roman" w:cs="Times New Roman"/>
                <w:color w:val="auto"/>
                <w:szCs w:val="24"/>
              </w:rPr>
            </w:pPr>
            <w:r>
              <w:rPr>
                <w:rFonts w:ascii="Times New Roman" w:hAnsi="Times New Roman" w:eastAsia="宋体" w:cs="Times New Roman"/>
                <w:color w:val="auto"/>
                <w:szCs w:val="24"/>
              </w:rPr>
              <w:t>①</w:t>
            </w:r>
            <w:r>
              <w:rPr>
                <w:rFonts w:ascii="Times New Roman" w:hAnsi="Times New Roman" w:cs="Times New Roman"/>
                <w:color w:val="auto"/>
                <w:szCs w:val="24"/>
              </w:rPr>
              <w:t>监测因子</w:t>
            </w:r>
            <w:r>
              <w:rPr>
                <w:rFonts w:hint="eastAsia" w:ascii="Times New Roman" w:hAnsi="Times New Roman" w:cs="Times New Roman"/>
                <w:color w:val="auto"/>
                <w:szCs w:val="24"/>
              </w:rPr>
              <w:t>：</w:t>
            </w:r>
            <w:r>
              <w:rPr>
                <w:rFonts w:ascii="Times New Roman" w:hAnsi="Times New Roman" w:cs="Times New Roman"/>
                <w:color w:val="auto"/>
                <w:szCs w:val="24"/>
              </w:rPr>
              <w:t>TSP</w:t>
            </w:r>
            <w:r>
              <w:rPr>
                <w:rFonts w:hint="eastAsia" w:ascii="Times New Roman" w:hAnsi="Times New Roman" w:cs="Times New Roman"/>
                <w:color w:val="auto"/>
                <w:szCs w:val="24"/>
              </w:rPr>
              <w:t>；</w:t>
            </w:r>
          </w:p>
          <w:p w14:paraId="1B057573">
            <w:pPr>
              <w:pStyle w:val="113"/>
              <w:snapToGrid w:val="0"/>
              <w:rPr>
                <w:rFonts w:ascii="Times New Roman" w:hAnsi="Times New Roman" w:cs="Times New Roman"/>
                <w:color w:val="auto"/>
                <w:szCs w:val="24"/>
              </w:rPr>
            </w:pPr>
            <w:r>
              <w:rPr>
                <w:rFonts w:ascii="Times New Roman" w:hAnsi="Times New Roman" w:eastAsia="宋体" w:cs="Times New Roman"/>
                <w:color w:val="auto"/>
                <w:szCs w:val="24"/>
              </w:rPr>
              <w:t>②</w:t>
            </w:r>
            <w:r>
              <w:rPr>
                <w:rFonts w:ascii="Times New Roman" w:hAnsi="Times New Roman" w:cs="Times New Roman"/>
                <w:color w:val="auto"/>
                <w:szCs w:val="24"/>
              </w:rPr>
              <w:t>监测点位：</w:t>
            </w:r>
            <w:r>
              <w:rPr>
                <w:rFonts w:hint="eastAsia" w:ascii="Times New Roman" w:hAnsi="Times New Roman" w:cs="Times New Roman"/>
                <w:color w:val="auto"/>
                <w:szCs w:val="24"/>
              </w:rPr>
              <w:t>G1项目厂界外东北侧（距</w:t>
            </w:r>
            <w:r>
              <w:rPr>
                <w:rFonts w:hint="eastAsia" w:ascii="Times New Roman" w:hAnsi="Times New Roman" w:cs="Times New Roman"/>
                <w:color w:val="auto"/>
                <w:szCs w:val="24"/>
                <w:lang w:val="en-US" w:eastAsia="zh-CN"/>
              </w:rPr>
              <w:t>本项目</w:t>
            </w:r>
            <w:r>
              <w:rPr>
                <w:rFonts w:hint="eastAsia" w:ascii="Times New Roman" w:hAnsi="Times New Roman" w:cs="Times New Roman"/>
                <w:color w:val="auto"/>
                <w:szCs w:val="24"/>
              </w:rPr>
              <w:t>厂界直线距离49</w:t>
            </w:r>
            <w:r>
              <w:rPr>
                <w:rFonts w:hint="eastAsia" w:ascii="Times New Roman" w:hAnsi="Times New Roman" w:cs="Times New Roman"/>
                <w:color w:val="auto"/>
                <w:szCs w:val="24"/>
                <w:lang w:val="en-US" w:eastAsia="zh-CN"/>
              </w:rPr>
              <w:t>38</w:t>
            </w:r>
            <w:r>
              <w:rPr>
                <w:rFonts w:hint="eastAsia" w:ascii="Times New Roman" w:hAnsi="Times New Roman" w:cs="Times New Roman"/>
                <w:color w:val="auto"/>
                <w:szCs w:val="24"/>
              </w:rPr>
              <w:t>m）；</w:t>
            </w:r>
          </w:p>
          <w:p w14:paraId="17082C69">
            <w:pPr>
              <w:pStyle w:val="113"/>
              <w:snapToGrid w:val="0"/>
              <w:rPr>
                <w:rFonts w:ascii="Times New Roman" w:hAnsi="Times New Roman" w:cs="Times New Roman"/>
                <w:color w:val="auto"/>
                <w:szCs w:val="24"/>
              </w:rPr>
            </w:pPr>
            <w:r>
              <w:rPr>
                <w:rFonts w:ascii="Times New Roman" w:hAnsi="Times New Roman" w:eastAsia="宋体" w:cs="Times New Roman"/>
                <w:color w:val="auto"/>
                <w:szCs w:val="24"/>
              </w:rPr>
              <w:t>③</w:t>
            </w:r>
            <w:r>
              <w:rPr>
                <w:rFonts w:ascii="Times New Roman" w:hAnsi="Times New Roman" w:cs="Times New Roman"/>
                <w:color w:val="auto"/>
                <w:szCs w:val="24"/>
              </w:rPr>
              <w:t>监测时间与频次：</w:t>
            </w:r>
            <w:r>
              <w:rPr>
                <w:rFonts w:ascii="Times New Roman" w:hAnsi="Times New Roman" w:eastAsia="宋体" w:cs="Times New Roman"/>
                <w:color w:val="auto"/>
                <w:kern w:val="0"/>
                <w:lang w:bidi="ar"/>
              </w:rPr>
              <w:t>2023年</w:t>
            </w:r>
            <w:r>
              <w:rPr>
                <w:rFonts w:ascii="Times New Roman" w:hAnsi="Times New Roman" w:cs="Times New Roman"/>
                <w:color w:val="auto"/>
                <w:kern w:val="0"/>
                <w:lang w:bidi="ar"/>
              </w:rPr>
              <w:t>5</w:t>
            </w:r>
            <w:r>
              <w:rPr>
                <w:rFonts w:ascii="Times New Roman" w:hAnsi="Times New Roman" w:eastAsia="宋体" w:cs="Times New Roman"/>
                <w:color w:val="auto"/>
                <w:kern w:val="0"/>
                <w:lang w:bidi="ar"/>
              </w:rPr>
              <w:t>月</w:t>
            </w:r>
            <w:r>
              <w:rPr>
                <w:rFonts w:ascii="Times New Roman" w:hAnsi="Times New Roman" w:cs="Times New Roman"/>
                <w:color w:val="auto"/>
                <w:kern w:val="0"/>
                <w:lang w:bidi="ar"/>
              </w:rPr>
              <w:t>19</w:t>
            </w:r>
            <w:r>
              <w:rPr>
                <w:rFonts w:hint="eastAsia" w:ascii="Times New Roman" w:hAnsi="Times New Roman" w:cs="Times New Roman"/>
                <w:color w:val="auto"/>
                <w:kern w:val="0"/>
                <w:lang w:eastAsia="zh-CN" w:bidi="ar"/>
              </w:rPr>
              <w:t>—</w:t>
            </w:r>
            <w:r>
              <w:rPr>
                <w:rFonts w:ascii="Times New Roman" w:hAnsi="Times New Roman" w:cs="Times New Roman"/>
                <w:color w:val="auto"/>
                <w:kern w:val="0"/>
                <w:lang w:bidi="ar"/>
              </w:rPr>
              <w:t>21</w:t>
            </w:r>
            <w:r>
              <w:rPr>
                <w:rFonts w:ascii="Times New Roman" w:hAnsi="Times New Roman" w:eastAsia="宋体" w:cs="Times New Roman"/>
                <w:color w:val="auto"/>
                <w:kern w:val="0"/>
                <w:lang w:bidi="ar"/>
              </w:rPr>
              <w:t>日</w:t>
            </w:r>
            <w:r>
              <w:rPr>
                <w:rFonts w:hint="eastAsia" w:ascii="Times New Roman" w:hAnsi="Times New Roman" w:cs="Times New Roman"/>
                <w:color w:val="auto"/>
                <w:szCs w:val="24"/>
              </w:rPr>
              <w:t>，监测日均值；</w:t>
            </w:r>
          </w:p>
          <w:p w14:paraId="5BBA1BB5">
            <w:pPr>
              <w:pStyle w:val="113"/>
              <w:snapToGrid w:val="0"/>
              <w:rPr>
                <w:rFonts w:ascii="Times New Roman" w:hAnsi="Times New Roman" w:cs="Times New Roman"/>
                <w:color w:val="auto"/>
                <w:szCs w:val="24"/>
              </w:rPr>
            </w:pPr>
            <w:r>
              <w:rPr>
                <w:rFonts w:hint="eastAsia" w:ascii="宋体" w:hAnsi="宋体" w:eastAsia="宋体" w:cs="宋体"/>
                <w:color w:val="auto"/>
                <w:szCs w:val="24"/>
              </w:rPr>
              <w:t>④监测结果：见下表</w:t>
            </w:r>
            <w:r>
              <w:rPr>
                <w:rFonts w:ascii="Times New Roman" w:hAnsi="Times New Roman" w:cs="Times New Roman"/>
                <w:color w:val="auto"/>
                <w:szCs w:val="24"/>
              </w:rPr>
              <w:t>。</w:t>
            </w:r>
          </w:p>
          <w:p w14:paraId="181B6D39">
            <w:pPr>
              <w:pStyle w:val="105"/>
              <w:rPr>
                <w:color w:val="auto"/>
                <w:sz w:val="24"/>
                <w:szCs w:val="24"/>
                <w:vertAlign w:val="superscript"/>
              </w:rPr>
            </w:pPr>
            <w:r>
              <w:rPr>
                <w:color w:val="auto"/>
                <w:sz w:val="24"/>
                <w:szCs w:val="24"/>
              </w:rPr>
              <w:t>表3-2  环境空气质量现状监测结果一览表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950"/>
              <w:gridCol w:w="984"/>
              <w:gridCol w:w="1246"/>
              <w:gridCol w:w="1232"/>
              <w:gridCol w:w="1746"/>
              <w:gridCol w:w="948"/>
              <w:gridCol w:w="983"/>
            </w:tblGrid>
            <w:tr w14:paraId="638BD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950" w:type="dxa"/>
                  <w:vMerge w:val="restart"/>
                  <w:tcBorders>
                    <w:tl2br w:val="nil"/>
                    <w:tr2bl w:val="nil"/>
                  </w:tcBorders>
                  <w:vAlign w:val="center"/>
                </w:tcPr>
                <w:p w14:paraId="4831CEB9">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监测点位</w:t>
                  </w:r>
                </w:p>
              </w:tc>
              <w:tc>
                <w:tcPr>
                  <w:tcW w:w="984" w:type="dxa"/>
                  <w:vMerge w:val="restart"/>
                  <w:tcBorders>
                    <w:tl2br w:val="nil"/>
                    <w:tr2bl w:val="nil"/>
                  </w:tcBorders>
                  <w:vAlign w:val="center"/>
                </w:tcPr>
                <w:p w14:paraId="5678E6C1">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1246" w:type="dxa"/>
                  <w:vMerge w:val="restart"/>
                  <w:tcBorders>
                    <w:tl2br w:val="nil"/>
                    <w:tr2bl w:val="nil"/>
                  </w:tcBorders>
                  <w:vAlign w:val="center"/>
                </w:tcPr>
                <w:p w14:paraId="02C1C170">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平均时间</w:t>
                  </w:r>
                </w:p>
              </w:tc>
              <w:tc>
                <w:tcPr>
                  <w:tcW w:w="1232" w:type="dxa"/>
                  <w:vMerge w:val="restart"/>
                  <w:tcBorders>
                    <w:tl2br w:val="nil"/>
                    <w:tr2bl w:val="nil"/>
                  </w:tcBorders>
                  <w:vAlign w:val="center"/>
                </w:tcPr>
                <w:p w14:paraId="59E8C237">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评价标准/（mg/Nm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1746" w:type="dxa"/>
                  <w:vMerge w:val="restart"/>
                  <w:tcBorders>
                    <w:tl2br w:val="nil"/>
                    <w:tr2bl w:val="nil"/>
                  </w:tcBorders>
                  <w:vAlign w:val="center"/>
                </w:tcPr>
                <w:p w14:paraId="218B5538">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监测浓度范围/（μg/m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948" w:type="dxa"/>
                  <w:vMerge w:val="restart"/>
                  <w:tcBorders>
                    <w:tl2br w:val="nil"/>
                    <w:tr2bl w:val="nil"/>
                  </w:tcBorders>
                  <w:vAlign w:val="center"/>
                </w:tcPr>
                <w:p w14:paraId="2795D640">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超标率/%</w:t>
                  </w:r>
                </w:p>
              </w:tc>
              <w:tc>
                <w:tcPr>
                  <w:tcW w:w="983" w:type="dxa"/>
                  <w:vMerge w:val="restart"/>
                  <w:tcBorders>
                    <w:tl2br w:val="nil"/>
                    <w:tr2bl w:val="nil"/>
                  </w:tcBorders>
                  <w:vAlign w:val="center"/>
                </w:tcPr>
                <w:p w14:paraId="7AFD12A1">
                  <w:pPr>
                    <w:adjustRightInd w:val="0"/>
                    <w:snapToGri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达标情况</w:t>
                  </w:r>
                </w:p>
              </w:tc>
            </w:tr>
            <w:tr w14:paraId="0B115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12" w:hRule="atLeast"/>
                <w:tblHeader/>
                <w:jc w:val="center"/>
              </w:trPr>
              <w:tc>
                <w:tcPr>
                  <w:tcW w:w="950" w:type="dxa"/>
                  <w:vMerge w:val="continue"/>
                  <w:tcBorders>
                    <w:tl2br w:val="nil"/>
                    <w:tr2bl w:val="nil"/>
                  </w:tcBorders>
                  <w:vAlign w:val="center"/>
                </w:tcPr>
                <w:p w14:paraId="1BF87095">
                  <w:pPr>
                    <w:adjustRightInd w:val="0"/>
                    <w:snapToGrid w:val="0"/>
                    <w:jc w:val="center"/>
                    <w:textAlignment w:val="baseline"/>
                    <w:rPr>
                      <w:rFonts w:ascii="Times New Roman" w:hAnsi="Times New Roman" w:eastAsia="宋体" w:cs="Times New Roman"/>
                      <w:color w:val="auto"/>
                      <w:szCs w:val="21"/>
                    </w:rPr>
                  </w:pPr>
                </w:p>
              </w:tc>
              <w:tc>
                <w:tcPr>
                  <w:tcW w:w="984" w:type="dxa"/>
                  <w:vMerge w:val="continue"/>
                  <w:tcBorders>
                    <w:tl2br w:val="nil"/>
                    <w:tr2bl w:val="nil"/>
                  </w:tcBorders>
                  <w:vAlign w:val="center"/>
                </w:tcPr>
                <w:p w14:paraId="515FCDB7">
                  <w:pPr>
                    <w:adjustRightInd w:val="0"/>
                    <w:snapToGrid w:val="0"/>
                    <w:jc w:val="center"/>
                    <w:textAlignment w:val="baseline"/>
                    <w:rPr>
                      <w:rFonts w:ascii="Times New Roman" w:hAnsi="Times New Roman" w:eastAsia="宋体" w:cs="Times New Roman"/>
                      <w:color w:val="auto"/>
                      <w:szCs w:val="21"/>
                    </w:rPr>
                  </w:pPr>
                </w:p>
              </w:tc>
              <w:tc>
                <w:tcPr>
                  <w:tcW w:w="1246" w:type="dxa"/>
                  <w:vMerge w:val="continue"/>
                  <w:tcBorders>
                    <w:tl2br w:val="nil"/>
                    <w:tr2bl w:val="nil"/>
                  </w:tcBorders>
                  <w:vAlign w:val="center"/>
                </w:tcPr>
                <w:p w14:paraId="2CFE3825">
                  <w:pPr>
                    <w:adjustRightInd w:val="0"/>
                    <w:snapToGrid w:val="0"/>
                    <w:jc w:val="center"/>
                    <w:textAlignment w:val="baseline"/>
                    <w:rPr>
                      <w:rFonts w:ascii="Times New Roman" w:hAnsi="Times New Roman" w:eastAsia="宋体" w:cs="Times New Roman"/>
                      <w:color w:val="auto"/>
                      <w:szCs w:val="21"/>
                    </w:rPr>
                  </w:pPr>
                </w:p>
              </w:tc>
              <w:tc>
                <w:tcPr>
                  <w:tcW w:w="1232" w:type="dxa"/>
                  <w:vMerge w:val="continue"/>
                  <w:tcBorders>
                    <w:tl2br w:val="nil"/>
                    <w:tr2bl w:val="nil"/>
                  </w:tcBorders>
                  <w:vAlign w:val="center"/>
                </w:tcPr>
                <w:p w14:paraId="5FC18DEE">
                  <w:pPr>
                    <w:adjustRightInd w:val="0"/>
                    <w:snapToGrid w:val="0"/>
                    <w:jc w:val="center"/>
                    <w:textAlignment w:val="baseline"/>
                    <w:rPr>
                      <w:rFonts w:ascii="Times New Roman" w:hAnsi="Times New Roman" w:eastAsia="宋体" w:cs="Times New Roman"/>
                      <w:color w:val="auto"/>
                      <w:szCs w:val="21"/>
                    </w:rPr>
                  </w:pPr>
                </w:p>
              </w:tc>
              <w:tc>
                <w:tcPr>
                  <w:tcW w:w="1746" w:type="dxa"/>
                  <w:vMerge w:val="continue"/>
                  <w:tcBorders>
                    <w:tl2br w:val="nil"/>
                    <w:tr2bl w:val="nil"/>
                  </w:tcBorders>
                  <w:vAlign w:val="center"/>
                </w:tcPr>
                <w:p w14:paraId="761532E2">
                  <w:pPr>
                    <w:adjustRightInd w:val="0"/>
                    <w:snapToGrid w:val="0"/>
                    <w:jc w:val="center"/>
                    <w:textAlignment w:val="baseline"/>
                    <w:rPr>
                      <w:rFonts w:ascii="Times New Roman" w:hAnsi="Times New Roman" w:eastAsia="宋体" w:cs="Times New Roman"/>
                      <w:color w:val="auto"/>
                      <w:szCs w:val="21"/>
                    </w:rPr>
                  </w:pPr>
                </w:p>
              </w:tc>
              <w:tc>
                <w:tcPr>
                  <w:tcW w:w="948" w:type="dxa"/>
                  <w:vMerge w:val="continue"/>
                  <w:tcBorders>
                    <w:tl2br w:val="nil"/>
                    <w:tr2bl w:val="nil"/>
                  </w:tcBorders>
                  <w:vAlign w:val="center"/>
                </w:tcPr>
                <w:p w14:paraId="5280404E">
                  <w:pPr>
                    <w:adjustRightInd w:val="0"/>
                    <w:snapToGrid w:val="0"/>
                    <w:jc w:val="center"/>
                    <w:textAlignment w:val="baseline"/>
                    <w:rPr>
                      <w:rFonts w:ascii="Times New Roman" w:hAnsi="Times New Roman" w:eastAsia="宋体" w:cs="Times New Roman"/>
                      <w:color w:val="auto"/>
                      <w:szCs w:val="21"/>
                    </w:rPr>
                  </w:pPr>
                </w:p>
              </w:tc>
              <w:tc>
                <w:tcPr>
                  <w:tcW w:w="983" w:type="dxa"/>
                  <w:vMerge w:val="continue"/>
                  <w:tcBorders>
                    <w:tl2br w:val="nil"/>
                    <w:tr2bl w:val="nil"/>
                  </w:tcBorders>
                  <w:vAlign w:val="center"/>
                </w:tcPr>
                <w:p w14:paraId="4116A7B5">
                  <w:pPr>
                    <w:adjustRightInd w:val="0"/>
                    <w:snapToGrid w:val="0"/>
                    <w:jc w:val="center"/>
                    <w:textAlignment w:val="baseline"/>
                    <w:rPr>
                      <w:rFonts w:ascii="Times New Roman" w:hAnsi="Times New Roman" w:eastAsia="宋体" w:cs="Times New Roman"/>
                      <w:color w:val="auto"/>
                      <w:szCs w:val="21"/>
                    </w:rPr>
                  </w:pPr>
                </w:p>
              </w:tc>
            </w:tr>
            <w:tr w14:paraId="1F0C4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50" w:type="dxa"/>
                  <w:tcBorders>
                    <w:tl2br w:val="nil"/>
                    <w:tr2bl w:val="nil"/>
                  </w:tcBorders>
                  <w:vAlign w:val="center"/>
                </w:tcPr>
                <w:p w14:paraId="26E2506A">
                  <w:pPr>
                    <w:adjustRightInd w:val="0"/>
                    <w:snapToGrid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G1</w:t>
                  </w:r>
                </w:p>
              </w:tc>
              <w:tc>
                <w:tcPr>
                  <w:tcW w:w="984" w:type="dxa"/>
                  <w:tcBorders>
                    <w:tl2br w:val="nil"/>
                    <w:tr2bl w:val="nil"/>
                  </w:tcBorders>
                  <w:vAlign w:val="center"/>
                </w:tcPr>
                <w:p w14:paraId="151D8627">
                  <w:pPr>
                    <w:snapToGrid w:val="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TSP</w:t>
                  </w:r>
                </w:p>
              </w:tc>
              <w:tc>
                <w:tcPr>
                  <w:tcW w:w="1246" w:type="dxa"/>
                  <w:tcBorders>
                    <w:tl2br w:val="nil"/>
                    <w:tr2bl w:val="nil"/>
                  </w:tcBorders>
                  <w:vAlign w:val="center"/>
                </w:tcPr>
                <w:p w14:paraId="3DCAD2AB">
                  <w:pPr>
                    <w:widowControl/>
                    <w:snapToGrid w:val="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日平均</w:t>
                  </w:r>
                </w:p>
              </w:tc>
              <w:tc>
                <w:tcPr>
                  <w:tcW w:w="1232" w:type="dxa"/>
                  <w:tcBorders>
                    <w:tl2br w:val="nil"/>
                    <w:tr2bl w:val="nil"/>
                  </w:tcBorders>
                  <w:vAlign w:val="center"/>
                </w:tcPr>
                <w:p w14:paraId="7FA4A34D">
                  <w:pPr>
                    <w:widowControl/>
                    <w:snapToGrid w:val="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0.3</w:t>
                  </w:r>
                </w:p>
              </w:tc>
              <w:tc>
                <w:tcPr>
                  <w:tcW w:w="1746" w:type="dxa"/>
                  <w:tcBorders>
                    <w:tl2br w:val="nil"/>
                    <w:tr2bl w:val="nil"/>
                  </w:tcBorders>
                  <w:vAlign w:val="center"/>
                </w:tcPr>
                <w:p w14:paraId="4F604229">
                  <w:pPr>
                    <w:widowControl/>
                    <w:snapToGrid w:val="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0.191-0.220</w:t>
                  </w:r>
                </w:p>
              </w:tc>
              <w:tc>
                <w:tcPr>
                  <w:tcW w:w="948" w:type="dxa"/>
                  <w:tcBorders>
                    <w:tl2br w:val="nil"/>
                    <w:tr2bl w:val="nil"/>
                  </w:tcBorders>
                  <w:vAlign w:val="center"/>
                </w:tcPr>
                <w:p w14:paraId="65E86B16">
                  <w:pPr>
                    <w:widowControl/>
                    <w:snapToGrid w:val="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0</w:t>
                  </w:r>
                </w:p>
              </w:tc>
              <w:tc>
                <w:tcPr>
                  <w:tcW w:w="983" w:type="dxa"/>
                  <w:tcBorders>
                    <w:tl2br w:val="nil"/>
                    <w:tr2bl w:val="nil"/>
                  </w:tcBorders>
                  <w:vAlign w:val="center"/>
                </w:tcPr>
                <w:p w14:paraId="2FA9F2F4">
                  <w:pPr>
                    <w:adjustRightInd w:val="0"/>
                    <w:snapToGrid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r>
          </w:tbl>
          <w:p w14:paraId="2688DD22">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根据上表可</w:t>
            </w:r>
            <w:r>
              <w:rPr>
                <w:rFonts w:hint="eastAsia" w:ascii="Times New Roman" w:hAnsi="Times New Roman" w:cs="Times New Roman"/>
                <w:color w:val="auto"/>
                <w:sz w:val="24"/>
                <w:szCs w:val="24"/>
              </w:rPr>
              <w:t>知</w:t>
            </w:r>
            <w:r>
              <w:rPr>
                <w:rFonts w:ascii="Times New Roman" w:hAnsi="Times New Roman" w:cs="Times New Roman"/>
                <w:color w:val="auto"/>
                <w:sz w:val="24"/>
                <w:szCs w:val="24"/>
              </w:rPr>
              <w:t>，TSP满足《环境空气质量标准》（GB3095-2012）中二级标准。</w:t>
            </w:r>
          </w:p>
          <w:p w14:paraId="2D5EAD8C">
            <w:pPr>
              <w:spacing w:line="360" w:lineRule="auto"/>
              <w:textAlignment w:val="baseline"/>
              <w:rPr>
                <w:rFonts w:ascii="Times New Roman" w:hAnsi="Times New Roman" w:eastAsia="宋体" w:cs="Times New Roman"/>
                <w:b/>
                <w:color w:val="auto"/>
                <w:spacing w:val="8"/>
                <w:sz w:val="24"/>
                <w:szCs w:val="24"/>
                <w:u w:val="none" w:color="auto"/>
              </w:rPr>
            </w:pPr>
            <w:r>
              <w:rPr>
                <w:rFonts w:ascii="Times New Roman" w:hAnsi="Times New Roman" w:eastAsia="宋体" w:cs="Times New Roman"/>
                <w:b/>
                <w:color w:val="auto"/>
                <w:spacing w:val="8"/>
                <w:sz w:val="24"/>
                <w:szCs w:val="24"/>
                <w:u w:val="none" w:color="auto"/>
              </w:rPr>
              <w:t>2</w:t>
            </w:r>
            <w:r>
              <w:rPr>
                <w:rFonts w:hint="eastAsia" w:ascii="Times New Roman" w:hAnsi="Times New Roman" w:eastAsia="宋体" w:cs="Times New Roman"/>
                <w:b/>
                <w:color w:val="auto"/>
                <w:spacing w:val="8"/>
                <w:sz w:val="24"/>
                <w:szCs w:val="24"/>
                <w:u w:val="none" w:color="auto"/>
                <w:lang w:eastAsia="zh-CN"/>
              </w:rPr>
              <w:t>、</w:t>
            </w:r>
            <w:r>
              <w:rPr>
                <w:rFonts w:ascii="Times New Roman" w:hAnsi="Times New Roman" w:eastAsia="宋体" w:cs="Times New Roman"/>
                <w:b/>
                <w:color w:val="auto"/>
                <w:spacing w:val="8"/>
                <w:sz w:val="24"/>
                <w:szCs w:val="24"/>
                <w:u w:val="none" w:color="auto"/>
              </w:rPr>
              <w:t>地表水环境质量现状</w:t>
            </w:r>
          </w:p>
          <w:p w14:paraId="311547E9">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cs="Times New Roman"/>
                <w:color w:val="auto"/>
                <w:sz w:val="24"/>
                <w:szCs w:val="24"/>
              </w:rPr>
              <w:t>项目废水不外排，区域地表水体为新墙河。</w:t>
            </w:r>
            <w:r>
              <w:rPr>
                <w:rFonts w:ascii="Times New Roman" w:hAnsi="Times New Roman" w:cs="Times New Roman"/>
                <w:color w:val="auto"/>
                <w:sz w:val="24"/>
                <w:szCs w:val="24"/>
                <w:shd w:val="clear" w:color="auto" w:fill="FFFFFF"/>
              </w:rPr>
              <w:t>为了解纳污水体新墙河的水环境质量现状，</w:t>
            </w:r>
            <w:r>
              <w:rPr>
                <w:rFonts w:ascii="Times New Roman" w:hAnsi="Times New Roman" w:eastAsia="宋体" w:cs="Times New Roman"/>
                <w:color w:val="auto"/>
                <w:sz w:val="24"/>
              </w:rPr>
              <w:t>本评价引用</w:t>
            </w:r>
            <w:r>
              <w:rPr>
                <w:rFonts w:ascii="Times New Roman" w:hAnsi="Times New Roman" w:eastAsia="宋体" w:cs="Times New Roman"/>
                <w:color w:val="auto"/>
                <w:sz w:val="24"/>
                <w:szCs w:val="32"/>
              </w:rPr>
              <w:t>生态环境主管部门</w:t>
            </w:r>
            <w:r>
              <w:rPr>
                <w:rFonts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rPr>
              <w:t>年对新墙河常规监测断面新墙河</w:t>
            </w:r>
            <w:r>
              <w:rPr>
                <w:rFonts w:ascii="Times New Roman" w:hAnsi="Times New Roman" w:cs="Times New Roman"/>
                <w:color w:val="auto"/>
                <w:sz w:val="24"/>
              </w:rPr>
              <w:t>八仙桥</w:t>
            </w:r>
            <w:r>
              <w:rPr>
                <w:rFonts w:ascii="Times New Roman" w:hAnsi="Times New Roman" w:eastAsia="宋体" w:cs="Times New Roman"/>
                <w:color w:val="auto"/>
                <w:sz w:val="24"/>
              </w:rPr>
              <w:t>的地表水分析数据。</w:t>
            </w:r>
          </w:p>
          <w:p w14:paraId="79512146">
            <w:pPr>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 xml:space="preserve">表3-3  </w:t>
            </w:r>
            <w:r>
              <w:rPr>
                <w:rFonts w:hint="eastAsia" w:ascii="Times New Roman" w:hAnsi="Times New Roman" w:eastAsia="宋体" w:cs="Times New Roman"/>
                <w:b/>
                <w:bCs/>
                <w:color w:val="auto"/>
                <w:kern w:val="0"/>
                <w:sz w:val="24"/>
                <w:szCs w:val="24"/>
                <w:lang w:val="en-US" w:eastAsia="zh-CN"/>
              </w:rPr>
              <w:t>2023年</w:t>
            </w:r>
            <w:r>
              <w:rPr>
                <w:rFonts w:ascii="Times New Roman" w:hAnsi="Times New Roman" w:eastAsia="宋体" w:cs="Times New Roman"/>
                <w:b/>
                <w:bCs/>
                <w:color w:val="auto"/>
                <w:kern w:val="0"/>
                <w:sz w:val="24"/>
                <w:szCs w:val="24"/>
              </w:rPr>
              <w:t>八仙桥断面地表水监测统计结果</w:t>
            </w:r>
          </w:p>
          <w:tbl>
            <w:tblPr>
              <w:tblStyle w:val="2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34"/>
              <w:gridCol w:w="2329"/>
              <w:gridCol w:w="1440"/>
              <w:gridCol w:w="1295"/>
              <w:gridCol w:w="1639"/>
            </w:tblGrid>
            <w:tr w14:paraId="44136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931" w:type="pct"/>
                  <w:tcMar>
                    <w:top w:w="15" w:type="dxa"/>
                    <w:left w:w="15" w:type="dxa"/>
                    <w:bottom w:w="15" w:type="dxa"/>
                    <w:right w:w="15" w:type="dxa"/>
                  </w:tcMar>
                  <w:vAlign w:val="center"/>
                </w:tcPr>
                <w:p w14:paraId="7D2EE929">
                  <w:pPr>
                    <w:widowControl/>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断面名称</w:t>
                  </w:r>
                </w:p>
              </w:tc>
              <w:tc>
                <w:tcPr>
                  <w:tcW w:w="1413" w:type="pct"/>
                  <w:tcMar>
                    <w:top w:w="15" w:type="dxa"/>
                    <w:left w:w="15" w:type="dxa"/>
                    <w:bottom w:w="15" w:type="dxa"/>
                    <w:right w:w="15" w:type="dxa"/>
                  </w:tcMar>
                  <w:vAlign w:val="center"/>
                </w:tcPr>
                <w:p w14:paraId="70E42087">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监测因子</w:t>
                  </w:r>
                </w:p>
              </w:tc>
              <w:tc>
                <w:tcPr>
                  <w:tcW w:w="874" w:type="pct"/>
                  <w:tcMar>
                    <w:top w:w="15" w:type="dxa"/>
                    <w:left w:w="15" w:type="dxa"/>
                    <w:bottom w:w="15" w:type="dxa"/>
                    <w:right w:w="15" w:type="dxa"/>
                  </w:tcMar>
                  <w:vAlign w:val="center"/>
                </w:tcPr>
                <w:p w14:paraId="11792721">
                  <w:pPr>
                    <w:widowControl/>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rPr>
                    <w:t>单位</w:t>
                  </w:r>
                </w:p>
              </w:tc>
              <w:tc>
                <w:tcPr>
                  <w:tcW w:w="786" w:type="pct"/>
                  <w:tcMar>
                    <w:top w:w="15" w:type="dxa"/>
                    <w:left w:w="15" w:type="dxa"/>
                    <w:bottom w:w="15" w:type="dxa"/>
                    <w:right w:w="15" w:type="dxa"/>
                  </w:tcMar>
                  <w:vAlign w:val="center"/>
                </w:tcPr>
                <w:p w14:paraId="4C1A6C26">
                  <w:pPr>
                    <w:widowControl/>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rPr>
                    <w:t>年均值</w:t>
                  </w:r>
                </w:p>
              </w:tc>
              <w:tc>
                <w:tcPr>
                  <w:tcW w:w="994" w:type="pct"/>
                  <w:tcMar>
                    <w:top w:w="15" w:type="dxa"/>
                    <w:left w:w="15" w:type="dxa"/>
                    <w:bottom w:w="15" w:type="dxa"/>
                    <w:right w:w="15" w:type="dxa"/>
                  </w:tcMar>
                  <w:vAlign w:val="center"/>
                </w:tcPr>
                <w:p w14:paraId="0D73C991">
                  <w:pPr>
                    <w:widowControl/>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rPr>
                    <w:t>标准值</w:t>
                  </w:r>
                </w:p>
              </w:tc>
            </w:tr>
            <w:tr w14:paraId="2B1AF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restart"/>
                  <w:tcMar>
                    <w:top w:w="15" w:type="dxa"/>
                    <w:left w:w="15" w:type="dxa"/>
                    <w:bottom w:w="15" w:type="dxa"/>
                    <w:right w:w="15" w:type="dxa"/>
                  </w:tcMar>
                  <w:vAlign w:val="center"/>
                </w:tcPr>
                <w:p w14:paraId="163FE720">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新墙河八仙桥断面</w:t>
                  </w:r>
                </w:p>
              </w:tc>
              <w:tc>
                <w:tcPr>
                  <w:tcW w:w="1413" w:type="pct"/>
                  <w:tcMar>
                    <w:top w:w="15" w:type="dxa"/>
                    <w:left w:w="15" w:type="dxa"/>
                    <w:bottom w:w="15" w:type="dxa"/>
                    <w:right w:w="15" w:type="dxa"/>
                  </w:tcMar>
                  <w:vAlign w:val="center"/>
                </w:tcPr>
                <w:p w14:paraId="24EFE763">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874" w:type="pct"/>
                  <w:tcMar>
                    <w:top w:w="15" w:type="dxa"/>
                    <w:left w:w="15" w:type="dxa"/>
                    <w:bottom w:w="15" w:type="dxa"/>
                    <w:right w:w="15" w:type="dxa"/>
                  </w:tcMar>
                  <w:vAlign w:val="center"/>
                </w:tcPr>
                <w:p w14:paraId="5EDD27C6">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无量纲</w:t>
                  </w:r>
                </w:p>
              </w:tc>
              <w:tc>
                <w:tcPr>
                  <w:tcW w:w="786" w:type="pct"/>
                  <w:tcMar>
                    <w:top w:w="15" w:type="dxa"/>
                    <w:left w:w="15" w:type="dxa"/>
                    <w:bottom w:w="15" w:type="dxa"/>
                    <w:right w:w="15" w:type="dxa"/>
                  </w:tcMar>
                  <w:vAlign w:val="center"/>
                </w:tcPr>
                <w:p w14:paraId="535204C1">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994" w:type="pct"/>
                  <w:tcMar>
                    <w:top w:w="15" w:type="dxa"/>
                    <w:left w:w="15" w:type="dxa"/>
                    <w:bottom w:w="15" w:type="dxa"/>
                    <w:right w:w="15" w:type="dxa"/>
                  </w:tcMar>
                  <w:vAlign w:val="center"/>
                </w:tcPr>
                <w:p w14:paraId="3743FFA0">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w:t>
                  </w:r>
                </w:p>
              </w:tc>
            </w:tr>
            <w:tr w14:paraId="74D5C4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12DBB1FC">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1C124A5F">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溶解氧</w:t>
                  </w:r>
                </w:p>
              </w:tc>
              <w:tc>
                <w:tcPr>
                  <w:tcW w:w="874" w:type="pct"/>
                  <w:tcMar>
                    <w:top w:w="15" w:type="dxa"/>
                    <w:left w:w="15" w:type="dxa"/>
                    <w:bottom w:w="15" w:type="dxa"/>
                    <w:right w:w="15" w:type="dxa"/>
                  </w:tcMar>
                  <w:vAlign w:val="center"/>
                </w:tcPr>
                <w:p w14:paraId="04B01F3B">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0624EE67">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8.5</w:t>
                  </w:r>
                </w:p>
              </w:tc>
              <w:tc>
                <w:tcPr>
                  <w:tcW w:w="994" w:type="pct"/>
                  <w:tcMar>
                    <w:top w:w="15" w:type="dxa"/>
                    <w:left w:w="15" w:type="dxa"/>
                    <w:bottom w:w="15" w:type="dxa"/>
                    <w:right w:w="15" w:type="dxa"/>
                  </w:tcMar>
                  <w:vAlign w:val="center"/>
                </w:tcPr>
                <w:p w14:paraId="7852202F">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5</w:t>
                  </w:r>
                </w:p>
              </w:tc>
            </w:tr>
            <w:tr w14:paraId="716C3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471BC870">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7A3714B3">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高锰酸盐指数</w:t>
                  </w:r>
                </w:p>
              </w:tc>
              <w:tc>
                <w:tcPr>
                  <w:tcW w:w="874" w:type="pct"/>
                  <w:tcMar>
                    <w:top w:w="15" w:type="dxa"/>
                    <w:left w:w="15" w:type="dxa"/>
                    <w:bottom w:w="15" w:type="dxa"/>
                    <w:right w:w="15" w:type="dxa"/>
                  </w:tcMar>
                  <w:vAlign w:val="center"/>
                </w:tcPr>
                <w:p w14:paraId="6F703038">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1D0E1277">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994" w:type="pct"/>
                  <w:tcMar>
                    <w:top w:w="15" w:type="dxa"/>
                    <w:left w:w="15" w:type="dxa"/>
                    <w:bottom w:w="15" w:type="dxa"/>
                    <w:right w:w="15" w:type="dxa"/>
                  </w:tcMar>
                  <w:vAlign w:val="center"/>
                </w:tcPr>
                <w:p w14:paraId="189A83BB">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6</w:t>
                  </w:r>
                </w:p>
              </w:tc>
            </w:tr>
            <w:tr w14:paraId="31A280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0321C7DF">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5EF04786">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874" w:type="pct"/>
                  <w:tcMar>
                    <w:top w:w="15" w:type="dxa"/>
                    <w:left w:w="15" w:type="dxa"/>
                    <w:bottom w:w="15" w:type="dxa"/>
                    <w:right w:w="15" w:type="dxa"/>
                  </w:tcMar>
                  <w:vAlign w:val="center"/>
                </w:tcPr>
                <w:p w14:paraId="6B53CB05">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3E4239F2">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11.2</w:t>
                  </w:r>
                </w:p>
              </w:tc>
              <w:tc>
                <w:tcPr>
                  <w:tcW w:w="994" w:type="pct"/>
                  <w:tcMar>
                    <w:top w:w="15" w:type="dxa"/>
                    <w:left w:w="15" w:type="dxa"/>
                    <w:bottom w:w="15" w:type="dxa"/>
                    <w:right w:w="15" w:type="dxa"/>
                  </w:tcMar>
                  <w:vAlign w:val="center"/>
                </w:tcPr>
                <w:p w14:paraId="20528320">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20</w:t>
                  </w:r>
                </w:p>
              </w:tc>
            </w:tr>
            <w:tr w14:paraId="240E83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2BEF3319">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029EA090">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w:t>
                  </w:r>
                </w:p>
              </w:tc>
              <w:tc>
                <w:tcPr>
                  <w:tcW w:w="874" w:type="pct"/>
                  <w:tcMar>
                    <w:top w:w="15" w:type="dxa"/>
                    <w:left w:w="15" w:type="dxa"/>
                    <w:bottom w:w="15" w:type="dxa"/>
                    <w:right w:w="15" w:type="dxa"/>
                  </w:tcMar>
                  <w:vAlign w:val="center"/>
                </w:tcPr>
                <w:p w14:paraId="27E80E95">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008DAF33">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w:t>
                  </w:r>
                </w:p>
              </w:tc>
              <w:tc>
                <w:tcPr>
                  <w:tcW w:w="994" w:type="pct"/>
                  <w:tcMar>
                    <w:top w:w="15" w:type="dxa"/>
                    <w:left w:w="15" w:type="dxa"/>
                    <w:bottom w:w="15" w:type="dxa"/>
                    <w:right w:w="15" w:type="dxa"/>
                  </w:tcMar>
                  <w:vAlign w:val="center"/>
                </w:tcPr>
                <w:p w14:paraId="77CB2CA0">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4</w:t>
                  </w:r>
                </w:p>
              </w:tc>
            </w:tr>
            <w:tr w14:paraId="68744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0DBF1C0C">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27A86269">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874" w:type="pct"/>
                  <w:tcMar>
                    <w:top w:w="15" w:type="dxa"/>
                    <w:left w:w="15" w:type="dxa"/>
                    <w:bottom w:w="15" w:type="dxa"/>
                    <w:right w:w="15" w:type="dxa"/>
                  </w:tcMar>
                  <w:vAlign w:val="center"/>
                </w:tcPr>
                <w:p w14:paraId="104E5514">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311FF73A">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0.08</w:t>
                  </w:r>
                </w:p>
              </w:tc>
              <w:tc>
                <w:tcPr>
                  <w:tcW w:w="994" w:type="pct"/>
                  <w:tcMar>
                    <w:top w:w="15" w:type="dxa"/>
                    <w:left w:w="15" w:type="dxa"/>
                    <w:bottom w:w="15" w:type="dxa"/>
                    <w:right w:w="15" w:type="dxa"/>
                  </w:tcMar>
                  <w:vAlign w:val="center"/>
                </w:tcPr>
                <w:p w14:paraId="2F4B6683">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1</w:t>
                  </w:r>
                </w:p>
              </w:tc>
            </w:tr>
            <w:tr w14:paraId="6D3B65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1FCBD994">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713D3344">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874" w:type="pct"/>
                  <w:tcMar>
                    <w:top w:w="15" w:type="dxa"/>
                    <w:left w:w="15" w:type="dxa"/>
                    <w:bottom w:w="15" w:type="dxa"/>
                    <w:right w:w="15" w:type="dxa"/>
                  </w:tcMar>
                  <w:vAlign w:val="center"/>
                </w:tcPr>
                <w:p w14:paraId="2A13EDA8">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16E4E5BD">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0.062</w:t>
                  </w:r>
                </w:p>
              </w:tc>
              <w:tc>
                <w:tcPr>
                  <w:tcW w:w="994" w:type="pct"/>
                  <w:tcMar>
                    <w:top w:w="15" w:type="dxa"/>
                    <w:left w:w="15" w:type="dxa"/>
                    <w:bottom w:w="15" w:type="dxa"/>
                    <w:right w:w="15" w:type="dxa"/>
                  </w:tcMar>
                  <w:vAlign w:val="center"/>
                </w:tcPr>
                <w:p w14:paraId="734575BA">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0.2</w:t>
                  </w:r>
                </w:p>
              </w:tc>
            </w:tr>
            <w:tr w14:paraId="6C2CB3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931" w:type="pct"/>
                  <w:vMerge w:val="continue"/>
                  <w:vAlign w:val="center"/>
                </w:tcPr>
                <w:p w14:paraId="140A57E7">
                  <w:pPr>
                    <w:widowControl/>
                    <w:jc w:val="left"/>
                    <w:rPr>
                      <w:rFonts w:hint="default" w:ascii="Times New Roman" w:hAnsi="Times New Roman" w:eastAsia="宋体" w:cs="Times New Roman"/>
                      <w:color w:val="auto"/>
                      <w:sz w:val="21"/>
                      <w:szCs w:val="21"/>
                    </w:rPr>
                  </w:pPr>
                </w:p>
              </w:tc>
              <w:tc>
                <w:tcPr>
                  <w:tcW w:w="1413" w:type="pct"/>
                  <w:tcMar>
                    <w:top w:w="15" w:type="dxa"/>
                    <w:left w:w="15" w:type="dxa"/>
                    <w:bottom w:w="15" w:type="dxa"/>
                    <w:right w:w="15" w:type="dxa"/>
                  </w:tcMar>
                  <w:vAlign w:val="center"/>
                </w:tcPr>
                <w:p w14:paraId="43BFB84F">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LAS</w:t>
                  </w:r>
                </w:p>
              </w:tc>
              <w:tc>
                <w:tcPr>
                  <w:tcW w:w="874" w:type="pct"/>
                  <w:tcMar>
                    <w:top w:w="15" w:type="dxa"/>
                    <w:left w:w="15" w:type="dxa"/>
                    <w:bottom w:w="15" w:type="dxa"/>
                    <w:right w:w="15" w:type="dxa"/>
                  </w:tcMar>
                  <w:vAlign w:val="center"/>
                </w:tcPr>
                <w:p w14:paraId="2BA06463">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mg/L</w:t>
                  </w:r>
                </w:p>
              </w:tc>
              <w:tc>
                <w:tcPr>
                  <w:tcW w:w="786" w:type="pct"/>
                  <w:tcMar>
                    <w:top w:w="15" w:type="dxa"/>
                    <w:left w:w="15" w:type="dxa"/>
                    <w:bottom w:w="15" w:type="dxa"/>
                    <w:right w:w="15" w:type="dxa"/>
                  </w:tcMar>
                  <w:vAlign w:val="center"/>
                </w:tcPr>
                <w:p w14:paraId="514E3B71">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c>
                <w:tcPr>
                  <w:tcW w:w="994" w:type="pct"/>
                  <w:tcMar>
                    <w:top w:w="15" w:type="dxa"/>
                    <w:left w:w="15" w:type="dxa"/>
                    <w:bottom w:w="15" w:type="dxa"/>
                    <w:right w:w="15" w:type="dxa"/>
                  </w:tcMar>
                  <w:vAlign w:val="center"/>
                </w:tcPr>
                <w:p w14:paraId="202AB92D">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aps w:val="0"/>
                      <w:color w:val="000000"/>
                      <w:spacing w:val="0"/>
                      <w:sz w:val="21"/>
                      <w:szCs w:val="21"/>
                    </w:rPr>
                    <w:t>≤</w:t>
                  </w:r>
                  <w:r>
                    <w:rPr>
                      <w:rFonts w:hint="default" w:ascii="Times New Roman" w:hAnsi="Times New Roman" w:eastAsia="宋体" w:cs="Times New Roman"/>
                      <w:color w:val="auto"/>
                      <w:kern w:val="0"/>
                      <w:sz w:val="21"/>
                      <w:szCs w:val="21"/>
                      <w:lang w:val="en-US" w:eastAsia="zh-CN"/>
                    </w:rPr>
                    <w:t>0.2</w:t>
                  </w:r>
                </w:p>
              </w:tc>
            </w:tr>
          </w:tbl>
          <w:p w14:paraId="5D36EC10">
            <w:pPr>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根据上表可知，新墙河</w:t>
            </w:r>
            <w:r>
              <w:rPr>
                <w:rFonts w:hint="eastAsia" w:cs="Times New Roman"/>
                <w:color w:val="auto"/>
                <w:kern w:val="0"/>
                <w:sz w:val="24"/>
                <w:szCs w:val="24"/>
              </w:rPr>
              <w:t>八仙桥</w:t>
            </w:r>
            <w:r>
              <w:rPr>
                <w:rFonts w:hint="eastAsia" w:ascii="Times New Roman" w:hAnsi="Times New Roman" w:eastAsia="宋体" w:cs="Times New Roman"/>
                <w:color w:val="auto"/>
                <w:kern w:val="0"/>
                <w:sz w:val="24"/>
                <w:szCs w:val="24"/>
              </w:rPr>
              <w:t>断面</w:t>
            </w:r>
            <w:r>
              <w:rPr>
                <w:rFonts w:hint="eastAsia" w:cs="Times New Roman"/>
                <w:color w:val="auto"/>
                <w:kern w:val="0"/>
                <w:sz w:val="24"/>
                <w:szCs w:val="24"/>
              </w:rPr>
              <w:t>各</w:t>
            </w:r>
            <w:r>
              <w:rPr>
                <w:rFonts w:ascii="Times New Roman" w:hAnsi="Times New Roman" w:eastAsia="宋体" w:cs="Times New Roman"/>
                <w:color w:val="auto"/>
                <w:kern w:val="0"/>
                <w:sz w:val="24"/>
                <w:szCs w:val="24"/>
              </w:rPr>
              <w:t>监测因子均符合《地表水环境质量标准》（GB3838-2002）中Ⅲ类标准。</w:t>
            </w:r>
          </w:p>
          <w:p w14:paraId="4C6CA4ED">
            <w:pPr>
              <w:spacing w:line="360" w:lineRule="auto"/>
              <w:textAlignment w:val="baseline"/>
              <w:rPr>
                <w:rFonts w:ascii="Times New Roman" w:hAnsi="Times New Roman" w:eastAsia="宋体" w:cs="Times New Roman"/>
                <w:b/>
                <w:color w:val="auto"/>
                <w:spacing w:val="8"/>
                <w:sz w:val="24"/>
                <w:szCs w:val="24"/>
                <w:u w:val="none" w:color="auto"/>
              </w:rPr>
            </w:pPr>
            <w:r>
              <w:rPr>
                <w:rFonts w:ascii="Times New Roman" w:hAnsi="Times New Roman" w:eastAsia="宋体" w:cs="Times New Roman"/>
                <w:b/>
                <w:color w:val="auto"/>
                <w:spacing w:val="8"/>
                <w:sz w:val="24"/>
                <w:szCs w:val="24"/>
                <w:u w:val="none" w:color="auto"/>
              </w:rPr>
              <w:t>3</w:t>
            </w:r>
            <w:r>
              <w:rPr>
                <w:rFonts w:hint="eastAsia" w:ascii="Times New Roman" w:hAnsi="Times New Roman" w:eastAsia="宋体" w:cs="Times New Roman"/>
                <w:b/>
                <w:color w:val="auto"/>
                <w:spacing w:val="8"/>
                <w:sz w:val="24"/>
                <w:szCs w:val="24"/>
                <w:u w:val="none" w:color="auto"/>
                <w:lang w:eastAsia="zh-CN"/>
              </w:rPr>
              <w:t>、</w:t>
            </w:r>
            <w:r>
              <w:rPr>
                <w:rFonts w:ascii="Times New Roman" w:hAnsi="Times New Roman" w:eastAsia="宋体" w:cs="Times New Roman"/>
                <w:b/>
                <w:color w:val="auto"/>
                <w:spacing w:val="8"/>
                <w:sz w:val="24"/>
                <w:szCs w:val="24"/>
                <w:u w:val="none" w:color="auto"/>
              </w:rPr>
              <w:t>声环境质量现状</w:t>
            </w:r>
          </w:p>
          <w:p w14:paraId="71CF1930">
            <w:pPr>
              <w:spacing w:line="360" w:lineRule="auto"/>
              <w:ind w:firstLine="512" w:firstLineChars="200"/>
              <w:rPr>
                <w:rFonts w:ascii="Times New Roman" w:hAnsi="Times New Roman" w:eastAsia="宋体" w:cs="Times New Roman"/>
                <w:bCs/>
                <w:color w:val="auto"/>
                <w:spacing w:val="8"/>
                <w:sz w:val="24"/>
                <w:szCs w:val="24"/>
                <w:u w:val="none" w:color="auto"/>
              </w:rPr>
            </w:pPr>
            <w:r>
              <w:rPr>
                <w:rFonts w:ascii="Times New Roman" w:hAnsi="Times New Roman" w:eastAsia="宋体" w:cs="Times New Roman"/>
                <w:bCs/>
                <w:color w:val="auto"/>
                <w:spacing w:val="8"/>
                <w:sz w:val="24"/>
                <w:szCs w:val="24"/>
                <w:u w:val="none" w:color="auto"/>
              </w:rPr>
              <w:t>根据《建设项目环境影响评价报告表编制技术指南（污染影响类）（试行）》，</w:t>
            </w:r>
            <w:r>
              <w:rPr>
                <w:rFonts w:hint="eastAsia" w:ascii="Times New Roman" w:hAnsi="Times New Roman" w:eastAsia="宋体" w:cs="Times New Roman"/>
                <w:bCs/>
                <w:color w:val="auto"/>
                <w:spacing w:val="8"/>
                <w:sz w:val="24"/>
                <w:szCs w:val="24"/>
                <w:u w:val="none" w:color="auto"/>
                <w:lang w:eastAsia="zh-CN"/>
              </w:rPr>
              <w:t>“</w:t>
            </w:r>
            <w:r>
              <w:rPr>
                <w:rFonts w:ascii="Times New Roman" w:hAnsi="Times New Roman" w:eastAsia="宋体" w:cs="Times New Roman"/>
                <w:bCs/>
                <w:color w:val="auto"/>
                <w:spacing w:val="8"/>
                <w:sz w:val="24"/>
                <w:szCs w:val="24"/>
                <w:u w:val="none" w:color="auto"/>
              </w:rPr>
              <w:t>厂界外周边50米范围内存在声环境保护目标的建设项目，应监测保护目标声环境质量现状并评价达标情况</w:t>
            </w:r>
            <w:r>
              <w:rPr>
                <w:rFonts w:hint="eastAsia" w:ascii="Times New Roman" w:hAnsi="Times New Roman" w:eastAsia="宋体" w:cs="Times New Roman"/>
                <w:bCs/>
                <w:color w:val="auto"/>
                <w:spacing w:val="8"/>
                <w:sz w:val="24"/>
                <w:szCs w:val="24"/>
                <w:u w:val="none" w:color="auto"/>
                <w:lang w:eastAsia="zh-CN"/>
              </w:rPr>
              <w:t>”</w:t>
            </w:r>
            <w:r>
              <w:rPr>
                <w:rFonts w:ascii="Times New Roman" w:hAnsi="Times New Roman" w:eastAsia="宋体" w:cs="Times New Roman"/>
                <w:bCs/>
                <w:color w:val="auto"/>
                <w:spacing w:val="8"/>
                <w:sz w:val="24"/>
                <w:szCs w:val="24"/>
                <w:u w:val="none" w:color="auto"/>
              </w:rPr>
              <w:t>。</w:t>
            </w:r>
          </w:p>
          <w:p w14:paraId="229FCCFB">
            <w:pPr>
              <w:spacing w:line="360" w:lineRule="auto"/>
              <w:ind w:firstLine="512" w:firstLineChars="200"/>
              <w:rPr>
                <w:rFonts w:ascii="Times New Roman" w:cs="Times New Roman"/>
                <w:color w:val="auto"/>
                <w:sz w:val="24"/>
                <w:u w:val="none" w:color="auto"/>
              </w:rPr>
            </w:pPr>
            <w:r>
              <w:rPr>
                <w:rFonts w:ascii="Times New Roman" w:hAnsi="Times New Roman" w:eastAsia="宋体" w:cs="Times New Roman"/>
                <w:bCs/>
                <w:color w:val="auto"/>
                <w:spacing w:val="8"/>
                <w:sz w:val="24"/>
                <w:szCs w:val="24"/>
                <w:u w:val="none" w:color="auto"/>
              </w:rPr>
              <w:t>本项目厂界外50m范围无居民敏感点，</w:t>
            </w:r>
            <w:r>
              <w:rPr>
                <w:rFonts w:hint="eastAsia" w:ascii="Times New Roman" w:hAnsi="Times New Roman" w:eastAsia="宋体" w:cs="Times New Roman"/>
                <w:bCs/>
                <w:color w:val="auto"/>
                <w:spacing w:val="8"/>
                <w:sz w:val="24"/>
                <w:szCs w:val="24"/>
                <w:u w:val="none" w:color="auto"/>
                <w:lang w:eastAsia="zh-CN"/>
              </w:rPr>
              <w:t>因此</w:t>
            </w:r>
            <w:r>
              <w:rPr>
                <w:rFonts w:ascii="Times New Roman" w:cs="Times New Roman"/>
                <w:color w:val="auto"/>
                <w:sz w:val="24"/>
                <w:u w:val="none" w:color="auto"/>
              </w:rPr>
              <w:t>本项目</w:t>
            </w:r>
            <w:r>
              <w:rPr>
                <w:rFonts w:ascii="Times New Roman" w:hAnsi="Times New Roman" w:eastAsia="宋体" w:cs="Times New Roman"/>
                <w:color w:val="auto"/>
                <w:kern w:val="0"/>
                <w:sz w:val="24"/>
                <w:szCs w:val="24"/>
                <w:u w:val="none" w:color="auto"/>
              </w:rPr>
              <w:t>故无需进行</w:t>
            </w:r>
            <w:r>
              <w:rPr>
                <w:rFonts w:hint="eastAsia" w:ascii="Times New Roman" w:hAnsi="Times New Roman" w:eastAsia="宋体" w:cs="Times New Roman"/>
                <w:color w:val="auto"/>
                <w:kern w:val="0"/>
                <w:sz w:val="24"/>
                <w:szCs w:val="24"/>
                <w:u w:val="none" w:color="auto"/>
                <w:lang w:val="en-US" w:eastAsia="zh-CN"/>
              </w:rPr>
              <w:t>声环境质量</w:t>
            </w:r>
            <w:r>
              <w:rPr>
                <w:rFonts w:ascii="Times New Roman" w:hAnsi="Times New Roman" w:eastAsia="宋体" w:cs="Times New Roman"/>
                <w:color w:val="auto"/>
                <w:kern w:val="0"/>
                <w:sz w:val="24"/>
                <w:szCs w:val="24"/>
                <w:u w:val="none" w:color="auto"/>
              </w:rPr>
              <w:t>相关现状调查</w:t>
            </w:r>
            <w:r>
              <w:rPr>
                <w:rFonts w:ascii="Times New Roman" w:cs="Times New Roman"/>
                <w:color w:val="auto"/>
                <w:sz w:val="24"/>
                <w:u w:val="none" w:color="auto"/>
              </w:rPr>
              <w:t>。</w:t>
            </w:r>
          </w:p>
          <w:p w14:paraId="79C0DE0B">
            <w:pPr>
              <w:spacing w:line="360" w:lineRule="auto"/>
              <w:textAlignment w:val="baseline"/>
              <w:rPr>
                <w:rFonts w:ascii="Times New Roman" w:hAnsi="Times New Roman" w:eastAsia="宋体" w:cs="Times New Roman"/>
                <w:b/>
                <w:color w:val="auto"/>
                <w:spacing w:val="8"/>
                <w:sz w:val="24"/>
                <w:szCs w:val="24"/>
                <w:u w:val="none" w:color="auto"/>
              </w:rPr>
            </w:pPr>
            <w:r>
              <w:rPr>
                <w:rFonts w:ascii="Times New Roman" w:hAnsi="Times New Roman" w:eastAsia="宋体" w:cs="Times New Roman"/>
                <w:b/>
                <w:color w:val="auto"/>
                <w:spacing w:val="8"/>
                <w:sz w:val="24"/>
                <w:szCs w:val="24"/>
                <w:u w:val="none" w:color="auto"/>
              </w:rPr>
              <w:t>4</w:t>
            </w:r>
            <w:r>
              <w:rPr>
                <w:rFonts w:hint="eastAsia" w:ascii="Times New Roman" w:hAnsi="Times New Roman" w:eastAsia="宋体" w:cs="Times New Roman"/>
                <w:b/>
                <w:color w:val="auto"/>
                <w:spacing w:val="8"/>
                <w:sz w:val="24"/>
                <w:szCs w:val="24"/>
                <w:u w:val="none" w:color="auto"/>
                <w:lang w:eastAsia="zh-CN"/>
              </w:rPr>
              <w:t>、</w:t>
            </w:r>
            <w:r>
              <w:rPr>
                <w:rFonts w:ascii="Times New Roman" w:hAnsi="Times New Roman" w:eastAsia="宋体" w:cs="Times New Roman"/>
                <w:b/>
                <w:color w:val="auto"/>
                <w:spacing w:val="8"/>
                <w:sz w:val="24"/>
                <w:szCs w:val="24"/>
                <w:u w:val="none" w:color="auto"/>
              </w:rPr>
              <w:t>地下水、土壤环境质量现状</w:t>
            </w:r>
          </w:p>
          <w:p w14:paraId="298F0223">
            <w:pPr>
              <w:pStyle w:val="113"/>
              <w:wordWrap/>
              <w:autoSpaceDE/>
              <w:autoSpaceDN/>
              <w:adjustRightInd/>
              <w:snapToGrid w:val="0"/>
              <w:textAlignment w:val="auto"/>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本项目不存在土壤、地下水环境污染途径，故无需进行相关现状调查。</w:t>
            </w:r>
          </w:p>
          <w:p w14:paraId="49EEFA35">
            <w:pPr>
              <w:pStyle w:val="113"/>
              <w:snapToGrid w:val="0"/>
              <w:ind w:left="0" w:leftChars="0" w:firstLine="0" w:firstLineChars="0"/>
              <w:textAlignment w:val="auto"/>
              <w:rPr>
                <w:rFonts w:ascii="Times New Roman" w:hAnsi="Times New Roman" w:eastAsia="宋体" w:cs="Times New Roman"/>
                <w:b/>
                <w:color w:val="auto"/>
                <w:spacing w:val="8"/>
                <w:sz w:val="24"/>
                <w:szCs w:val="24"/>
                <w:u w:val="none" w:color="auto"/>
              </w:rPr>
            </w:pPr>
            <w:r>
              <w:rPr>
                <w:rFonts w:ascii="Times New Roman" w:hAnsi="Times New Roman" w:eastAsia="宋体" w:cs="Times New Roman"/>
                <w:b/>
                <w:color w:val="auto"/>
                <w:spacing w:val="8"/>
                <w:sz w:val="24"/>
                <w:szCs w:val="24"/>
                <w:u w:val="none" w:color="auto"/>
              </w:rPr>
              <w:t>5、生态环境质量现状</w:t>
            </w:r>
          </w:p>
          <w:p w14:paraId="358DDC6A">
            <w:pPr>
              <w:pStyle w:val="113"/>
              <w:wordWrap/>
              <w:autoSpaceDE/>
              <w:autoSpaceDN/>
              <w:adjustRightInd/>
              <w:snapToGrid w:val="0"/>
              <w:textAlignment w:val="auto"/>
              <w:rPr>
                <w:color w:val="auto"/>
                <w:sz w:val="24"/>
                <w:u w:val="none" w:color="auto"/>
              </w:rPr>
            </w:pPr>
            <w:r>
              <w:rPr>
                <w:rFonts w:hint="eastAsia" w:ascii="Times New Roman" w:hAnsi="Times New Roman" w:eastAsia="宋体" w:cs="Times New Roman"/>
                <w:color w:val="auto"/>
                <w:kern w:val="0"/>
                <w:sz w:val="24"/>
                <w:szCs w:val="24"/>
                <w:u w:val="none" w:color="auto"/>
              </w:rPr>
              <w:t>本项目</w:t>
            </w:r>
            <w:r>
              <w:rPr>
                <w:rFonts w:hint="eastAsia" w:ascii="Times New Roman" w:hAnsi="Times New Roman" w:eastAsia="宋体" w:cs="Times New Roman"/>
                <w:color w:val="auto"/>
                <w:sz w:val="24"/>
                <w:szCs w:val="24"/>
                <w:highlight w:val="none"/>
                <w:u w:val="none" w:color="auto"/>
                <w:vertAlign w:val="baseline"/>
                <w:lang w:val="en-US" w:eastAsia="zh-CN"/>
              </w:rPr>
              <w:t>用地性质为仓储用地，</w:t>
            </w:r>
            <w:r>
              <w:rPr>
                <w:rFonts w:hint="eastAsia" w:ascii="Times New Roman" w:hAnsi="Times New Roman" w:eastAsia="宋体" w:cs="Times New Roman"/>
                <w:color w:val="auto"/>
                <w:kern w:val="0"/>
                <w:sz w:val="24"/>
                <w:szCs w:val="24"/>
                <w:u w:val="none" w:color="auto"/>
                <w:lang w:val="en-US" w:eastAsia="zh-CN"/>
              </w:rPr>
              <w:t>不</w:t>
            </w:r>
            <w:r>
              <w:rPr>
                <w:rFonts w:hint="eastAsia" w:ascii="Times New Roman" w:hAnsi="Times New Roman" w:eastAsia="宋体" w:cs="Times New Roman"/>
                <w:color w:val="auto"/>
                <w:kern w:val="0"/>
                <w:sz w:val="24"/>
                <w:szCs w:val="24"/>
                <w:u w:val="none" w:color="auto"/>
              </w:rPr>
              <w:t>占用</w:t>
            </w:r>
            <w:r>
              <w:rPr>
                <w:rFonts w:hint="eastAsia" w:ascii="Times New Roman" w:hAnsi="Times New Roman" w:eastAsia="宋体" w:cs="Times New Roman"/>
                <w:color w:val="auto"/>
                <w:kern w:val="0"/>
                <w:sz w:val="24"/>
                <w:szCs w:val="24"/>
                <w:u w:val="none" w:color="auto"/>
                <w:lang w:val="en-US" w:eastAsia="zh-CN"/>
              </w:rPr>
              <w:t>基本农田、</w:t>
            </w:r>
            <w:r>
              <w:rPr>
                <w:rFonts w:hint="eastAsia" w:ascii="Times New Roman" w:hAnsi="Times New Roman" w:eastAsia="宋体" w:cs="Times New Roman"/>
                <w:color w:val="auto"/>
                <w:kern w:val="0"/>
                <w:sz w:val="24"/>
                <w:szCs w:val="24"/>
                <w:u w:val="none" w:color="auto"/>
              </w:rPr>
              <w:t>林地和生态红线</w:t>
            </w:r>
            <w:r>
              <w:rPr>
                <w:rFonts w:hint="eastAsia" w:ascii="Times New Roman" w:hAnsi="Times New Roman" w:eastAsia="宋体" w:cs="Times New Roman"/>
                <w:color w:val="auto"/>
                <w:kern w:val="0"/>
                <w:sz w:val="24"/>
                <w:szCs w:val="24"/>
                <w:u w:val="none" w:color="auto"/>
                <w:lang w:eastAsia="zh-CN"/>
              </w:rPr>
              <w:t>，</w:t>
            </w:r>
            <w:r>
              <w:rPr>
                <w:rFonts w:hint="eastAsia"/>
                <w:color w:val="auto"/>
                <w:sz w:val="24"/>
                <w:u w:val="none" w:color="auto"/>
                <w:lang w:val="en-US" w:eastAsia="zh-CN"/>
              </w:rPr>
              <w:t>占</w:t>
            </w:r>
            <w:r>
              <w:rPr>
                <w:color w:val="auto"/>
                <w:sz w:val="24"/>
                <w:u w:val="none" w:color="auto"/>
              </w:rPr>
              <w:t>地范</w:t>
            </w:r>
            <w:r>
              <w:rPr>
                <w:rFonts w:hint="eastAsia"/>
                <w:color w:val="auto"/>
                <w:sz w:val="24"/>
                <w:u w:val="none" w:color="auto"/>
                <w:lang w:val="en-US" w:eastAsia="zh-CN"/>
              </w:rPr>
              <w:t>围内</w:t>
            </w:r>
            <w:r>
              <w:rPr>
                <w:color w:val="auto"/>
                <w:sz w:val="24"/>
                <w:u w:val="none" w:color="auto"/>
              </w:rPr>
              <w:t>不涉及生态环境保护目标</w:t>
            </w:r>
            <w:r>
              <w:rPr>
                <w:rFonts w:hint="eastAsia"/>
                <w:color w:val="auto"/>
                <w:sz w:val="24"/>
                <w:u w:val="none" w:color="auto"/>
                <w:lang w:eastAsia="zh-CN"/>
              </w:rPr>
              <w:t>。</w:t>
            </w:r>
            <w:r>
              <w:rPr>
                <w:rFonts w:hint="eastAsia"/>
                <w:color w:val="auto"/>
                <w:sz w:val="24"/>
                <w:u w:val="none" w:color="auto"/>
                <w:lang w:val="en-US" w:eastAsia="zh-CN"/>
              </w:rPr>
              <w:t>经现场踏勘，项目区受</w:t>
            </w:r>
            <w:r>
              <w:rPr>
                <w:rFonts w:hint="default" w:ascii="Times New Roman" w:hAnsi="Times New Roman" w:eastAsia="宋体" w:cs="Times New Roman"/>
                <w:color w:val="auto"/>
                <w:kern w:val="0"/>
                <w:sz w:val="24"/>
                <w:szCs w:val="24"/>
                <w:u w:val="none" w:color="auto"/>
              </w:rPr>
              <w:t>人类活动影响</w:t>
            </w:r>
            <w:r>
              <w:rPr>
                <w:rFonts w:hint="default" w:ascii="Times New Roman" w:hAnsi="Times New Roman" w:eastAsia="宋体" w:cs="Times New Roman"/>
                <w:color w:val="auto"/>
                <w:kern w:val="0"/>
                <w:sz w:val="24"/>
                <w:szCs w:val="24"/>
                <w:u w:val="none" w:color="auto"/>
                <w:lang w:val="en-US" w:eastAsia="zh-CN"/>
              </w:rPr>
              <w:t>较大</w:t>
            </w:r>
            <w:r>
              <w:rPr>
                <w:rFonts w:hint="eastAsia" w:ascii="Times New Roman" w:hAnsi="Times New Roman" w:eastAsia="宋体" w:cs="Times New Roman"/>
                <w:color w:val="auto"/>
                <w:kern w:val="0"/>
                <w:sz w:val="24"/>
                <w:szCs w:val="24"/>
                <w:u w:val="none" w:color="auto"/>
                <w:lang w:val="en-US" w:eastAsia="zh-CN"/>
              </w:rPr>
              <w:t>，地块</w:t>
            </w:r>
            <w:r>
              <w:rPr>
                <w:rFonts w:hint="default" w:ascii="Times New Roman" w:hAnsi="Times New Roman" w:eastAsia="宋体" w:cs="Times New Roman"/>
                <w:color w:val="auto"/>
                <w:u w:val="none" w:color="auto"/>
              </w:rPr>
              <w:t>周边主要</w:t>
            </w:r>
            <w:r>
              <w:rPr>
                <w:rFonts w:hint="default" w:ascii="Times New Roman" w:hAnsi="Times New Roman" w:eastAsia="宋体" w:cs="Times New Roman"/>
                <w:color w:val="auto"/>
                <w:u w:val="none" w:color="auto"/>
                <w:lang w:val="en-US" w:eastAsia="zh-CN"/>
              </w:rPr>
              <w:t>为</w:t>
            </w:r>
            <w:r>
              <w:rPr>
                <w:rFonts w:hint="eastAsia" w:ascii="Times New Roman" w:hAnsi="Times New Roman" w:eastAsia="宋体" w:cs="Times New Roman"/>
                <w:color w:val="auto"/>
                <w:u w:val="none" w:color="auto"/>
                <w:lang w:val="en-US" w:eastAsia="zh-CN"/>
              </w:rPr>
              <w:t>农用地</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植物多为</w:t>
            </w:r>
            <w:r>
              <w:rPr>
                <w:rFonts w:hint="eastAsia" w:ascii="Times New Roman" w:hAnsi="Times New Roman" w:eastAsia="宋体" w:cs="Times New Roman"/>
                <w:color w:val="auto"/>
                <w:u w:val="none" w:color="auto"/>
                <w:lang w:val="en-US" w:eastAsia="zh-CN"/>
              </w:rPr>
              <w:t>人工种植作物</w:t>
            </w:r>
            <w:r>
              <w:rPr>
                <w:rFonts w:hint="default" w:ascii="Times New Roman" w:hAnsi="Times New Roman" w:eastAsia="宋体" w:cs="Times New Roman"/>
                <w:color w:val="auto"/>
                <w:u w:val="none" w:color="auto"/>
              </w:rPr>
              <w:t>等，</w:t>
            </w:r>
            <w:r>
              <w:rPr>
                <w:rFonts w:hint="eastAsia"/>
                <w:color w:val="auto"/>
                <w:sz w:val="24"/>
                <w:u w:val="none" w:color="auto"/>
                <w:lang w:val="en-US" w:eastAsia="zh-CN"/>
              </w:rPr>
              <w:t>未发现珍稀濒危受保护动植物。</w:t>
            </w:r>
            <w:r>
              <w:rPr>
                <w:color w:val="auto"/>
                <w:sz w:val="24"/>
                <w:u w:val="none" w:color="auto"/>
              </w:rPr>
              <w:t>根据《建设项目环境影响报告表编制技术指南（污染影响类）》，</w:t>
            </w:r>
            <w:r>
              <w:rPr>
                <w:rFonts w:hint="eastAsia"/>
                <w:color w:val="auto"/>
                <w:sz w:val="24"/>
                <w:u w:val="none" w:color="auto"/>
                <w:lang w:val="en-US" w:eastAsia="zh-CN"/>
              </w:rPr>
              <w:t>可</w:t>
            </w:r>
            <w:r>
              <w:rPr>
                <w:rFonts w:hint="eastAsia"/>
                <w:color w:val="auto"/>
                <w:sz w:val="24"/>
                <w:u w:val="none" w:color="auto"/>
              </w:rPr>
              <w:t>不</w:t>
            </w:r>
            <w:r>
              <w:rPr>
                <w:color w:val="auto"/>
                <w:sz w:val="24"/>
                <w:u w:val="none" w:color="auto"/>
              </w:rPr>
              <w:t>进行生态现状调查。</w:t>
            </w:r>
          </w:p>
          <w:p w14:paraId="428000C4">
            <w:pPr>
              <w:pStyle w:val="113"/>
              <w:wordWrap/>
              <w:autoSpaceDE/>
              <w:autoSpaceDN/>
              <w:adjustRightInd/>
              <w:snapToGrid w:val="0"/>
              <w:textAlignment w:val="auto"/>
              <w:rPr>
                <w:color w:val="auto"/>
                <w:sz w:val="24"/>
                <w:u w:val="none" w:color="auto"/>
              </w:rPr>
            </w:pPr>
          </w:p>
          <w:p w14:paraId="2DC8CDCB">
            <w:pPr>
              <w:pStyle w:val="113"/>
              <w:wordWrap/>
              <w:autoSpaceDE/>
              <w:autoSpaceDN/>
              <w:adjustRightInd/>
              <w:snapToGrid w:val="0"/>
              <w:textAlignment w:val="auto"/>
              <w:rPr>
                <w:color w:val="auto"/>
                <w:sz w:val="24"/>
                <w:u w:val="none" w:color="auto"/>
              </w:rPr>
            </w:pPr>
          </w:p>
          <w:p w14:paraId="7A3BCC44">
            <w:pPr>
              <w:pStyle w:val="113"/>
              <w:wordWrap/>
              <w:autoSpaceDE/>
              <w:autoSpaceDN/>
              <w:adjustRightInd/>
              <w:snapToGrid w:val="0"/>
              <w:textAlignment w:val="auto"/>
              <w:rPr>
                <w:color w:val="auto"/>
                <w:sz w:val="24"/>
                <w:u w:val="none" w:color="auto"/>
              </w:rPr>
            </w:pPr>
          </w:p>
          <w:p w14:paraId="726AA924">
            <w:pPr>
              <w:pStyle w:val="113"/>
              <w:wordWrap/>
              <w:autoSpaceDE/>
              <w:autoSpaceDN/>
              <w:adjustRightInd/>
              <w:snapToGrid w:val="0"/>
              <w:textAlignment w:val="auto"/>
              <w:rPr>
                <w:color w:val="auto"/>
                <w:sz w:val="24"/>
                <w:u w:val="none" w:color="auto"/>
              </w:rPr>
            </w:pPr>
          </w:p>
          <w:p w14:paraId="20A586DF">
            <w:pPr>
              <w:pStyle w:val="113"/>
              <w:wordWrap/>
              <w:autoSpaceDE/>
              <w:autoSpaceDN/>
              <w:adjustRightInd/>
              <w:snapToGrid w:val="0"/>
              <w:textAlignment w:val="auto"/>
              <w:rPr>
                <w:color w:val="auto"/>
                <w:sz w:val="24"/>
                <w:u w:val="none" w:color="auto"/>
              </w:rPr>
            </w:pPr>
          </w:p>
          <w:p w14:paraId="50039F2C">
            <w:pPr>
              <w:pStyle w:val="113"/>
              <w:wordWrap/>
              <w:autoSpaceDE/>
              <w:autoSpaceDN/>
              <w:adjustRightInd/>
              <w:snapToGrid w:val="0"/>
              <w:textAlignment w:val="auto"/>
              <w:rPr>
                <w:color w:val="auto"/>
                <w:sz w:val="24"/>
                <w:u w:val="none" w:color="auto"/>
              </w:rPr>
            </w:pPr>
          </w:p>
          <w:p w14:paraId="02E8E95A">
            <w:pPr>
              <w:pStyle w:val="113"/>
              <w:wordWrap/>
              <w:autoSpaceDE/>
              <w:autoSpaceDN/>
              <w:adjustRightInd/>
              <w:snapToGrid w:val="0"/>
              <w:textAlignment w:val="auto"/>
              <w:rPr>
                <w:color w:val="auto"/>
                <w:sz w:val="24"/>
                <w:u w:val="none" w:color="auto"/>
              </w:rPr>
            </w:pPr>
          </w:p>
          <w:p w14:paraId="0B161BAF">
            <w:pPr>
              <w:pStyle w:val="113"/>
              <w:wordWrap/>
              <w:autoSpaceDE/>
              <w:autoSpaceDN/>
              <w:adjustRightInd/>
              <w:snapToGrid w:val="0"/>
              <w:textAlignment w:val="auto"/>
              <w:rPr>
                <w:color w:val="auto"/>
                <w:sz w:val="24"/>
                <w:u w:val="none" w:color="auto"/>
              </w:rPr>
            </w:pPr>
          </w:p>
          <w:p w14:paraId="4051D645">
            <w:pPr>
              <w:pStyle w:val="113"/>
              <w:wordWrap/>
              <w:autoSpaceDE/>
              <w:autoSpaceDN/>
              <w:adjustRightInd/>
              <w:snapToGrid w:val="0"/>
              <w:textAlignment w:val="auto"/>
              <w:rPr>
                <w:color w:val="auto"/>
                <w:sz w:val="24"/>
                <w:u w:val="none" w:color="auto"/>
              </w:rPr>
            </w:pPr>
          </w:p>
          <w:p w14:paraId="3E584284">
            <w:pPr>
              <w:pStyle w:val="113"/>
              <w:wordWrap/>
              <w:autoSpaceDE/>
              <w:autoSpaceDN/>
              <w:adjustRightInd/>
              <w:snapToGrid w:val="0"/>
              <w:textAlignment w:val="auto"/>
              <w:rPr>
                <w:color w:val="auto"/>
                <w:sz w:val="24"/>
                <w:u w:val="none" w:color="auto"/>
              </w:rPr>
            </w:pPr>
          </w:p>
          <w:p w14:paraId="372D40C5">
            <w:pPr>
              <w:pStyle w:val="113"/>
              <w:wordWrap/>
              <w:autoSpaceDE/>
              <w:autoSpaceDN/>
              <w:adjustRightInd/>
              <w:snapToGrid w:val="0"/>
              <w:textAlignment w:val="auto"/>
              <w:rPr>
                <w:color w:val="auto"/>
                <w:sz w:val="24"/>
                <w:u w:val="none" w:color="auto"/>
              </w:rPr>
            </w:pPr>
          </w:p>
          <w:p w14:paraId="6C5A6743">
            <w:pPr>
              <w:pStyle w:val="113"/>
              <w:wordWrap/>
              <w:autoSpaceDE/>
              <w:autoSpaceDN/>
              <w:adjustRightInd/>
              <w:snapToGrid w:val="0"/>
              <w:textAlignment w:val="auto"/>
              <w:rPr>
                <w:color w:val="auto"/>
                <w:sz w:val="24"/>
                <w:u w:val="none" w:color="auto"/>
              </w:rPr>
            </w:pPr>
          </w:p>
          <w:p w14:paraId="769C0407">
            <w:pPr>
              <w:pStyle w:val="113"/>
              <w:wordWrap/>
              <w:autoSpaceDE/>
              <w:autoSpaceDN/>
              <w:adjustRightInd/>
              <w:snapToGrid w:val="0"/>
              <w:textAlignment w:val="auto"/>
              <w:rPr>
                <w:color w:val="auto"/>
                <w:sz w:val="24"/>
                <w:u w:val="none" w:color="auto"/>
              </w:rPr>
            </w:pPr>
          </w:p>
          <w:p w14:paraId="73CFBAF7">
            <w:pPr>
              <w:pStyle w:val="113"/>
              <w:wordWrap/>
              <w:autoSpaceDE/>
              <w:autoSpaceDN/>
              <w:adjustRightInd/>
              <w:snapToGrid w:val="0"/>
              <w:textAlignment w:val="auto"/>
              <w:rPr>
                <w:color w:val="auto"/>
                <w:sz w:val="24"/>
                <w:u w:val="none" w:color="auto"/>
              </w:rPr>
            </w:pPr>
          </w:p>
          <w:p w14:paraId="61C7FE99">
            <w:pPr>
              <w:pStyle w:val="113"/>
              <w:wordWrap/>
              <w:autoSpaceDE/>
              <w:autoSpaceDN/>
              <w:adjustRightInd/>
              <w:snapToGrid w:val="0"/>
              <w:textAlignment w:val="auto"/>
              <w:rPr>
                <w:color w:val="auto"/>
                <w:sz w:val="24"/>
                <w:u w:val="none" w:color="auto"/>
              </w:rPr>
            </w:pPr>
          </w:p>
          <w:p w14:paraId="21823A7D">
            <w:pPr>
              <w:pStyle w:val="113"/>
              <w:wordWrap/>
              <w:autoSpaceDE/>
              <w:autoSpaceDN/>
              <w:adjustRightInd/>
              <w:snapToGrid w:val="0"/>
              <w:textAlignment w:val="auto"/>
              <w:rPr>
                <w:color w:val="auto"/>
                <w:sz w:val="24"/>
                <w:u w:val="none" w:color="auto"/>
              </w:rPr>
            </w:pPr>
          </w:p>
          <w:p w14:paraId="21A4AEB8">
            <w:pPr>
              <w:pStyle w:val="113"/>
              <w:wordWrap/>
              <w:autoSpaceDE/>
              <w:autoSpaceDN/>
              <w:adjustRightInd/>
              <w:snapToGrid w:val="0"/>
              <w:textAlignment w:val="auto"/>
              <w:rPr>
                <w:rFonts w:hint="eastAsia" w:ascii="Times New Roman" w:hAnsi="Times New Roman" w:cs="Times New Roman" w:eastAsiaTheme="minorEastAsia"/>
                <w:color w:val="auto"/>
                <w:kern w:val="0"/>
                <w:sz w:val="24"/>
                <w:szCs w:val="24"/>
                <w:u w:val="none" w:color="auto"/>
                <w:lang w:eastAsia="zh-CN"/>
              </w:rPr>
            </w:pPr>
          </w:p>
        </w:tc>
      </w:tr>
      <w:tr w14:paraId="75F72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7" w:hRule="atLeast"/>
          <w:jc w:val="center"/>
        </w:trPr>
        <w:tc>
          <w:tcPr>
            <w:tcW w:w="750" w:type="dxa"/>
            <w:vAlign w:val="center"/>
          </w:tcPr>
          <w:p w14:paraId="3DBCC377">
            <w:pPr>
              <w:adjustRightInd w:val="0"/>
              <w:snapToGrid w:val="0"/>
              <w:spacing w:line="360" w:lineRule="auto"/>
              <w:jc w:val="center"/>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环境保护目标</w:t>
            </w:r>
          </w:p>
        </w:tc>
        <w:tc>
          <w:tcPr>
            <w:tcW w:w="8176" w:type="dxa"/>
            <w:vAlign w:val="center"/>
          </w:tcPr>
          <w:p w14:paraId="29E270C8">
            <w:pPr>
              <w:wordWrap w:val="0"/>
              <w:autoSpaceDE w:val="0"/>
              <w:autoSpaceDN w:val="0"/>
              <w:adjustRightInd w:val="0"/>
              <w:spacing w:line="360" w:lineRule="auto"/>
              <w:textAlignment w:val="baseline"/>
              <w:rPr>
                <w:rFonts w:hint="default" w:ascii="Times New Roman" w:hAnsi="Times New Roman" w:cs="Times New Roman"/>
                <w:sz w:val="24"/>
                <w:u w:val="none"/>
              </w:rPr>
            </w:pPr>
            <w:r>
              <w:rPr>
                <w:rFonts w:hint="default" w:ascii="Times New Roman" w:hAnsi="Times New Roman" w:cs="Times New Roman"/>
                <w:sz w:val="24"/>
                <w:u w:val="none"/>
              </w:rPr>
              <w:t>本项目建设地位于</w:t>
            </w:r>
            <w:r>
              <w:rPr>
                <w:rFonts w:hint="eastAsia" w:eastAsia="宋体"/>
                <w:color w:val="auto"/>
                <w:sz w:val="24"/>
                <w:szCs w:val="24"/>
                <w:u w:val="none"/>
                <w:lang w:eastAsia="zh-CN"/>
              </w:rPr>
              <w:t>岳阳县荣家湾镇欣荣村与荣鹿村交界处</w:t>
            </w:r>
            <w:r>
              <w:rPr>
                <w:rFonts w:hint="default" w:ascii="Times New Roman" w:hAnsi="Times New Roman" w:cs="Times New Roman"/>
                <w:sz w:val="24"/>
                <w:u w:val="none"/>
              </w:rPr>
              <w:t>，该项目所在地属农村环境，根据项目性质和周围环境特征，确定评价范围内周围居民点主要大气环境保护目标。项目环境保护目标见表3-4、表3-5，项目保护目标图见附图</w:t>
            </w:r>
            <w:r>
              <w:rPr>
                <w:rFonts w:hint="eastAsia" w:ascii="Times New Roman" w:hAnsi="Times New Roman" w:cs="Times New Roman"/>
                <w:sz w:val="24"/>
                <w:u w:val="none"/>
                <w:lang w:val="en-US" w:eastAsia="zh-CN"/>
              </w:rPr>
              <w:t>2</w:t>
            </w:r>
            <w:r>
              <w:rPr>
                <w:rFonts w:hint="default" w:ascii="Times New Roman" w:hAnsi="Times New Roman" w:cs="Times New Roman"/>
                <w:sz w:val="24"/>
                <w:u w:val="none"/>
              </w:rPr>
              <w:t>。</w:t>
            </w:r>
          </w:p>
          <w:p w14:paraId="1FC1B5C0">
            <w:pPr>
              <w:wordWrap w:val="0"/>
              <w:autoSpaceDE w:val="0"/>
              <w:autoSpaceDN w:val="0"/>
              <w:adjustRightInd w:val="0"/>
              <w:spacing w:line="360" w:lineRule="auto"/>
              <w:textAlignment w:val="baseline"/>
              <w:rPr>
                <w:rFonts w:ascii="Times New Roman" w:hAnsi="Times New Roman" w:eastAsia="宋体" w:cs="Times New Roman"/>
                <w:b/>
                <w:bCs/>
                <w:color w:val="auto"/>
                <w:kern w:val="0"/>
                <w:sz w:val="24"/>
                <w:szCs w:val="24"/>
                <w:u w:val="none" w:color="auto"/>
              </w:rPr>
            </w:pPr>
            <w:r>
              <w:rPr>
                <w:rFonts w:ascii="Times New Roman" w:hAnsi="Times New Roman" w:eastAsia="宋体" w:cs="Times New Roman"/>
                <w:b/>
                <w:bCs/>
                <w:color w:val="auto"/>
                <w:kern w:val="0"/>
                <w:sz w:val="24"/>
                <w:szCs w:val="24"/>
                <w:u w:val="none" w:color="auto"/>
              </w:rPr>
              <w:t>1</w:t>
            </w:r>
            <w:r>
              <w:rPr>
                <w:rFonts w:hint="eastAsia" w:ascii="Times New Roman" w:hAnsi="Times New Roman" w:eastAsia="宋体" w:cs="Times New Roman"/>
                <w:b/>
                <w:bCs/>
                <w:color w:val="auto"/>
                <w:kern w:val="0"/>
                <w:sz w:val="24"/>
                <w:szCs w:val="24"/>
                <w:u w:val="none" w:color="auto"/>
                <w:lang w:eastAsia="zh-CN"/>
              </w:rPr>
              <w:t>、</w:t>
            </w:r>
            <w:r>
              <w:rPr>
                <w:rFonts w:ascii="Times New Roman" w:hAnsi="Times New Roman" w:eastAsia="宋体" w:cs="Times New Roman"/>
                <w:b/>
                <w:bCs/>
                <w:color w:val="auto"/>
                <w:kern w:val="0"/>
                <w:sz w:val="24"/>
                <w:szCs w:val="24"/>
                <w:u w:val="none" w:color="auto"/>
              </w:rPr>
              <w:t>大气环境</w:t>
            </w:r>
          </w:p>
          <w:p w14:paraId="247E9895">
            <w:pPr>
              <w:wordWrap w:val="0"/>
              <w:autoSpaceDE w:val="0"/>
              <w:autoSpaceDN w:val="0"/>
              <w:adjustRightInd w:val="0"/>
              <w:spacing w:line="360" w:lineRule="auto"/>
              <w:ind w:firstLine="480" w:firstLineChars="200"/>
              <w:textAlignment w:val="baseline"/>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本项目厂界外500米范围内大气环境</w:t>
            </w:r>
            <w:r>
              <w:rPr>
                <w:rFonts w:ascii="Times New Roman" w:hAnsi="Times New Roman" w:eastAsia="宋体" w:cs="Times New Roman"/>
                <w:color w:val="auto"/>
                <w:sz w:val="24"/>
                <w:szCs w:val="24"/>
                <w:u w:val="none" w:color="auto"/>
              </w:rPr>
              <w:t>主要环境保护目标详见表3-</w:t>
            </w:r>
            <w:r>
              <w:rPr>
                <w:rFonts w:hint="eastAsia" w:ascii="Times New Roman" w:hAnsi="Times New Roman" w:eastAsia="宋体" w:cs="Times New Roman"/>
                <w:color w:val="auto"/>
                <w:sz w:val="24"/>
                <w:szCs w:val="24"/>
                <w:u w:val="none" w:color="auto"/>
                <w:lang w:val="en-US" w:eastAsia="zh-CN"/>
              </w:rPr>
              <w:t>4</w:t>
            </w:r>
            <w:r>
              <w:rPr>
                <w:rFonts w:ascii="Times New Roman" w:hAnsi="Times New Roman" w:eastAsia="宋体" w:cs="Times New Roman"/>
                <w:color w:val="auto"/>
                <w:sz w:val="24"/>
                <w:szCs w:val="24"/>
                <w:u w:val="none" w:color="auto"/>
              </w:rPr>
              <w:t>。</w:t>
            </w:r>
          </w:p>
          <w:p w14:paraId="6BDA2A4A">
            <w:pPr>
              <w:pStyle w:val="75"/>
              <w:spacing w:line="240" w:lineRule="auto"/>
              <w:rPr>
                <w:rFonts w:ascii="Times New Roman" w:hAnsi="Times New Roman" w:cs="Times New Roman"/>
                <w:color w:val="auto"/>
                <w:szCs w:val="24"/>
                <w:u w:val="none" w:color="auto"/>
              </w:rPr>
            </w:pPr>
            <w:r>
              <w:rPr>
                <w:rFonts w:ascii="Times New Roman" w:hAnsi="Times New Roman" w:cs="Times New Roman"/>
                <w:color w:val="auto"/>
                <w:szCs w:val="24"/>
                <w:u w:val="none" w:color="auto"/>
              </w:rPr>
              <w:t>表3-</w:t>
            </w:r>
            <w:r>
              <w:rPr>
                <w:rFonts w:hint="eastAsia" w:ascii="Times New Roman" w:hAnsi="Times New Roman" w:cs="Times New Roman"/>
                <w:color w:val="auto"/>
                <w:szCs w:val="24"/>
                <w:u w:val="none" w:color="auto"/>
                <w:lang w:val="en-US" w:eastAsia="zh-CN"/>
              </w:rPr>
              <w:t>4</w:t>
            </w:r>
            <w:r>
              <w:rPr>
                <w:rFonts w:ascii="Times New Roman" w:hAnsi="Times New Roman" w:cs="Times New Roman"/>
                <w:color w:val="auto"/>
                <w:szCs w:val="24"/>
                <w:u w:val="none" w:color="auto"/>
              </w:rPr>
              <w:t xml:space="preserve">  大气环境保护目标一览表</w:t>
            </w:r>
          </w:p>
          <w:tbl>
            <w:tblPr>
              <w:tblStyle w:val="2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1101"/>
              <w:gridCol w:w="1004"/>
              <w:gridCol w:w="894"/>
              <w:gridCol w:w="1245"/>
              <w:gridCol w:w="1001"/>
              <w:gridCol w:w="810"/>
              <w:gridCol w:w="1090"/>
            </w:tblGrid>
            <w:tr w14:paraId="51F50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dxa"/>
                  <w:vMerge w:val="restart"/>
                  <w:tcBorders>
                    <w:tl2br w:val="nil"/>
                    <w:tr2bl w:val="nil"/>
                  </w:tcBorders>
                  <w:noWrap w:val="0"/>
                  <w:vAlign w:val="center"/>
                </w:tcPr>
                <w:p w14:paraId="53454E18">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名称</w:t>
                  </w:r>
                </w:p>
              </w:tc>
              <w:tc>
                <w:tcPr>
                  <w:tcW w:w="1791" w:type="dxa"/>
                  <w:gridSpan w:val="2"/>
                  <w:tcBorders>
                    <w:tl2br w:val="nil"/>
                    <w:tr2bl w:val="nil"/>
                  </w:tcBorders>
                  <w:noWrap w:val="0"/>
                  <w:vAlign w:val="center"/>
                </w:tcPr>
                <w:p w14:paraId="75A0352C">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坐标</w:t>
                  </w:r>
                </w:p>
              </w:tc>
              <w:tc>
                <w:tcPr>
                  <w:tcW w:w="894" w:type="dxa"/>
                  <w:vMerge w:val="restart"/>
                  <w:tcBorders>
                    <w:tl2br w:val="nil"/>
                    <w:tr2bl w:val="nil"/>
                  </w:tcBorders>
                  <w:noWrap w:val="0"/>
                  <w:tcMar>
                    <w:top w:w="15" w:type="dxa"/>
                    <w:left w:w="15" w:type="dxa"/>
                    <w:bottom w:w="15" w:type="dxa"/>
                    <w:right w:w="15" w:type="dxa"/>
                  </w:tcMar>
                  <w:vAlign w:val="center"/>
                </w:tcPr>
                <w:p w14:paraId="524FAD68">
                  <w:pPr>
                    <w:widowControl/>
                    <w:jc w:val="center"/>
                    <w:textAlignment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u w:val="none" w:color="auto"/>
                    </w:rPr>
                    <w:t>保护</w:t>
                  </w:r>
                </w:p>
                <w:p w14:paraId="667FA1DF">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对象</w:t>
                  </w:r>
                </w:p>
              </w:tc>
              <w:tc>
                <w:tcPr>
                  <w:tcW w:w="1245" w:type="dxa"/>
                  <w:vMerge w:val="restart"/>
                  <w:tcBorders>
                    <w:tl2br w:val="nil"/>
                    <w:tr2bl w:val="nil"/>
                  </w:tcBorders>
                  <w:noWrap w:val="0"/>
                  <w:tcMar>
                    <w:top w:w="15" w:type="dxa"/>
                    <w:left w:w="15" w:type="dxa"/>
                    <w:bottom w:w="15" w:type="dxa"/>
                    <w:right w:w="15" w:type="dxa"/>
                  </w:tcMar>
                  <w:vAlign w:val="center"/>
                </w:tcPr>
                <w:p w14:paraId="2141022D">
                  <w:pPr>
                    <w:widowControl/>
                    <w:jc w:val="center"/>
                    <w:textAlignment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u w:val="none" w:color="auto"/>
                    </w:rPr>
                    <w:t>保护</w:t>
                  </w:r>
                </w:p>
                <w:p w14:paraId="3C686097">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内容</w:t>
                  </w:r>
                </w:p>
              </w:tc>
              <w:tc>
                <w:tcPr>
                  <w:tcW w:w="1001" w:type="dxa"/>
                  <w:vMerge w:val="restart"/>
                  <w:tcBorders>
                    <w:tl2br w:val="nil"/>
                    <w:tr2bl w:val="nil"/>
                  </w:tcBorders>
                  <w:noWrap w:val="0"/>
                  <w:tcMar>
                    <w:top w:w="15" w:type="dxa"/>
                    <w:left w:w="15" w:type="dxa"/>
                    <w:bottom w:w="15" w:type="dxa"/>
                    <w:right w:w="15" w:type="dxa"/>
                  </w:tcMar>
                  <w:vAlign w:val="center"/>
                </w:tcPr>
                <w:p w14:paraId="33560D92">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环境功能区</w:t>
                  </w:r>
                </w:p>
              </w:tc>
              <w:tc>
                <w:tcPr>
                  <w:tcW w:w="810" w:type="dxa"/>
                  <w:vMerge w:val="restart"/>
                  <w:tcBorders>
                    <w:tl2br w:val="nil"/>
                    <w:tr2bl w:val="nil"/>
                  </w:tcBorders>
                  <w:noWrap w:val="0"/>
                  <w:tcMar>
                    <w:top w:w="15" w:type="dxa"/>
                    <w:left w:w="15" w:type="dxa"/>
                    <w:bottom w:w="15" w:type="dxa"/>
                    <w:right w:w="15" w:type="dxa"/>
                  </w:tcMar>
                  <w:vAlign w:val="center"/>
                </w:tcPr>
                <w:p w14:paraId="75007720">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相对厂址方位</w:t>
                  </w:r>
                </w:p>
              </w:tc>
              <w:tc>
                <w:tcPr>
                  <w:tcW w:w="1090" w:type="dxa"/>
                  <w:vMerge w:val="restart"/>
                  <w:tcBorders>
                    <w:tl2br w:val="nil"/>
                    <w:tr2bl w:val="nil"/>
                  </w:tcBorders>
                  <w:noWrap w:val="0"/>
                  <w:tcMar>
                    <w:top w:w="15" w:type="dxa"/>
                    <w:left w:w="15" w:type="dxa"/>
                    <w:bottom w:w="15" w:type="dxa"/>
                    <w:right w:w="15" w:type="dxa"/>
                  </w:tcMar>
                  <w:vAlign w:val="center"/>
                </w:tcPr>
                <w:p w14:paraId="1658104F">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相对厂界距离</w:t>
                  </w:r>
                </w:p>
              </w:tc>
            </w:tr>
            <w:tr w14:paraId="3FFF5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dxa"/>
                  <w:vMerge w:val="continue"/>
                  <w:tcBorders>
                    <w:tl2br w:val="nil"/>
                    <w:tr2bl w:val="nil"/>
                  </w:tcBorders>
                  <w:noWrap w:val="0"/>
                  <w:vAlign w:val="center"/>
                </w:tcPr>
                <w:p w14:paraId="6B52BD79">
                  <w:pPr>
                    <w:widowControl/>
                    <w:jc w:val="left"/>
                    <w:rPr>
                      <w:rFonts w:hint="default" w:ascii="Times New Roman" w:hAnsi="Times New Roman" w:eastAsia="宋体" w:cs="Times New Roman"/>
                      <w:color w:val="auto"/>
                      <w:szCs w:val="21"/>
                      <w:u w:val="none" w:color="auto"/>
                    </w:rPr>
                  </w:pPr>
                </w:p>
              </w:tc>
              <w:tc>
                <w:tcPr>
                  <w:tcW w:w="787" w:type="dxa"/>
                  <w:tcBorders>
                    <w:tl2br w:val="nil"/>
                    <w:tr2bl w:val="nil"/>
                  </w:tcBorders>
                  <w:noWrap w:val="0"/>
                  <w:tcMar>
                    <w:top w:w="15" w:type="dxa"/>
                    <w:left w:w="15" w:type="dxa"/>
                    <w:bottom w:w="15" w:type="dxa"/>
                    <w:right w:w="15" w:type="dxa"/>
                  </w:tcMar>
                  <w:vAlign w:val="center"/>
                </w:tcPr>
                <w:p w14:paraId="50D69981">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经度</w:t>
                  </w:r>
                </w:p>
              </w:tc>
              <w:tc>
                <w:tcPr>
                  <w:tcW w:w="1004" w:type="dxa"/>
                  <w:tcBorders>
                    <w:tl2br w:val="nil"/>
                    <w:tr2bl w:val="nil"/>
                  </w:tcBorders>
                  <w:noWrap w:val="0"/>
                  <w:tcMar>
                    <w:top w:w="15" w:type="dxa"/>
                    <w:left w:w="15" w:type="dxa"/>
                    <w:bottom w:w="15" w:type="dxa"/>
                    <w:right w:w="15" w:type="dxa"/>
                  </w:tcMar>
                  <w:vAlign w:val="center"/>
                </w:tcPr>
                <w:p w14:paraId="277ACACF">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纬度</w:t>
                  </w:r>
                </w:p>
              </w:tc>
              <w:tc>
                <w:tcPr>
                  <w:tcW w:w="894" w:type="dxa"/>
                  <w:vMerge w:val="continue"/>
                  <w:tcBorders>
                    <w:tl2br w:val="nil"/>
                    <w:tr2bl w:val="nil"/>
                  </w:tcBorders>
                  <w:noWrap w:val="0"/>
                  <w:vAlign w:val="center"/>
                </w:tcPr>
                <w:p w14:paraId="2795F102">
                  <w:pPr>
                    <w:widowControl/>
                    <w:jc w:val="left"/>
                    <w:rPr>
                      <w:rFonts w:hint="default" w:ascii="Times New Roman" w:hAnsi="Times New Roman" w:eastAsia="宋体" w:cs="Times New Roman"/>
                      <w:color w:val="auto"/>
                      <w:szCs w:val="21"/>
                      <w:u w:val="none" w:color="auto"/>
                    </w:rPr>
                  </w:pPr>
                </w:p>
              </w:tc>
              <w:tc>
                <w:tcPr>
                  <w:tcW w:w="1245" w:type="dxa"/>
                  <w:vMerge w:val="continue"/>
                  <w:tcBorders>
                    <w:tl2br w:val="nil"/>
                    <w:tr2bl w:val="nil"/>
                  </w:tcBorders>
                  <w:noWrap w:val="0"/>
                  <w:vAlign w:val="center"/>
                </w:tcPr>
                <w:p w14:paraId="4342C35E">
                  <w:pPr>
                    <w:widowControl/>
                    <w:jc w:val="left"/>
                    <w:rPr>
                      <w:rFonts w:hint="default" w:ascii="Times New Roman" w:hAnsi="Times New Roman" w:eastAsia="宋体" w:cs="Times New Roman"/>
                      <w:color w:val="auto"/>
                      <w:szCs w:val="21"/>
                      <w:u w:val="none" w:color="auto"/>
                    </w:rPr>
                  </w:pPr>
                </w:p>
              </w:tc>
              <w:tc>
                <w:tcPr>
                  <w:tcW w:w="1001" w:type="dxa"/>
                  <w:vMerge w:val="continue"/>
                  <w:tcBorders>
                    <w:tl2br w:val="nil"/>
                    <w:tr2bl w:val="nil"/>
                  </w:tcBorders>
                  <w:noWrap w:val="0"/>
                  <w:vAlign w:val="center"/>
                </w:tcPr>
                <w:p w14:paraId="73750612">
                  <w:pPr>
                    <w:widowControl/>
                    <w:jc w:val="left"/>
                    <w:rPr>
                      <w:rFonts w:hint="default" w:ascii="Times New Roman" w:hAnsi="Times New Roman" w:eastAsia="宋体" w:cs="Times New Roman"/>
                      <w:color w:val="auto"/>
                      <w:szCs w:val="21"/>
                      <w:u w:val="none" w:color="auto"/>
                    </w:rPr>
                  </w:pPr>
                </w:p>
              </w:tc>
              <w:tc>
                <w:tcPr>
                  <w:tcW w:w="810" w:type="dxa"/>
                  <w:vMerge w:val="continue"/>
                  <w:tcBorders>
                    <w:tl2br w:val="nil"/>
                    <w:tr2bl w:val="nil"/>
                  </w:tcBorders>
                  <w:noWrap w:val="0"/>
                  <w:vAlign w:val="center"/>
                </w:tcPr>
                <w:p w14:paraId="590F1547">
                  <w:pPr>
                    <w:widowControl/>
                    <w:jc w:val="left"/>
                    <w:rPr>
                      <w:rFonts w:hint="default" w:ascii="Times New Roman" w:hAnsi="Times New Roman" w:eastAsia="宋体" w:cs="Times New Roman"/>
                      <w:color w:val="auto"/>
                      <w:szCs w:val="21"/>
                      <w:u w:val="none" w:color="auto"/>
                    </w:rPr>
                  </w:pPr>
                </w:p>
              </w:tc>
              <w:tc>
                <w:tcPr>
                  <w:tcW w:w="1090" w:type="dxa"/>
                  <w:vMerge w:val="continue"/>
                  <w:tcBorders>
                    <w:tl2br w:val="nil"/>
                    <w:tr2bl w:val="nil"/>
                  </w:tcBorders>
                  <w:noWrap w:val="0"/>
                  <w:vAlign w:val="center"/>
                </w:tcPr>
                <w:p w14:paraId="570F471A">
                  <w:pPr>
                    <w:widowControl/>
                    <w:jc w:val="left"/>
                    <w:rPr>
                      <w:rFonts w:hint="default" w:ascii="Times New Roman" w:hAnsi="Times New Roman" w:eastAsia="宋体" w:cs="Times New Roman"/>
                      <w:color w:val="auto"/>
                      <w:szCs w:val="21"/>
                      <w:u w:val="none" w:color="auto"/>
                    </w:rPr>
                  </w:pPr>
                </w:p>
              </w:tc>
            </w:tr>
            <w:tr w14:paraId="499EB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095" w:type="dxa"/>
                  <w:tcBorders>
                    <w:tl2br w:val="nil"/>
                    <w:tr2bl w:val="nil"/>
                  </w:tcBorders>
                  <w:noWrap w:val="0"/>
                  <w:tcMar>
                    <w:top w:w="15" w:type="dxa"/>
                    <w:left w:w="15" w:type="dxa"/>
                    <w:bottom w:w="15" w:type="dxa"/>
                    <w:right w:w="15" w:type="dxa"/>
                  </w:tcMar>
                  <w:vAlign w:val="center"/>
                </w:tcPr>
                <w:p w14:paraId="75885A02">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1#付友坤居民</w:t>
                  </w:r>
                </w:p>
              </w:tc>
              <w:tc>
                <w:tcPr>
                  <w:tcW w:w="787" w:type="dxa"/>
                  <w:tcBorders>
                    <w:tl2br w:val="nil"/>
                    <w:tr2bl w:val="nil"/>
                  </w:tcBorders>
                  <w:noWrap w:val="0"/>
                  <w:tcMar>
                    <w:top w:w="15" w:type="dxa"/>
                    <w:left w:w="15" w:type="dxa"/>
                    <w:bottom w:w="15" w:type="dxa"/>
                    <w:right w:w="15" w:type="dxa"/>
                  </w:tcMar>
                  <w:vAlign w:val="center"/>
                </w:tcPr>
                <w:p w14:paraId="2A29E06F">
                  <w:pPr>
                    <w:widowControl/>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rPr>
                    <w:t>113.0702</w:t>
                  </w:r>
                  <w:r>
                    <w:rPr>
                      <w:rFonts w:hint="default" w:ascii="Times New Roman" w:hAnsi="Times New Roman" w:eastAsia="宋体" w:cs="Times New Roman"/>
                      <w:lang w:val="en-US" w:eastAsia="zh-CN"/>
                    </w:rPr>
                    <w:t>3</w:t>
                  </w:r>
                </w:p>
              </w:tc>
              <w:tc>
                <w:tcPr>
                  <w:tcW w:w="1004" w:type="dxa"/>
                  <w:tcBorders>
                    <w:tl2br w:val="nil"/>
                    <w:tr2bl w:val="nil"/>
                  </w:tcBorders>
                  <w:noWrap w:val="0"/>
                  <w:tcMar>
                    <w:top w:w="15" w:type="dxa"/>
                    <w:left w:w="15" w:type="dxa"/>
                    <w:bottom w:w="15" w:type="dxa"/>
                    <w:right w:w="15" w:type="dxa"/>
                  </w:tcMar>
                  <w:vAlign w:val="center"/>
                </w:tcPr>
                <w:p w14:paraId="7F4C33EE">
                  <w:pPr>
                    <w:widowControl/>
                    <w:jc w:val="center"/>
                    <w:textAlignment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rPr>
                    <w:t>29.14299</w:t>
                  </w:r>
                </w:p>
              </w:tc>
              <w:tc>
                <w:tcPr>
                  <w:tcW w:w="894" w:type="dxa"/>
                  <w:vMerge w:val="restart"/>
                  <w:tcBorders>
                    <w:tl2br w:val="nil"/>
                    <w:tr2bl w:val="nil"/>
                  </w:tcBorders>
                  <w:noWrap w:val="0"/>
                  <w:tcMar>
                    <w:top w:w="15" w:type="dxa"/>
                    <w:left w:w="15" w:type="dxa"/>
                    <w:bottom w:w="15" w:type="dxa"/>
                    <w:right w:w="15" w:type="dxa"/>
                  </w:tcMar>
                  <w:vAlign w:val="center"/>
                </w:tcPr>
                <w:p w14:paraId="4F6C84D8">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居民点</w:t>
                  </w:r>
                </w:p>
              </w:tc>
              <w:tc>
                <w:tcPr>
                  <w:tcW w:w="1245" w:type="dxa"/>
                  <w:tcBorders>
                    <w:tl2br w:val="nil"/>
                    <w:tr2bl w:val="nil"/>
                  </w:tcBorders>
                  <w:noWrap w:val="0"/>
                  <w:tcMar>
                    <w:top w:w="15" w:type="dxa"/>
                    <w:left w:w="15" w:type="dxa"/>
                    <w:bottom w:w="15" w:type="dxa"/>
                    <w:right w:w="15" w:type="dxa"/>
                  </w:tcMar>
                  <w:vAlign w:val="center"/>
                </w:tcPr>
                <w:p w14:paraId="06D1FFE9">
                  <w:pPr>
                    <w:jc w:val="center"/>
                    <w:rPr>
                      <w:rFonts w:hint="default" w:ascii="Times New Roman" w:hAnsi="Times New Roman" w:eastAsia="宋体" w:cs="Times New Roman"/>
                      <w:color w:val="auto"/>
                      <w:szCs w:val="21"/>
                      <w:u w:val="none" w:color="auto"/>
                    </w:rPr>
                  </w:pP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rPr>
                    <w:t>户，</w:t>
                  </w:r>
                  <w:r>
                    <w:rPr>
                      <w:rFonts w:hint="eastAsia" w:ascii="Times New Roman" w:hAnsi="Times New Roman" w:eastAsia="宋体" w:cs="Times New Roman"/>
                      <w:color w:val="auto"/>
                      <w:u w:val="none" w:color="auto"/>
                      <w:lang w:val="en-US" w:eastAsia="zh-CN"/>
                    </w:rPr>
                    <w:t>18</w:t>
                  </w:r>
                  <w:r>
                    <w:rPr>
                      <w:rFonts w:hint="default" w:ascii="Times New Roman" w:hAnsi="Times New Roman" w:eastAsia="宋体" w:cs="Times New Roman"/>
                      <w:color w:val="auto"/>
                      <w:u w:val="none" w:color="auto"/>
                    </w:rPr>
                    <w:t>人</w:t>
                  </w:r>
                </w:p>
              </w:tc>
              <w:tc>
                <w:tcPr>
                  <w:tcW w:w="1001" w:type="dxa"/>
                  <w:vMerge w:val="restart"/>
                  <w:tcBorders>
                    <w:tl2br w:val="nil"/>
                    <w:tr2bl w:val="nil"/>
                  </w:tcBorders>
                  <w:noWrap w:val="0"/>
                  <w:tcMar>
                    <w:top w:w="15" w:type="dxa"/>
                    <w:left w:w="15" w:type="dxa"/>
                    <w:bottom w:w="15" w:type="dxa"/>
                    <w:right w:w="15" w:type="dxa"/>
                  </w:tcMar>
                  <w:vAlign w:val="center"/>
                </w:tcPr>
                <w:p w14:paraId="51F3AE31">
                  <w:pPr>
                    <w:widowControl/>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u w:val="none" w:color="auto"/>
                    </w:rPr>
                    <w:t>《环境空气质量标准》（GB3095－2012）中的二级标准</w:t>
                  </w:r>
                </w:p>
              </w:tc>
              <w:tc>
                <w:tcPr>
                  <w:tcW w:w="810" w:type="dxa"/>
                  <w:tcBorders>
                    <w:tl2br w:val="nil"/>
                    <w:tr2bl w:val="nil"/>
                  </w:tcBorders>
                  <w:noWrap w:val="0"/>
                  <w:tcMar>
                    <w:top w:w="15" w:type="dxa"/>
                    <w:left w:w="15" w:type="dxa"/>
                    <w:bottom w:w="15" w:type="dxa"/>
                    <w:right w:w="15" w:type="dxa"/>
                  </w:tcMar>
                  <w:vAlign w:val="center"/>
                </w:tcPr>
                <w:p w14:paraId="36F79895">
                  <w:pPr>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NW</w:t>
                  </w:r>
                </w:p>
              </w:tc>
              <w:tc>
                <w:tcPr>
                  <w:tcW w:w="1090" w:type="dxa"/>
                  <w:tcBorders>
                    <w:tl2br w:val="nil"/>
                    <w:tr2bl w:val="nil"/>
                  </w:tcBorders>
                  <w:noWrap w:val="0"/>
                  <w:tcMar>
                    <w:top w:w="15" w:type="dxa"/>
                    <w:left w:w="15" w:type="dxa"/>
                    <w:bottom w:w="15" w:type="dxa"/>
                    <w:right w:w="15" w:type="dxa"/>
                  </w:tcMar>
                  <w:vAlign w:val="center"/>
                </w:tcPr>
                <w:p w14:paraId="72B41146">
                  <w:pPr>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u w:val="none" w:color="auto"/>
                      <w:lang w:val="en-US" w:eastAsia="zh-CN"/>
                    </w:rPr>
                    <w:t>83</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val="en-US" w:eastAsia="zh-CN"/>
                    </w:rPr>
                    <w:t>260</w:t>
                  </w:r>
                  <w:r>
                    <w:rPr>
                      <w:rFonts w:hint="default" w:ascii="Times New Roman" w:hAnsi="Times New Roman" w:eastAsia="宋体" w:cs="Times New Roman"/>
                      <w:color w:val="auto"/>
                      <w:u w:val="none" w:color="auto"/>
                    </w:rPr>
                    <w:t>m</w:t>
                  </w:r>
                </w:p>
              </w:tc>
            </w:tr>
            <w:tr w14:paraId="15616A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5" w:type="dxa"/>
                  <w:tcBorders>
                    <w:tl2br w:val="nil"/>
                    <w:tr2bl w:val="nil"/>
                  </w:tcBorders>
                  <w:noWrap w:val="0"/>
                  <w:vAlign w:val="center"/>
                </w:tcPr>
                <w:p w14:paraId="5A204585">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2#周玉米居民</w:t>
                  </w:r>
                </w:p>
              </w:tc>
              <w:tc>
                <w:tcPr>
                  <w:tcW w:w="787" w:type="dxa"/>
                  <w:tcBorders>
                    <w:tl2br w:val="nil"/>
                    <w:tr2bl w:val="nil"/>
                  </w:tcBorders>
                  <w:noWrap w:val="0"/>
                  <w:vAlign w:val="center"/>
                </w:tcPr>
                <w:p w14:paraId="1362B767">
                  <w:pPr>
                    <w:widowControl/>
                    <w:jc w:val="center"/>
                    <w:textAlignment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rPr>
                    <w:t>113.07106</w:t>
                  </w:r>
                </w:p>
              </w:tc>
              <w:tc>
                <w:tcPr>
                  <w:tcW w:w="1004" w:type="dxa"/>
                  <w:tcBorders>
                    <w:tl2br w:val="nil"/>
                    <w:tr2bl w:val="nil"/>
                  </w:tcBorders>
                  <w:noWrap w:val="0"/>
                  <w:vAlign w:val="center"/>
                </w:tcPr>
                <w:p w14:paraId="5C021A7B">
                  <w:pPr>
                    <w:widowControl/>
                    <w:jc w:val="center"/>
                    <w:textAlignment w:val="center"/>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rPr>
                    <w:t>29.14565</w:t>
                  </w:r>
                </w:p>
              </w:tc>
              <w:tc>
                <w:tcPr>
                  <w:tcW w:w="894" w:type="dxa"/>
                  <w:vMerge w:val="continue"/>
                  <w:tcBorders>
                    <w:tl2br w:val="nil"/>
                    <w:tr2bl w:val="nil"/>
                  </w:tcBorders>
                  <w:noWrap w:val="0"/>
                  <w:vAlign w:val="center"/>
                </w:tcPr>
                <w:p w14:paraId="7765B112">
                  <w:pPr>
                    <w:widowControl/>
                    <w:jc w:val="left"/>
                    <w:rPr>
                      <w:rFonts w:hint="default" w:ascii="Times New Roman" w:hAnsi="Times New Roman" w:eastAsia="宋体" w:cs="Times New Roman"/>
                      <w:color w:val="auto"/>
                      <w:szCs w:val="21"/>
                      <w:u w:val="none" w:color="auto"/>
                    </w:rPr>
                  </w:pPr>
                </w:p>
              </w:tc>
              <w:tc>
                <w:tcPr>
                  <w:tcW w:w="1245" w:type="dxa"/>
                  <w:tcBorders>
                    <w:tl2br w:val="nil"/>
                    <w:tr2bl w:val="nil"/>
                  </w:tcBorders>
                  <w:noWrap w:val="0"/>
                  <w:vAlign w:val="center"/>
                </w:tcPr>
                <w:p w14:paraId="5152B62F">
                  <w:pPr>
                    <w:jc w:val="center"/>
                    <w:rPr>
                      <w:rFonts w:hint="default" w:ascii="Times New Roman" w:hAnsi="Times New Roman" w:eastAsia="宋体" w:cs="Times New Roman"/>
                      <w:color w:val="auto"/>
                      <w:szCs w:val="21"/>
                      <w:u w:val="none" w:color="auto"/>
                    </w:rPr>
                  </w:pPr>
                  <w:r>
                    <w:rPr>
                      <w:rFonts w:hint="eastAsia" w:ascii="Times New Roman" w:hAnsi="Times New Roman" w:eastAsia="宋体" w:cs="Times New Roman"/>
                      <w:color w:val="auto"/>
                      <w:u w:val="none" w:color="auto"/>
                      <w:lang w:val="en-US" w:eastAsia="zh-CN"/>
                    </w:rPr>
                    <w:t>10</w:t>
                  </w:r>
                  <w:r>
                    <w:rPr>
                      <w:rFonts w:hint="default" w:ascii="Times New Roman" w:hAnsi="Times New Roman" w:eastAsia="宋体" w:cs="Times New Roman"/>
                      <w:color w:val="auto"/>
                      <w:u w:val="none" w:color="auto"/>
                    </w:rPr>
                    <w:t>户，</w:t>
                  </w:r>
                  <w:r>
                    <w:rPr>
                      <w:rFonts w:hint="eastAsia" w:ascii="Times New Roman" w:hAnsi="Times New Roman" w:eastAsia="宋体" w:cs="Times New Roman"/>
                      <w:color w:val="auto"/>
                      <w:u w:val="none" w:color="auto"/>
                      <w:lang w:val="en-US" w:eastAsia="zh-CN"/>
                    </w:rPr>
                    <w:t>35</w:t>
                  </w:r>
                  <w:r>
                    <w:rPr>
                      <w:rFonts w:hint="default" w:ascii="Times New Roman" w:hAnsi="Times New Roman" w:eastAsia="宋体" w:cs="Times New Roman"/>
                      <w:color w:val="auto"/>
                      <w:u w:val="none" w:color="auto"/>
                    </w:rPr>
                    <w:t>人</w:t>
                  </w:r>
                </w:p>
              </w:tc>
              <w:tc>
                <w:tcPr>
                  <w:tcW w:w="1001" w:type="dxa"/>
                  <w:vMerge w:val="continue"/>
                  <w:tcBorders>
                    <w:tl2br w:val="nil"/>
                    <w:tr2bl w:val="nil"/>
                  </w:tcBorders>
                  <w:noWrap w:val="0"/>
                  <w:vAlign w:val="center"/>
                </w:tcPr>
                <w:p w14:paraId="526B8FCF">
                  <w:pPr>
                    <w:widowControl/>
                    <w:jc w:val="left"/>
                    <w:rPr>
                      <w:rFonts w:hint="default" w:ascii="Times New Roman" w:hAnsi="Times New Roman" w:eastAsia="宋体" w:cs="Times New Roman"/>
                      <w:color w:val="auto"/>
                      <w:szCs w:val="21"/>
                      <w:u w:val="none" w:color="auto"/>
                    </w:rPr>
                  </w:pPr>
                </w:p>
              </w:tc>
              <w:tc>
                <w:tcPr>
                  <w:tcW w:w="810" w:type="dxa"/>
                  <w:tcBorders>
                    <w:tl2br w:val="nil"/>
                    <w:tr2bl w:val="nil"/>
                  </w:tcBorders>
                  <w:noWrap w:val="0"/>
                  <w:tcMar>
                    <w:top w:w="15" w:type="dxa"/>
                    <w:left w:w="15" w:type="dxa"/>
                    <w:bottom w:w="15" w:type="dxa"/>
                    <w:right w:w="15" w:type="dxa"/>
                  </w:tcMar>
                  <w:vAlign w:val="center"/>
                </w:tcPr>
                <w:p w14:paraId="156AE43F">
                  <w:pPr>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NW</w:t>
                  </w:r>
                </w:p>
              </w:tc>
              <w:tc>
                <w:tcPr>
                  <w:tcW w:w="1090" w:type="dxa"/>
                  <w:tcBorders>
                    <w:tl2br w:val="nil"/>
                    <w:tr2bl w:val="nil"/>
                  </w:tcBorders>
                  <w:noWrap w:val="0"/>
                  <w:tcMar>
                    <w:top w:w="15" w:type="dxa"/>
                    <w:left w:w="15" w:type="dxa"/>
                    <w:bottom w:w="15" w:type="dxa"/>
                    <w:right w:w="15" w:type="dxa"/>
                  </w:tcMar>
                  <w:vAlign w:val="center"/>
                </w:tcPr>
                <w:p w14:paraId="3D39C005">
                  <w:pPr>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u w:val="none" w:color="auto"/>
                      <w:lang w:val="en-US" w:eastAsia="zh-CN"/>
                    </w:rPr>
                    <w:t>290-500</w:t>
                  </w:r>
                  <w:r>
                    <w:rPr>
                      <w:rFonts w:hint="default" w:ascii="Times New Roman" w:hAnsi="Times New Roman" w:eastAsia="宋体" w:cs="Times New Roman"/>
                      <w:color w:val="auto"/>
                      <w:u w:val="none" w:color="auto"/>
                    </w:rPr>
                    <w:t>m</w:t>
                  </w:r>
                </w:p>
              </w:tc>
            </w:tr>
            <w:tr w14:paraId="77AAE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5" w:type="dxa"/>
                  <w:tcBorders>
                    <w:tl2br w:val="nil"/>
                    <w:tr2bl w:val="nil"/>
                  </w:tcBorders>
                  <w:noWrap w:val="0"/>
                  <w:vAlign w:val="center"/>
                </w:tcPr>
                <w:p w14:paraId="7485171F">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3#枫树垄居民</w:t>
                  </w:r>
                </w:p>
              </w:tc>
              <w:tc>
                <w:tcPr>
                  <w:tcW w:w="787" w:type="dxa"/>
                  <w:tcBorders>
                    <w:tl2br w:val="nil"/>
                    <w:tr2bl w:val="nil"/>
                  </w:tcBorders>
                  <w:noWrap w:val="0"/>
                  <w:vAlign w:val="center"/>
                </w:tcPr>
                <w:p w14:paraId="66420CA8">
                  <w:pPr>
                    <w:widowControl/>
                    <w:jc w:val="center"/>
                    <w:textAlignment w:val="center"/>
                    <w:rPr>
                      <w:rFonts w:hint="default" w:ascii="Times New Roman" w:hAnsi="Times New Roman" w:eastAsia="宋体" w:cs="Times New Roman"/>
                    </w:rPr>
                  </w:pPr>
                  <w:r>
                    <w:rPr>
                      <w:rFonts w:hint="default" w:ascii="Times New Roman" w:hAnsi="Times New Roman" w:eastAsia="宋体" w:cs="Times New Roman"/>
                    </w:rPr>
                    <w:t>113.07492</w:t>
                  </w:r>
                </w:p>
              </w:tc>
              <w:tc>
                <w:tcPr>
                  <w:tcW w:w="1004" w:type="dxa"/>
                  <w:tcBorders>
                    <w:tl2br w:val="nil"/>
                    <w:tr2bl w:val="nil"/>
                  </w:tcBorders>
                  <w:noWrap w:val="0"/>
                  <w:vAlign w:val="center"/>
                </w:tcPr>
                <w:p w14:paraId="237109B3">
                  <w:pPr>
                    <w:widowControl/>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rPr>
                    <w:t>29.1420</w:t>
                  </w:r>
                  <w:r>
                    <w:rPr>
                      <w:rFonts w:hint="default" w:ascii="Times New Roman" w:hAnsi="Times New Roman" w:eastAsia="宋体" w:cs="Times New Roman"/>
                      <w:lang w:val="en-US" w:eastAsia="zh-CN"/>
                    </w:rPr>
                    <w:t>5</w:t>
                  </w:r>
                </w:p>
              </w:tc>
              <w:tc>
                <w:tcPr>
                  <w:tcW w:w="894" w:type="dxa"/>
                  <w:vMerge w:val="continue"/>
                  <w:tcBorders>
                    <w:tl2br w:val="nil"/>
                    <w:tr2bl w:val="nil"/>
                  </w:tcBorders>
                  <w:noWrap w:val="0"/>
                  <w:vAlign w:val="center"/>
                </w:tcPr>
                <w:p w14:paraId="50225678">
                  <w:pPr>
                    <w:widowControl/>
                    <w:jc w:val="left"/>
                    <w:rPr>
                      <w:rFonts w:hint="default" w:ascii="Times New Roman" w:hAnsi="Times New Roman" w:eastAsia="宋体" w:cs="Times New Roman"/>
                      <w:color w:val="auto"/>
                      <w:szCs w:val="21"/>
                      <w:u w:val="none" w:color="auto"/>
                    </w:rPr>
                  </w:pPr>
                </w:p>
              </w:tc>
              <w:tc>
                <w:tcPr>
                  <w:tcW w:w="1245" w:type="dxa"/>
                  <w:tcBorders>
                    <w:tl2br w:val="nil"/>
                    <w:tr2bl w:val="nil"/>
                  </w:tcBorders>
                  <w:noWrap w:val="0"/>
                  <w:vAlign w:val="center"/>
                </w:tcPr>
                <w:p w14:paraId="17AF9224">
                  <w:pPr>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20</w:t>
                  </w:r>
                  <w:r>
                    <w:rPr>
                      <w:rFonts w:hint="default" w:ascii="Times New Roman" w:hAnsi="Times New Roman" w:eastAsia="宋体" w:cs="Times New Roman"/>
                      <w:color w:val="auto"/>
                      <w:u w:val="none" w:color="auto"/>
                    </w:rPr>
                    <w:t>户，</w:t>
                  </w:r>
                  <w:r>
                    <w:rPr>
                      <w:rFonts w:hint="eastAsia" w:ascii="Times New Roman" w:hAnsi="Times New Roman" w:eastAsia="宋体" w:cs="Times New Roman"/>
                      <w:color w:val="auto"/>
                      <w:u w:val="none" w:color="auto"/>
                      <w:lang w:val="en-US" w:eastAsia="zh-CN"/>
                    </w:rPr>
                    <w:t>70</w:t>
                  </w:r>
                  <w:r>
                    <w:rPr>
                      <w:rFonts w:hint="default" w:ascii="Times New Roman" w:hAnsi="Times New Roman" w:eastAsia="宋体" w:cs="Times New Roman"/>
                      <w:color w:val="auto"/>
                      <w:u w:val="none" w:color="auto"/>
                    </w:rPr>
                    <w:t>人</w:t>
                  </w:r>
                </w:p>
              </w:tc>
              <w:tc>
                <w:tcPr>
                  <w:tcW w:w="1001" w:type="dxa"/>
                  <w:vMerge w:val="continue"/>
                  <w:tcBorders>
                    <w:tl2br w:val="nil"/>
                    <w:tr2bl w:val="nil"/>
                  </w:tcBorders>
                  <w:noWrap w:val="0"/>
                  <w:vAlign w:val="center"/>
                </w:tcPr>
                <w:p w14:paraId="11EB42BA">
                  <w:pPr>
                    <w:widowControl/>
                    <w:jc w:val="left"/>
                    <w:rPr>
                      <w:rFonts w:hint="default" w:ascii="Times New Roman" w:hAnsi="Times New Roman" w:eastAsia="宋体" w:cs="Times New Roman"/>
                      <w:color w:val="auto"/>
                      <w:szCs w:val="21"/>
                      <w:u w:val="none" w:color="auto"/>
                    </w:rPr>
                  </w:pPr>
                </w:p>
              </w:tc>
              <w:tc>
                <w:tcPr>
                  <w:tcW w:w="810" w:type="dxa"/>
                  <w:tcBorders>
                    <w:tl2br w:val="nil"/>
                    <w:tr2bl w:val="nil"/>
                  </w:tcBorders>
                  <w:noWrap w:val="0"/>
                  <w:tcMar>
                    <w:top w:w="15" w:type="dxa"/>
                    <w:left w:w="15" w:type="dxa"/>
                    <w:bottom w:w="15" w:type="dxa"/>
                    <w:right w:w="15" w:type="dxa"/>
                  </w:tcMar>
                  <w:vAlign w:val="center"/>
                </w:tcPr>
                <w:p w14:paraId="2245B43E">
                  <w:pPr>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NE</w:t>
                  </w:r>
                </w:p>
              </w:tc>
              <w:tc>
                <w:tcPr>
                  <w:tcW w:w="1090" w:type="dxa"/>
                  <w:tcBorders>
                    <w:tl2br w:val="nil"/>
                    <w:tr2bl w:val="nil"/>
                  </w:tcBorders>
                  <w:noWrap w:val="0"/>
                  <w:tcMar>
                    <w:top w:w="15" w:type="dxa"/>
                    <w:left w:w="15" w:type="dxa"/>
                    <w:bottom w:w="15" w:type="dxa"/>
                    <w:right w:w="15" w:type="dxa"/>
                  </w:tcMar>
                  <w:vAlign w:val="center"/>
                </w:tcPr>
                <w:p w14:paraId="4D555276">
                  <w:pPr>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160-500m</w:t>
                  </w:r>
                </w:p>
              </w:tc>
            </w:tr>
            <w:tr w14:paraId="7692B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5" w:type="dxa"/>
                  <w:tcBorders>
                    <w:tl2br w:val="nil"/>
                    <w:tr2bl w:val="nil"/>
                  </w:tcBorders>
                  <w:noWrap w:val="0"/>
                  <w:vAlign w:val="center"/>
                </w:tcPr>
                <w:p w14:paraId="5F349D7F">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4#欣荣村居民</w:t>
                  </w:r>
                </w:p>
              </w:tc>
              <w:tc>
                <w:tcPr>
                  <w:tcW w:w="787" w:type="dxa"/>
                  <w:tcBorders>
                    <w:tl2br w:val="nil"/>
                    <w:tr2bl w:val="nil"/>
                  </w:tcBorders>
                  <w:noWrap w:val="0"/>
                  <w:vAlign w:val="center"/>
                </w:tcPr>
                <w:p w14:paraId="67E61835">
                  <w:pPr>
                    <w:widowControl/>
                    <w:jc w:val="center"/>
                    <w:textAlignment w:val="center"/>
                    <w:rPr>
                      <w:rFonts w:hint="default" w:ascii="Times New Roman" w:hAnsi="Times New Roman" w:eastAsia="宋体" w:cs="Times New Roman"/>
                    </w:rPr>
                  </w:pPr>
                  <w:r>
                    <w:rPr>
                      <w:rFonts w:hint="default" w:ascii="Times New Roman" w:hAnsi="Times New Roman" w:eastAsia="宋体" w:cs="Times New Roman"/>
                    </w:rPr>
                    <w:t>113.07136</w:t>
                  </w:r>
                </w:p>
              </w:tc>
              <w:tc>
                <w:tcPr>
                  <w:tcW w:w="1004" w:type="dxa"/>
                  <w:tcBorders>
                    <w:tl2br w:val="nil"/>
                    <w:tr2bl w:val="nil"/>
                  </w:tcBorders>
                  <w:noWrap w:val="0"/>
                  <w:vAlign w:val="center"/>
                </w:tcPr>
                <w:p w14:paraId="62F9C69F">
                  <w:pPr>
                    <w:widowControl/>
                    <w:jc w:val="center"/>
                    <w:textAlignment w:val="center"/>
                    <w:rPr>
                      <w:rFonts w:hint="default" w:ascii="Times New Roman" w:hAnsi="Times New Roman" w:eastAsia="宋体" w:cs="Times New Roman"/>
                    </w:rPr>
                  </w:pPr>
                  <w:r>
                    <w:rPr>
                      <w:rFonts w:hint="default" w:ascii="Times New Roman" w:hAnsi="Times New Roman" w:eastAsia="宋体" w:cs="Times New Roman"/>
                    </w:rPr>
                    <w:t>29.13657</w:t>
                  </w:r>
                </w:p>
              </w:tc>
              <w:tc>
                <w:tcPr>
                  <w:tcW w:w="894" w:type="dxa"/>
                  <w:vMerge w:val="continue"/>
                  <w:tcBorders>
                    <w:tl2br w:val="nil"/>
                    <w:tr2bl w:val="nil"/>
                  </w:tcBorders>
                  <w:noWrap w:val="0"/>
                  <w:vAlign w:val="center"/>
                </w:tcPr>
                <w:p w14:paraId="71E77B17">
                  <w:pPr>
                    <w:widowControl/>
                    <w:jc w:val="left"/>
                    <w:rPr>
                      <w:rFonts w:hint="default" w:ascii="Times New Roman" w:hAnsi="Times New Roman" w:eastAsia="宋体" w:cs="Times New Roman"/>
                      <w:color w:val="auto"/>
                      <w:szCs w:val="21"/>
                      <w:u w:val="none" w:color="auto"/>
                    </w:rPr>
                  </w:pPr>
                </w:p>
              </w:tc>
              <w:tc>
                <w:tcPr>
                  <w:tcW w:w="1245" w:type="dxa"/>
                  <w:tcBorders>
                    <w:tl2br w:val="nil"/>
                    <w:tr2bl w:val="nil"/>
                  </w:tcBorders>
                  <w:noWrap w:val="0"/>
                  <w:vAlign w:val="center"/>
                </w:tcPr>
                <w:p w14:paraId="2B7AFE48">
                  <w:pPr>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8</w:t>
                  </w:r>
                  <w:r>
                    <w:rPr>
                      <w:rFonts w:hint="default" w:ascii="Times New Roman" w:hAnsi="Times New Roman" w:eastAsia="宋体" w:cs="Times New Roman"/>
                      <w:color w:val="auto"/>
                      <w:u w:val="none" w:color="auto"/>
                    </w:rPr>
                    <w:t>户，</w:t>
                  </w:r>
                  <w:r>
                    <w:rPr>
                      <w:rFonts w:hint="eastAsia" w:ascii="Times New Roman" w:hAnsi="Times New Roman" w:eastAsia="宋体" w:cs="Times New Roman"/>
                      <w:color w:val="auto"/>
                      <w:u w:val="none" w:color="auto"/>
                      <w:lang w:val="en-US" w:eastAsia="zh-CN"/>
                    </w:rPr>
                    <w:t>26</w:t>
                  </w:r>
                  <w:r>
                    <w:rPr>
                      <w:rFonts w:hint="default" w:ascii="Times New Roman" w:hAnsi="Times New Roman" w:eastAsia="宋体" w:cs="Times New Roman"/>
                      <w:color w:val="auto"/>
                      <w:u w:val="none" w:color="auto"/>
                    </w:rPr>
                    <w:t>人</w:t>
                  </w:r>
                </w:p>
              </w:tc>
              <w:tc>
                <w:tcPr>
                  <w:tcW w:w="1001" w:type="dxa"/>
                  <w:vMerge w:val="continue"/>
                  <w:tcBorders>
                    <w:tl2br w:val="nil"/>
                    <w:tr2bl w:val="nil"/>
                  </w:tcBorders>
                  <w:noWrap w:val="0"/>
                  <w:vAlign w:val="center"/>
                </w:tcPr>
                <w:p w14:paraId="4DB9FDF0">
                  <w:pPr>
                    <w:widowControl/>
                    <w:jc w:val="left"/>
                    <w:rPr>
                      <w:rFonts w:hint="default" w:ascii="Times New Roman" w:hAnsi="Times New Roman" w:eastAsia="宋体" w:cs="Times New Roman"/>
                      <w:color w:val="auto"/>
                      <w:szCs w:val="21"/>
                      <w:u w:val="none" w:color="auto"/>
                    </w:rPr>
                  </w:pPr>
                </w:p>
              </w:tc>
              <w:tc>
                <w:tcPr>
                  <w:tcW w:w="810" w:type="dxa"/>
                  <w:tcBorders>
                    <w:tl2br w:val="nil"/>
                    <w:tr2bl w:val="nil"/>
                  </w:tcBorders>
                  <w:noWrap w:val="0"/>
                  <w:tcMar>
                    <w:top w:w="15" w:type="dxa"/>
                    <w:left w:w="15" w:type="dxa"/>
                    <w:bottom w:w="15" w:type="dxa"/>
                    <w:right w:w="15" w:type="dxa"/>
                  </w:tcMar>
                  <w:vAlign w:val="center"/>
                </w:tcPr>
                <w:p w14:paraId="090A394F">
                  <w:pPr>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S</w:t>
                  </w:r>
                </w:p>
              </w:tc>
              <w:tc>
                <w:tcPr>
                  <w:tcW w:w="1090" w:type="dxa"/>
                  <w:tcBorders>
                    <w:tl2br w:val="nil"/>
                    <w:tr2bl w:val="nil"/>
                  </w:tcBorders>
                  <w:noWrap w:val="0"/>
                  <w:tcMar>
                    <w:top w:w="15" w:type="dxa"/>
                    <w:left w:w="15" w:type="dxa"/>
                    <w:bottom w:w="15" w:type="dxa"/>
                    <w:right w:w="15" w:type="dxa"/>
                  </w:tcMar>
                  <w:vAlign w:val="center"/>
                </w:tcPr>
                <w:p w14:paraId="13EF0C70">
                  <w:pPr>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302-500m</w:t>
                  </w:r>
                </w:p>
              </w:tc>
            </w:tr>
            <w:tr w14:paraId="07AD6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5" w:type="dxa"/>
                  <w:tcBorders>
                    <w:tl2br w:val="nil"/>
                    <w:tr2bl w:val="nil"/>
                  </w:tcBorders>
                  <w:noWrap w:val="0"/>
                  <w:vAlign w:val="center"/>
                </w:tcPr>
                <w:p w14:paraId="0AE88E6C">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5#欣荣村居民</w:t>
                  </w:r>
                </w:p>
              </w:tc>
              <w:tc>
                <w:tcPr>
                  <w:tcW w:w="787" w:type="dxa"/>
                  <w:tcBorders>
                    <w:tl2br w:val="nil"/>
                    <w:tr2bl w:val="nil"/>
                  </w:tcBorders>
                  <w:noWrap w:val="0"/>
                  <w:vAlign w:val="center"/>
                </w:tcPr>
                <w:p w14:paraId="7C97AC7B">
                  <w:pPr>
                    <w:widowControl/>
                    <w:jc w:val="center"/>
                    <w:textAlignment w:val="center"/>
                    <w:rPr>
                      <w:rFonts w:hint="default" w:ascii="Times New Roman" w:hAnsi="Times New Roman" w:eastAsia="宋体" w:cs="Times New Roman"/>
                      <w:lang w:eastAsia="zh-CN"/>
                    </w:rPr>
                  </w:pPr>
                  <w:r>
                    <w:rPr>
                      <w:rFonts w:hint="default" w:ascii="Times New Roman" w:hAnsi="Times New Roman" w:eastAsia="宋体" w:cs="Times New Roman"/>
                    </w:rPr>
                    <w:t>113.0742</w:t>
                  </w:r>
                  <w:r>
                    <w:rPr>
                      <w:rFonts w:hint="default" w:ascii="Times New Roman" w:hAnsi="Times New Roman" w:eastAsia="宋体" w:cs="Times New Roman"/>
                      <w:lang w:val="en-US" w:eastAsia="zh-CN"/>
                    </w:rPr>
                    <w:t>2</w:t>
                  </w:r>
                </w:p>
              </w:tc>
              <w:tc>
                <w:tcPr>
                  <w:tcW w:w="1004" w:type="dxa"/>
                  <w:tcBorders>
                    <w:tl2br w:val="nil"/>
                    <w:tr2bl w:val="nil"/>
                  </w:tcBorders>
                  <w:noWrap w:val="0"/>
                  <w:vAlign w:val="center"/>
                </w:tcPr>
                <w:p w14:paraId="178E24BD">
                  <w:pPr>
                    <w:widowControl/>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rPr>
                    <w:t>29.1373</w:t>
                  </w:r>
                  <w:r>
                    <w:rPr>
                      <w:rFonts w:hint="default" w:ascii="Times New Roman" w:hAnsi="Times New Roman" w:eastAsia="宋体" w:cs="Times New Roman"/>
                      <w:lang w:val="en-US" w:eastAsia="zh-CN"/>
                    </w:rPr>
                    <w:t>3</w:t>
                  </w:r>
                </w:p>
              </w:tc>
              <w:tc>
                <w:tcPr>
                  <w:tcW w:w="894" w:type="dxa"/>
                  <w:vMerge w:val="continue"/>
                  <w:tcBorders>
                    <w:tl2br w:val="nil"/>
                    <w:tr2bl w:val="nil"/>
                  </w:tcBorders>
                  <w:noWrap w:val="0"/>
                  <w:vAlign w:val="center"/>
                </w:tcPr>
                <w:p w14:paraId="56A39848">
                  <w:pPr>
                    <w:widowControl/>
                    <w:jc w:val="left"/>
                    <w:rPr>
                      <w:rFonts w:hint="default" w:ascii="Times New Roman" w:hAnsi="Times New Roman" w:eastAsia="宋体" w:cs="Times New Roman"/>
                      <w:color w:val="auto"/>
                      <w:szCs w:val="21"/>
                      <w:u w:val="none" w:color="auto"/>
                    </w:rPr>
                  </w:pPr>
                </w:p>
              </w:tc>
              <w:tc>
                <w:tcPr>
                  <w:tcW w:w="1245" w:type="dxa"/>
                  <w:tcBorders>
                    <w:tl2br w:val="nil"/>
                    <w:tr2bl w:val="nil"/>
                  </w:tcBorders>
                  <w:noWrap w:val="0"/>
                  <w:vAlign w:val="center"/>
                </w:tcPr>
                <w:p w14:paraId="326E230C">
                  <w:pPr>
                    <w:jc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rPr>
                    <w:t>户，</w:t>
                  </w:r>
                  <w:r>
                    <w:rPr>
                      <w:rFonts w:hint="eastAsia" w:ascii="Times New Roman" w:hAnsi="Times New Roman" w:eastAsia="宋体" w:cs="Times New Roman"/>
                      <w:color w:val="auto"/>
                      <w:u w:val="none" w:color="auto"/>
                      <w:lang w:val="en-US" w:eastAsia="zh-CN"/>
                    </w:rPr>
                    <w:t>20</w:t>
                  </w:r>
                  <w:r>
                    <w:rPr>
                      <w:rFonts w:hint="default" w:ascii="Times New Roman" w:hAnsi="Times New Roman" w:eastAsia="宋体" w:cs="Times New Roman"/>
                      <w:color w:val="auto"/>
                      <w:u w:val="none" w:color="auto"/>
                    </w:rPr>
                    <w:t>人</w:t>
                  </w:r>
                </w:p>
              </w:tc>
              <w:tc>
                <w:tcPr>
                  <w:tcW w:w="1001" w:type="dxa"/>
                  <w:vMerge w:val="continue"/>
                  <w:tcBorders>
                    <w:tl2br w:val="nil"/>
                    <w:tr2bl w:val="nil"/>
                  </w:tcBorders>
                  <w:noWrap w:val="0"/>
                  <w:vAlign w:val="center"/>
                </w:tcPr>
                <w:p w14:paraId="4091D693">
                  <w:pPr>
                    <w:widowControl/>
                    <w:jc w:val="left"/>
                    <w:rPr>
                      <w:rFonts w:hint="default" w:ascii="Times New Roman" w:hAnsi="Times New Roman" w:eastAsia="宋体" w:cs="Times New Roman"/>
                      <w:color w:val="auto"/>
                      <w:szCs w:val="21"/>
                      <w:u w:val="none" w:color="auto"/>
                    </w:rPr>
                  </w:pPr>
                </w:p>
              </w:tc>
              <w:tc>
                <w:tcPr>
                  <w:tcW w:w="810" w:type="dxa"/>
                  <w:tcBorders>
                    <w:tl2br w:val="nil"/>
                    <w:tr2bl w:val="nil"/>
                  </w:tcBorders>
                  <w:noWrap w:val="0"/>
                  <w:tcMar>
                    <w:top w:w="15" w:type="dxa"/>
                    <w:left w:w="15" w:type="dxa"/>
                    <w:bottom w:w="15" w:type="dxa"/>
                    <w:right w:w="15" w:type="dxa"/>
                  </w:tcMar>
                  <w:vAlign w:val="center"/>
                </w:tcPr>
                <w:p w14:paraId="59B4CCEB">
                  <w:pPr>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SE</w:t>
                  </w:r>
                </w:p>
              </w:tc>
              <w:tc>
                <w:tcPr>
                  <w:tcW w:w="1090" w:type="dxa"/>
                  <w:tcBorders>
                    <w:tl2br w:val="nil"/>
                    <w:tr2bl w:val="nil"/>
                  </w:tcBorders>
                  <w:noWrap w:val="0"/>
                  <w:tcMar>
                    <w:top w:w="15" w:type="dxa"/>
                    <w:left w:w="15" w:type="dxa"/>
                    <w:bottom w:w="15" w:type="dxa"/>
                    <w:right w:w="15" w:type="dxa"/>
                  </w:tcMar>
                  <w:vAlign w:val="center"/>
                </w:tcPr>
                <w:p w14:paraId="2DEB84A9">
                  <w:pPr>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283-360m</w:t>
                  </w:r>
                </w:p>
              </w:tc>
            </w:tr>
          </w:tbl>
          <w:p w14:paraId="28B5D4D8">
            <w:pPr>
              <w:wordWrap w:val="0"/>
              <w:autoSpaceDE w:val="0"/>
              <w:autoSpaceDN w:val="0"/>
              <w:adjustRightInd w:val="0"/>
              <w:spacing w:line="360" w:lineRule="auto"/>
              <w:textAlignment w:val="baseline"/>
              <w:rPr>
                <w:rFonts w:ascii="Times New Roman" w:hAnsi="Times New Roman" w:eastAsia="宋体" w:cs="Times New Roman"/>
                <w:b/>
                <w:bCs/>
                <w:color w:val="auto"/>
                <w:kern w:val="0"/>
                <w:sz w:val="24"/>
                <w:szCs w:val="24"/>
                <w:u w:val="none" w:color="auto"/>
              </w:rPr>
            </w:pPr>
            <w:r>
              <w:rPr>
                <w:rFonts w:hint="eastAsia" w:ascii="Times New Roman" w:hAnsi="Times New Roman" w:eastAsia="宋体" w:cs="Times New Roman"/>
                <w:b/>
                <w:bCs/>
                <w:color w:val="auto"/>
                <w:kern w:val="0"/>
                <w:sz w:val="24"/>
                <w:szCs w:val="24"/>
                <w:u w:val="none" w:color="auto"/>
                <w:lang w:val="en-US" w:eastAsia="zh-CN"/>
              </w:rPr>
              <w:t>2</w:t>
            </w:r>
            <w:r>
              <w:rPr>
                <w:rFonts w:hint="eastAsia" w:ascii="Times New Roman" w:hAnsi="Times New Roman" w:eastAsia="宋体" w:cs="Times New Roman"/>
                <w:b/>
                <w:bCs/>
                <w:color w:val="auto"/>
                <w:kern w:val="0"/>
                <w:sz w:val="24"/>
                <w:szCs w:val="24"/>
                <w:u w:val="none" w:color="auto"/>
                <w:lang w:eastAsia="zh-CN"/>
              </w:rPr>
              <w:t>、</w:t>
            </w:r>
            <w:r>
              <w:rPr>
                <w:rFonts w:hint="eastAsia" w:ascii="Times New Roman" w:hAnsi="Times New Roman" w:eastAsia="宋体" w:cs="Times New Roman"/>
                <w:b/>
                <w:bCs/>
                <w:color w:val="auto"/>
                <w:kern w:val="0"/>
                <w:sz w:val="24"/>
                <w:szCs w:val="24"/>
                <w:u w:val="none" w:color="auto"/>
                <w:lang w:val="en-US" w:eastAsia="zh-CN"/>
              </w:rPr>
              <w:t>其他</w:t>
            </w:r>
            <w:r>
              <w:rPr>
                <w:rFonts w:ascii="Times New Roman" w:hAnsi="Times New Roman" w:eastAsia="宋体" w:cs="Times New Roman"/>
                <w:b/>
                <w:bCs/>
                <w:color w:val="auto"/>
                <w:kern w:val="0"/>
                <w:sz w:val="24"/>
                <w:szCs w:val="24"/>
                <w:u w:val="none" w:color="auto"/>
              </w:rPr>
              <w:t>环境</w:t>
            </w:r>
          </w:p>
          <w:p w14:paraId="02E2CA16">
            <w:pPr>
              <w:jc w:val="center"/>
              <w:rPr>
                <w:rFonts w:hint="default" w:ascii="Times New Roman" w:hAnsi="Times New Roman" w:cs="Times New Roman"/>
                <w:b/>
                <w:sz w:val="24"/>
                <w:u w:val="none"/>
              </w:rPr>
            </w:pPr>
            <w:r>
              <w:rPr>
                <w:rFonts w:hint="default" w:ascii="Times New Roman" w:hAnsi="Times New Roman" w:cs="Times New Roman"/>
                <w:b/>
                <w:sz w:val="24"/>
                <w:u w:val="none"/>
              </w:rPr>
              <w:t>表3-5  其他环境保护目标情况表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1255"/>
              <w:gridCol w:w="806"/>
              <w:gridCol w:w="1123"/>
              <w:gridCol w:w="1386"/>
              <w:gridCol w:w="2926"/>
            </w:tblGrid>
            <w:tr w14:paraId="5C688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0" w:type="auto"/>
                  <w:noWrap w:val="0"/>
                  <w:vAlign w:val="center"/>
                </w:tcPr>
                <w:p w14:paraId="54DB3EFE">
                  <w:pPr>
                    <w:jc w:val="center"/>
                    <w:rPr>
                      <w:rFonts w:hint="default" w:ascii="Times New Roman" w:hAnsi="Times New Roman" w:cs="Times New Roman"/>
                      <w:szCs w:val="21"/>
                      <w:u w:val="none"/>
                    </w:rPr>
                  </w:pPr>
                  <w:r>
                    <w:rPr>
                      <w:rFonts w:hint="default" w:ascii="Times New Roman" w:hAnsi="Times New Roman" w:cs="Times New Roman"/>
                      <w:u w:val="none"/>
                    </w:rPr>
                    <w:t>环境</w:t>
                  </w:r>
                </w:p>
                <w:p w14:paraId="02EC8B83">
                  <w:pPr>
                    <w:jc w:val="center"/>
                    <w:rPr>
                      <w:rFonts w:hint="default" w:ascii="Times New Roman" w:hAnsi="Times New Roman" w:cs="Times New Roman"/>
                      <w:szCs w:val="21"/>
                      <w:u w:val="none"/>
                    </w:rPr>
                  </w:pPr>
                  <w:r>
                    <w:rPr>
                      <w:rFonts w:hint="default" w:ascii="Times New Roman" w:hAnsi="Times New Roman" w:cs="Times New Roman"/>
                      <w:u w:val="none"/>
                    </w:rPr>
                    <w:t>要素</w:t>
                  </w:r>
                </w:p>
              </w:tc>
              <w:tc>
                <w:tcPr>
                  <w:tcW w:w="0" w:type="auto"/>
                  <w:noWrap w:val="0"/>
                  <w:vAlign w:val="center"/>
                </w:tcPr>
                <w:p w14:paraId="7567D3B1">
                  <w:pPr>
                    <w:jc w:val="center"/>
                    <w:rPr>
                      <w:rFonts w:hint="default" w:ascii="Times New Roman" w:hAnsi="Times New Roman" w:cs="Times New Roman"/>
                      <w:szCs w:val="21"/>
                      <w:u w:val="none"/>
                    </w:rPr>
                  </w:pPr>
                  <w:r>
                    <w:rPr>
                      <w:rFonts w:hint="default" w:ascii="Times New Roman" w:hAnsi="Times New Roman" w:cs="Times New Roman"/>
                      <w:u w:val="none"/>
                    </w:rPr>
                    <w:t>保护目</w:t>
                  </w:r>
                </w:p>
                <w:p w14:paraId="257F18A6">
                  <w:pPr>
                    <w:jc w:val="center"/>
                    <w:rPr>
                      <w:rFonts w:hint="default" w:ascii="Times New Roman" w:hAnsi="Times New Roman" w:cs="Times New Roman"/>
                      <w:szCs w:val="21"/>
                      <w:u w:val="none"/>
                    </w:rPr>
                  </w:pPr>
                  <w:r>
                    <w:rPr>
                      <w:rFonts w:hint="default" w:ascii="Times New Roman" w:hAnsi="Times New Roman" w:cs="Times New Roman"/>
                      <w:u w:val="none"/>
                    </w:rPr>
                    <w:t>标名称</w:t>
                  </w:r>
                </w:p>
              </w:tc>
              <w:tc>
                <w:tcPr>
                  <w:tcW w:w="0" w:type="auto"/>
                  <w:noWrap w:val="0"/>
                  <w:vAlign w:val="center"/>
                </w:tcPr>
                <w:p w14:paraId="343FFBA6">
                  <w:pPr>
                    <w:jc w:val="center"/>
                    <w:rPr>
                      <w:rFonts w:hint="default" w:ascii="Times New Roman" w:hAnsi="Times New Roman" w:cs="Times New Roman"/>
                      <w:szCs w:val="21"/>
                      <w:u w:val="none"/>
                    </w:rPr>
                  </w:pPr>
                  <w:r>
                    <w:rPr>
                      <w:rFonts w:hint="default" w:ascii="Times New Roman" w:hAnsi="Times New Roman" w:cs="Times New Roman"/>
                      <w:u w:val="none"/>
                    </w:rPr>
                    <w:t>相对</w:t>
                  </w:r>
                </w:p>
                <w:p w14:paraId="7C16132E">
                  <w:pPr>
                    <w:jc w:val="center"/>
                    <w:rPr>
                      <w:rFonts w:hint="default" w:ascii="Times New Roman" w:hAnsi="Times New Roman" w:cs="Times New Roman"/>
                      <w:szCs w:val="21"/>
                      <w:u w:val="none"/>
                    </w:rPr>
                  </w:pPr>
                  <w:r>
                    <w:rPr>
                      <w:rFonts w:hint="default" w:ascii="Times New Roman" w:hAnsi="Times New Roman" w:cs="Times New Roman"/>
                      <w:u w:val="none"/>
                    </w:rPr>
                    <w:t>方位</w:t>
                  </w:r>
                </w:p>
              </w:tc>
              <w:tc>
                <w:tcPr>
                  <w:tcW w:w="0" w:type="auto"/>
                  <w:noWrap w:val="0"/>
                  <w:vAlign w:val="center"/>
                </w:tcPr>
                <w:p w14:paraId="33D256E1">
                  <w:pPr>
                    <w:jc w:val="center"/>
                    <w:rPr>
                      <w:rFonts w:hint="default" w:ascii="Times New Roman" w:hAnsi="Times New Roman" w:cs="Times New Roman"/>
                      <w:szCs w:val="21"/>
                      <w:u w:val="none"/>
                    </w:rPr>
                  </w:pPr>
                  <w:r>
                    <w:rPr>
                      <w:rFonts w:hint="default" w:ascii="Times New Roman" w:hAnsi="Times New Roman" w:cs="Times New Roman"/>
                      <w:u w:val="none"/>
                    </w:rPr>
                    <w:t>相对</w:t>
                  </w:r>
                </w:p>
                <w:p w14:paraId="5C1C14F4">
                  <w:pPr>
                    <w:jc w:val="center"/>
                    <w:rPr>
                      <w:rFonts w:hint="default" w:ascii="Times New Roman" w:hAnsi="Times New Roman" w:cs="Times New Roman"/>
                      <w:szCs w:val="21"/>
                      <w:u w:val="none"/>
                    </w:rPr>
                  </w:pPr>
                  <w:r>
                    <w:rPr>
                      <w:rFonts w:hint="default" w:ascii="Times New Roman" w:hAnsi="Times New Roman" w:cs="Times New Roman"/>
                      <w:u w:val="none"/>
                    </w:rPr>
                    <w:t>距离</w:t>
                  </w:r>
                </w:p>
              </w:tc>
              <w:tc>
                <w:tcPr>
                  <w:tcW w:w="0" w:type="auto"/>
                  <w:noWrap w:val="0"/>
                  <w:vAlign w:val="center"/>
                </w:tcPr>
                <w:p w14:paraId="73B2FDC8">
                  <w:pPr>
                    <w:jc w:val="center"/>
                    <w:rPr>
                      <w:rFonts w:hint="default" w:ascii="Times New Roman" w:hAnsi="Times New Roman" w:cs="Times New Roman"/>
                      <w:szCs w:val="21"/>
                      <w:u w:val="none"/>
                    </w:rPr>
                  </w:pPr>
                  <w:r>
                    <w:rPr>
                      <w:rFonts w:hint="default" w:ascii="Times New Roman" w:hAnsi="Times New Roman" w:cs="Times New Roman"/>
                      <w:u w:val="none"/>
                    </w:rPr>
                    <w:t>规模</w:t>
                  </w:r>
                  <w:r>
                    <w:rPr>
                      <w:rFonts w:hint="eastAsia" w:ascii="Times New Roman" w:hAnsi="Times New Roman" w:cs="Times New Roman"/>
                      <w:u w:val="none"/>
                      <w:lang w:eastAsia="zh-CN"/>
                    </w:rPr>
                    <w:t>、</w:t>
                  </w:r>
                  <w:r>
                    <w:rPr>
                      <w:rFonts w:hint="default" w:ascii="Times New Roman" w:hAnsi="Times New Roman" w:cs="Times New Roman"/>
                      <w:u w:val="none"/>
                    </w:rPr>
                    <w:t>功能</w:t>
                  </w:r>
                </w:p>
              </w:tc>
              <w:tc>
                <w:tcPr>
                  <w:tcW w:w="0" w:type="auto"/>
                  <w:noWrap w:val="0"/>
                  <w:vAlign w:val="center"/>
                </w:tcPr>
                <w:p w14:paraId="7A4407C7">
                  <w:pPr>
                    <w:jc w:val="center"/>
                    <w:rPr>
                      <w:rFonts w:hint="default" w:ascii="Times New Roman" w:hAnsi="Times New Roman" w:cs="Times New Roman"/>
                      <w:szCs w:val="21"/>
                      <w:u w:val="none"/>
                    </w:rPr>
                  </w:pPr>
                  <w:r>
                    <w:rPr>
                      <w:rFonts w:hint="default" w:ascii="Times New Roman" w:hAnsi="Times New Roman" w:cs="Times New Roman"/>
                      <w:u w:val="none"/>
                    </w:rPr>
                    <w:t>保护级别</w:t>
                  </w:r>
                </w:p>
              </w:tc>
            </w:tr>
            <w:tr w14:paraId="1C6BA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0" w:type="auto"/>
                  <w:vMerge w:val="restart"/>
                  <w:noWrap w:val="0"/>
                  <w:vAlign w:val="center"/>
                </w:tcPr>
                <w:p w14:paraId="4446F80D">
                  <w:pPr>
                    <w:jc w:val="center"/>
                    <w:rPr>
                      <w:rFonts w:hint="default" w:ascii="Times New Roman" w:hAnsi="Times New Roman" w:cs="Times New Roman"/>
                      <w:szCs w:val="21"/>
                      <w:u w:val="none"/>
                    </w:rPr>
                  </w:pPr>
                  <w:r>
                    <w:rPr>
                      <w:rFonts w:hint="default" w:ascii="Times New Roman" w:hAnsi="Times New Roman" w:cs="Times New Roman"/>
                      <w:u w:val="none"/>
                    </w:rPr>
                    <w:t>地表水环境</w:t>
                  </w:r>
                </w:p>
              </w:tc>
              <w:tc>
                <w:tcPr>
                  <w:tcW w:w="0" w:type="auto"/>
                  <w:noWrap w:val="0"/>
                  <w:vAlign w:val="center"/>
                </w:tcPr>
                <w:p w14:paraId="196899AB">
                  <w:pPr>
                    <w:jc w:val="center"/>
                    <w:rPr>
                      <w:rFonts w:hint="default" w:ascii="Times New Roman" w:hAnsi="Times New Roman" w:cs="Times New Roman"/>
                      <w:szCs w:val="21"/>
                      <w:u w:val="none"/>
                    </w:rPr>
                  </w:pPr>
                  <w:r>
                    <w:rPr>
                      <w:rFonts w:hint="default" w:ascii="Times New Roman" w:hAnsi="Times New Roman" w:cs="Times New Roman"/>
                      <w:u w:val="none"/>
                    </w:rPr>
                    <w:t>水塘</w:t>
                  </w:r>
                </w:p>
              </w:tc>
              <w:tc>
                <w:tcPr>
                  <w:tcW w:w="0" w:type="auto"/>
                  <w:noWrap w:val="0"/>
                  <w:vAlign w:val="center"/>
                </w:tcPr>
                <w:p w14:paraId="214B06F1">
                  <w:pPr>
                    <w:jc w:val="center"/>
                    <w:rPr>
                      <w:rFonts w:hint="eastAsia" w:ascii="Times New Roman" w:hAnsi="Times New Roman" w:cs="Times New Roman" w:eastAsiaTheme="minorEastAsia"/>
                      <w:szCs w:val="21"/>
                      <w:u w:val="none"/>
                      <w:lang w:eastAsia="zh-CN"/>
                    </w:rPr>
                  </w:pPr>
                  <w:r>
                    <w:rPr>
                      <w:rFonts w:hint="eastAsia" w:ascii="Times New Roman" w:hAnsi="Times New Roman" w:cs="Times New Roman"/>
                      <w:u w:val="none"/>
                      <w:lang w:val="en-US" w:eastAsia="zh-CN"/>
                    </w:rPr>
                    <w:t>E</w:t>
                  </w:r>
                </w:p>
              </w:tc>
              <w:tc>
                <w:tcPr>
                  <w:tcW w:w="0" w:type="auto"/>
                  <w:noWrap w:val="0"/>
                  <w:vAlign w:val="center"/>
                </w:tcPr>
                <w:p w14:paraId="23F35AA4">
                  <w:pPr>
                    <w:jc w:val="center"/>
                    <w:rPr>
                      <w:rFonts w:hint="default" w:ascii="Times New Roman" w:hAnsi="Times New Roman" w:cs="Times New Roman"/>
                      <w:szCs w:val="21"/>
                      <w:u w:val="none"/>
                    </w:rPr>
                  </w:pPr>
                  <w:r>
                    <w:rPr>
                      <w:rFonts w:hint="default" w:ascii="Times New Roman" w:hAnsi="Times New Roman" w:cs="Times New Roman"/>
                      <w:u w:val="none"/>
                    </w:rPr>
                    <w:t>1</w:t>
                  </w:r>
                  <w:r>
                    <w:rPr>
                      <w:rFonts w:hint="eastAsia" w:ascii="Times New Roman" w:hAnsi="Times New Roman" w:cs="Times New Roman"/>
                      <w:u w:val="none"/>
                      <w:lang w:val="en-US" w:eastAsia="zh-CN"/>
                    </w:rPr>
                    <w:t>8</w:t>
                  </w:r>
                  <w:r>
                    <w:rPr>
                      <w:rFonts w:hint="default" w:ascii="Times New Roman" w:hAnsi="Times New Roman" w:cs="Times New Roman"/>
                      <w:u w:val="none"/>
                    </w:rPr>
                    <w:t>0m</w:t>
                  </w:r>
                </w:p>
              </w:tc>
              <w:tc>
                <w:tcPr>
                  <w:tcW w:w="0" w:type="auto"/>
                  <w:noWrap w:val="0"/>
                  <w:vAlign w:val="center"/>
                </w:tcPr>
                <w:p w14:paraId="70334089">
                  <w:pPr>
                    <w:jc w:val="center"/>
                    <w:rPr>
                      <w:rFonts w:hint="default" w:ascii="Times New Roman" w:hAnsi="Times New Roman" w:cs="Times New Roman"/>
                      <w:szCs w:val="21"/>
                      <w:u w:val="none"/>
                    </w:rPr>
                  </w:pPr>
                  <w:r>
                    <w:rPr>
                      <w:rFonts w:hint="eastAsia" w:ascii="Times New Roman" w:hAnsi="Times New Roman" w:cs="Times New Roman"/>
                      <w:u w:val="none"/>
                      <w:lang w:val="en-US" w:eastAsia="zh-CN"/>
                    </w:rPr>
                    <w:t>灌溉用水</w:t>
                  </w:r>
                </w:p>
              </w:tc>
              <w:tc>
                <w:tcPr>
                  <w:tcW w:w="0" w:type="auto"/>
                  <w:noWrap w:val="0"/>
                  <w:vAlign w:val="center"/>
                </w:tcPr>
                <w:p w14:paraId="1A3CA5A8">
                  <w:pPr>
                    <w:jc w:val="center"/>
                    <w:rPr>
                      <w:rFonts w:hint="default" w:ascii="Times New Roman" w:hAnsi="Times New Roman" w:cs="Times New Roman"/>
                      <w:szCs w:val="21"/>
                      <w:u w:val="none"/>
                    </w:rPr>
                  </w:pPr>
                  <w:r>
                    <w:rPr>
                      <w:rFonts w:hint="default" w:ascii="Times New Roman" w:hAnsi="Times New Roman" w:cs="Times New Roman"/>
                      <w:u w:val="none"/>
                    </w:rPr>
                    <w:t>《地表水环境质量标准》(GB3838-2002)Ⅲ类标准</w:t>
                  </w:r>
                </w:p>
              </w:tc>
            </w:tr>
            <w:tr w14:paraId="2A442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0" w:type="auto"/>
                  <w:vMerge w:val="continue"/>
                  <w:noWrap w:val="0"/>
                  <w:vAlign w:val="center"/>
                </w:tcPr>
                <w:p w14:paraId="467CCF15">
                  <w:pPr>
                    <w:jc w:val="center"/>
                    <w:rPr>
                      <w:rFonts w:hint="default" w:ascii="Times New Roman" w:hAnsi="Times New Roman" w:cs="Times New Roman"/>
                      <w:u w:val="none"/>
                    </w:rPr>
                  </w:pPr>
                </w:p>
              </w:tc>
              <w:tc>
                <w:tcPr>
                  <w:tcW w:w="0" w:type="auto"/>
                  <w:noWrap w:val="0"/>
                  <w:vAlign w:val="center"/>
                </w:tcPr>
                <w:p w14:paraId="3BD74768">
                  <w:pPr>
                    <w:jc w:val="center"/>
                    <w:rPr>
                      <w:rFonts w:hint="eastAsia" w:ascii="Times New Roman" w:hAnsi="Times New Roman" w:cs="Times New Roman" w:eastAsiaTheme="minorEastAsia"/>
                      <w:u w:val="none"/>
                      <w:lang w:val="en-US" w:eastAsia="zh-CN"/>
                    </w:rPr>
                  </w:pPr>
                  <w:r>
                    <w:rPr>
                      <w:rFonts w:hint="eastAsia" w:ascii="Times New Roman" w:hAnsi="Times New Roman" w:cs="Times New Roman"/>
                      <w:u w:val="none"/>
                      <w:lang w:val="en-US" w:eastAsia="zh-CN"/>
                    </w:rPr>
                    <w:t>新墙河</w:t>
                  </w:r>
                </w:p>
              </w:tc>
              <w:tc>
                <w:tcPr>
                  <w:tcW w:w="0" w:type="auto"/>
                  <w:noWrap w:val="0"/>
                  <w:vAlign w:val="center"/>
                </w:tcPr>
                <w:p w14:paraId="64E036D5">
                  <w:pPr>
                    <w:jc w:val="center"/>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NE</w:t>
                  </w:r>
                </w:p>
              </w:tc>
              <w:tc>
                <w:tcPr>
                  <w:tcW w:w="0" w:type="auto"/>
                  <w:noWrap w:val="0"/>
                  <w:vAlign w:val="center"/>
                </w:tcPr>
                <w:p w14:paraId="199B1884">
                  <w:pPr>
                    <w:jc w:val="center"/>
                    <w:rPr>
                      <w:rFonts w:hint="default" w:ascii="Times New Roman" w:hAnsi="Times New Roman" w:cs="Times New Roman" w:eastAsiaTheme="minorEastAsia"/>
                      <w:u w:val="none"/>
                      <w:lang w:val="en-US" w:eastAsia="zh-CN"/>
                    </w:rPr>
                  </w:pPr>
                  <w:r>
                    <w:rPr>
                      <w:rFonts w:hint="eastAsia" w:ascii="Times New Roman" w:hAnsi="Times New Roman" w:cs="Times New Roman"/>
                      <w:u w:val="none"/>
                      <w:lang w:val="en-US" w:eastAsia="zh-CN"/>
                    </w:rPr>
                    <w:t>5000m</w:t>
                  </w:r>
                </w:p>
              </w:tc>
              <w:tc>
                <w:tcPr>
                  <w:tcW w:w="0" w:type="auto"/>
                  <w:noWrap w:val="0"/>
                  <w:vAlign w:val="center"/>
                </w:tcPr>
                <w:p w14:paraId="1F274D4F">
                  <w:pPr>
                    <w:jc w:val="center"/>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渔业用水</w:t>
                  </w:r>
                </w:p>
              </w:tc>
              <w:tc>
                <w:tcPr>
                  <w:tcW w:w="0" w:type="auto"/>
                  <w:noWrap w:val="0"/>
                  <w:vAlign w:val="center"/>
                </w:tcPr>
                <w:p w14:paraId="72DBF274">
                  <w:pPr>
                    <w:jc w:val="center"/>
                    <w:rPr>
                      <w:rFonts w:hint="default" w:ascii="Times New Roman" w:hAnsi="Times New Roman" w:cs="Times New Roman"/>
                      <w:u w:val="none"/>
                    </w:rPr>
                  </w:pPr>
                  <w:r>
                    <w:rPr>
                      <w:rFonts w:hint="default" w:ascii="Times New Roman" w:hAnsi="Times New Roman" w:cs="Times New Roman"/>
                      <w:u w:val="none"/>
                    </w:rPr>
                    <w:t>《地表水环境质量标准》(GB3838-2002)Ⅲ类标准</w:t>
                  </w:r>
                </w:p>
              </w:tc>
            </w:tr>
            <w:tr w14:paraId="1ADEC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0" w:type="auto"/>
                  <w:vMerge w:val="continue"/>
                  <w:noWrap w:val="0"/>
                  <w:vAlign w:val="center"/>
                </w:tcPr>
                <w:p w14:paraId="70323730">
                  <w:pPr>
                    <w:jc w:val="center"/>
                    <w:rPr>
                      <w:rFonts w:hint="default" w:ascii="Times New Roman" w:hAnsi="Times New Roman" w:cs="Times New Roman"/>
                      <w:u w:val="none"/>
                    </w:rPr>
                  </w:pPr>
                </w:p>
              </w:tc>
              <w:tc>
                <w:tcPr>
                  <w:tcW w:w="0" w:type="auto"/>
                  <w:noWrap w:val="0"/>
                  <w:vAlign w:val="center"/>
                </w:tcPr>
                <w:p w14:paraId="31A56959">
                  <w:pPr>
                    <w:jc w:val="center"/>
                    <w:rPr>
                      <w:rFonts w:hint="default" w:ascii="Times New Roman" w:hAnsi="Times New Roman" w:cs="Times New Roman" w:eastAsiaTheme="minorEastAsia"/>
                      <w:u w:val="none"/>
                      <w:lang w:val="en-US" w:eastAsia="zh-CN"/>
                    </w:rPr>
                  </w:pPr>
                  <w:r>
                    <w:rPr>
                      <w:rFonts w:hint="eastAsia" w:ascii="Times New Roman" w:hAnsi="Times New Roman" w:cs="Times New Roman"/>
                      <w:u w:val="none"/>
                      <w:lang w:val="en-US" w:eastAsia="zh-CN"/>
                    </w:rPr>
                    <w:t>荣家湾水库</w:t>
                  </w:r>
                </w:p>
              </w:tc>
              <w:tc>
                <w:tcPr>
                  <w:tcW w:w="0" w:type="auto"/>
                  <w:noWrap w:val="0"/>
                  <w:vAlign w:val="center"/>
                </w:tcPr>
                <w:p w14:paraId="0D7D743F">
                  <w:pPr>
                    <w:jc w:val="center"/>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NE</w:t>
                  </w:r>
                </w:p>
              </w:tc>
              <w:tc>
                <w:tcPr>
                  <w:tcW w:w="0" w:type="auto"/>
                  <w:noWrap w:val="0"/>
                  <w:vAlign w:val="center"/>
                </w:tcPr>
                <w:p w14:paraId="75D00667">
                  <w:pPr>
                    <w:jc w:val="center"/>
                    <w:rPr>
                      <w:rFonts w:hint="default" w:ascii="Times New Roman" w:hAnsi="Times New Roman" w:cs="Times New Roman" w:eastAsiaTheme="minorEastAsia"/>
                      <w:u w:val="none"/>
                      <w:lang w:val="en-US" w:eastAsia="zh-CN"/>
                    </w:rPr>
                  </w:pPr>
                  <w:r>
                    <w:rPr>
                      <w:rFonts w:hint="eastAsia" w:ascii="Times New Roman" w:hAnsi="Times New Roman" w:cs="Times New Roman"/>
                      <w:u w:val="none"/>
                      <w:lang w:val="en-US" w:eastAsia="zh-CN"/>
                    </w:rPr>
                    <w:t>2170m</w:t>
                  </w:r>
                </w:p>
              </w:tc>
              <w:tc>
                <w:tcPr>
                  <w:tcW w:w="0" w:type="auto"/>
                  <w:noWrap w:val="0"/>
                  <w:vAlign w:val="center"/>
                </w:tcPr>
                <w:p w14:paraId="50C2F1BC">
                  <w:pPr>
                    <w:jc w:val="center"/>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农业用水</w:t>
                  </w:r>
                </w:p>
              </w:tc>
              <w:tc>
                <w:tcPr>
                  <w:tcW w:w="0" w:type="auto"/>
                  <w:noWrap w:val="0"/>
                  <w:vAlign w:val="center"/>
                </w:tcPr>
                <w:p w14:paraId="1194632E">
                  <w:pPr>
                    <w:jc w:val="center"/>
                    <w:rPr>
                      <w:rFonts w:hint="default" w:ascii="Times New Roman" w:hAnsi="Times New Roman" w:cs="Times New Roman"/>
                      <w:u w:val="none"/>
                    </w:rPr>
                  </w:pPr>
                  <w:r>
                    <w:rPr>
                      <w:rFonts w:hint="default" w:ascii="Times New Roman" w:hAnsi="Times New Roman" w:cs="Times New Roman"/>
                      <w:u w:val="none"/>
                    </w:rPr>
                    <w:t>《地表水环境质量标准》(GB3838-2002)Ⅲ类标准</w:t>
                  </w:r>
                </w:p>
              </w:tc>
            </w:tr>
            <w:tr w14:paraId="6CD41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0" w:type="auto"/>
                  <w:noWrap w:val="0"/>
                  <w:vAlign w:val="center"/>
                </w:tcPr>
                <w:p w14:paraId="4629DF92">
                  <w:pPr>
                    <w:jc w:val="center"/>
                    <w:rPr>
                      <w:rFonts w:hint="default" w:ascii="Times New Roman" w:hAnsi="Times New Roman" w:cs="Times New Roman"/>
                      <w:u w:val="none"/>
                    </w:rPr>
                  </w:pPr>
                  <w:r>
                    <w:rPr>
                      <w:rFonts w:hint="default" w:ascii="Times New Roman" w:hAnsi="Times New Roman" w:cs="Times New Roman"/>
                      <w:u w:val="none"/>
                    </w:rPr>
                    <w:t>地下水</w:t>
                  </w:r>
                </w:p>
              </w:tc>
              <w:tc>
                <w:tcPr>
                  <w:tcW w:w="0" w:type="auto"/>
                  <w:gridSpan w:val="4"/>
                  <w:noWrap w:val="0"/>
                  <w:vAlign w:val="center"/>
                </w:tcPr>
                <w:p w14:paraId="03A83045">
                  <w:pPr>
                    <w:jc w:val="center"/>
                    <w:rPr>
                      <w:rFonts w:hint="default" w:ascii="Times New Roman" w:hAnsi="Times New Roman" w:cs="Times New Roman"/>
                      <w:u w:val="none"/>
                    </w:rPr>
                  </w:pPr>
                  <w:r>
                    <w:rPr>
                      <w:rFonts w:hint="default" w:ascii="Times New Roman" w:hAnsi="Times New Roman" w:cs="Times New Roman"/>
                      <w:u w:val="none"/>
                    </w:rPr>
                    <w:t>厂界及评价范围内无地下水集中式饮用水水源和热水、矿泉水、温泉等特殊地下水资源</w:t>
                  </w:r>
                </w:p>
              </w:tc>
              <w:tc>
                <w:tcPr>
                  <w:tcW w:w="0" w:type="auto"/>
                  <w:noWrap w:val="0"/>
                  <w:vAlign w:val="center"/>
                </w:tcPr>
                <w:p w14:paraId="6837344B">
                  <w:pPr>
                    <w:jc w:val="center"/>
                    <w:rPr>
                      <w:rFonts w:hint="default" w:ascii="Times New Roman" w:hAnsi="Times New Roman" w:cs="Times New Roman"/>
                      <w:u w:val="none"/>
                    </w:rPr>
                  </w:pPr>
                  <w:r>
                    <w:rPr>
                      <w:rFonts w:hint="default" w:ascii="Times New Roman" w:hAnsi="Times New Roman" w:cs="Times New Roman"/>
                      <w:u w:val="none"/>
                    </w:rPr>
                    <w:t>地下水质量标准(GBT14848-2017) Ⅲ类标准</w:t>
                  </w:r>
                </w:p>
              </w:tc>
            </w:tr>
            <w:tr w14:paraId="00FBC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0" w:type="auto"/>
                  <w:noWrap w:val="0"/>
                  <w:vAlign w:val="center"/>
                </w:tcPr>
                <w:p w14:paraId="7842DC44">
                  <w:pPr>
                    <w:jc w:val="center"/>
                    <w:rPr>
                      <w:rFonts w:hint="default" w:ascii="Times New Roman" w:hAnsi="Times New Roman" w:cs="Times New Roman"/>
                      <w:szCs w:val="21"/>
                      <w:u w:val="none"/>
                    </w:rPr>
                  </w:pPr>
                  <w:r>
                    <w:rPr>
                      <w:rFonts w:hint="default" w:ascii="Times New Roman" w:hAnsi="Times New Roman" w:cs="Times New Roman"/>
                      <w:u w:val="none"/>
                    </w:rPr>
                    <w:t>声环境</w:t>
                  </w:r>
                </w:p>
              </w:tc>
              <w:tc>
                <w:tcPr>
                  <w:tcW w:w="0" w:type="auto"/>
                  <w:gridSpan w:val="4"/>
                  <w:noWrap w:val="0"/>
                  <w:vAlign w:val="center"/>
                </w:tcPr>
                <w:p w14:paraId="2BB697C6">
                  <w:pPr>
                    <w:jc w:val="center"/>
                    <w:rPr>
                      <w:rFonts w:hint="default" w:ascii="Times New Roman" w:hAnsi="Times New Roman" w:cs="Times New Roman"/>
                      <w:szCs w:val="21"/>
                      <w:u w:val="none"/>
                    </w:rPr>
                  </w:pPr>
                  <w:r>
                    <w:rPr>
                      <w:rFonts w:hint="default" w:ascii="Times New Roman" w:hAnsi="Times New Roman" w:cs="Times New Roman"/>
                      <w:u w:val="none"/>
                    </w:rPr>
                    <w:t>评价范围50m内无居民等敏感点</w:t>
                  </w:r>
                </w:p>
              </w:tc>
              <w:tc>
                <w:tcPr>
                  <w:tcW w:w="0" w:type="auto"/>
                  <w:noWrap w:val="0"/>
                  <w:vAlign w:val="center"/>
                </w:tcPr>
                <w:p w14:paraId="1FDC367A">
                  <w:pPr>
                    <w:jc w:val="center"/>
                    <w:rPr>
                      <w:rFonts w:hint="default" w:ascii="Times New Roman" w:hAnsi="Times New Roman" w:cs="Times New Roman"/>
                      <w:szCs w:val="21"/>
                      <w:u w:val="none"/>
                    </w:rPr>
                  </w:pPr>
                  <w:r>
                    <w:rPr>
                      <w:rFonts w:hint="default" w:ascii="Times New Roman" w:hAnsi="Times New Roman" w:cs="Times New Roman"/>
                      <w:u w:val="none"/>
                    </w:rPr>
                    <w:t>（GB3096-2008）2类标准</w:t>
                  </w:r>
                </w:p>
              </w:tc>
            </w:tr>
            <w:tr w14:paraId="04BE2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0" w:type="auto"/>
                  <w:noWrap w:val="0"/>
                  <w:vAlign w:val="center"/>
                </w:tcPr>
                <w:p w14:paraId="52D280C8">
                  <w:pPr>
                    <w:jc w:val="center"/>
                    <w:rPr>
                      <w:rFonts w:hint="default" w:ascii="Times New Roman" w:hAnsi="Times New Roman" w:cs="Times New Roman"/>
                      <w:szCs w:val="21"/>
                      <w:u w:val="none"/>
                    </w:rPr>
                  </w:pPr>
                  <w:r>
                    <w:rPr>
                      <w:rFonts w:hint="default" w:ascii="Times New Roman" w:hAnsi="Times New Roman" w:cs="Times New Roman"/>
                      <w:u w:val="none"/>
                    </w:rPr>
                    <w:t>生态环境</w:t>
                  </w:r>
                </w:p>
              </w:tc>
              <w:tc>
                <w:tcPr>
                  <w:tcW w:w="0" w:type="auto"/>
                  <w:gridSpan w:val="5"/>
                  <w:noWrap w:val="0"/>
                  <w:vAlign w:val="center"/>
                </w:tcPr>
                <w:p w14:paraId="53301379">
                  <w:pPr>
                    <w:jc w:val="center"/>
                    <w:rPr>
                      <w:rFonts w:hint="default" w:ascii="Times New Roman" w:hAnsi="Times New Roman" w:cs="Times New Roman"/>
                      <w:szCs w:val="21"/>
                      <w:u w:val="none"/>
                    </w:rPr>
                  </w:pPr>
                  <w:r>
                    <w:rPr>
                      <w:rFonts w:hint="default" w:ascii="Times New Roman" w:hAnsi="Times New Roman" w:cs="Times New Roman"/>
                      <w:u w:val="none"/>
                    </w:rPr>
                    <w:t>厂界外500m范围内的植被、林地、耕地及水田，评价范围内无珍稀濒危植物</w:t>
                  </w:r>
                </w:p>
              </w:tc>
            </w:tr>
            <w:tr w14:paraId="3E963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0" w:type="auto"/>
                  <w:gridSpan w:val="6"/>
                  <w:noWrap w:val="0"/>
                  <w:vAlign w:val="center"/>
                </w:tcPr>
                <w:p w14:paraId="736D6C93">
                  <w:pPr>
                    <w:rPr>
                      <w:rFonts w:hint="default" w:ascii="Times New Roman" w:hAnsi="Times New Roman" w:cs="Times New Roman"/>
                      <w:u w:val="none"/>
                    </w:rPr>
                  </w:pPr>
                  <w:r>
                    <w:rPr>
                      <w:rFonts w:hint="default" w:ascii="Times New Roman" w:hAnsi="Times New Roman" w:cs="Times New Roman"/>
                      <w:u w:val="none"/>
                    </w:rPr>
                    <w:t>备注：因项目周边居民生活用水均为自来水</w:t>
                  </w:r>
                </w:p>
              </w:tc>
            </w:tr>
          </w:tbl>
          <w:p w14:paraId="3091E35D"/>
        </w:tc>
      </w:tr>
      <w:tr w14:paraId="76DD0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750" w:type="dxa"/>
            <w:tcMar>
              <w:top w:w="0" w:type="dxa"/>
              <w:left w:w="28" w:type="dxa"/>
              <w:bottom w:w="0" w:type="dxa"/>
              <w:right w:w="28" w:type="dxa"/>
            </w:tcMar>
            <w:vAlign w:val="center"/>
          </w:tcPr>
          <w:p w14:paraId="6FD777F5">
            <w:pPr>
              <w:adjustRightInd w:val="0"/>
              <w:snapToGrid w:val="0"/>
              <w:spacing w:line="360" w:lineRule="auto"/>
              <w:jc w:val="center"/>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污染物排放控制标准</w:t>
            </w:r>
          </w:p>
        </w:tc>
        <w:tc>
          <w:tcPr>
            <w:tcW w:w="8176" w:type="dxa"/>
            <w:vAlign w:val="center"/>
          </w:tcPr>
          <w:p w14:paraId="284919C4">
            <w:pPr>
              <w:spacing w:line="360" w:lineRule="auto"/>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1</w:t>
            </w:r>
            <w:r>
              <w:rPr>
                <w:rFonts w:hint="eastAsia" w:ascii="Times New Roman" w:hAnsi="Times New Roman" w:eastAsia="宋体" w:cs="Times New Roman"/>
                <w:b/>
                <w:bCs/>
                <w:color w:val="auto"/>
                <w:sz w:val="24"/>
                <w:szCs w:val="24"/>
                <w:u w:val="none" w:color="auto"/>
                <w:lang w:eastAsia="zh-CN"/>
              </w:rPr>
              <w:t>、</w:t>
            </w:r>
            <w:r>
              <w:rPr>
                <w:rFonts w:ascii="Times New Roman" w:hAnsi="Times New Roman" w:eastAsia="宋体" w:cs="Times New Roman"/>
                <w:b/>
                <w:bCs/>
                <w:color w:val="auto"/>
                <w:sz w:val="24"/>
                <w:szCs w:val="24"/>
                <w:u w:val="none" w:color="auto"/>
              </w:rPr>
              <w:t>大气污染物</w:t>
            </w:r>
          </w:p>
          <w:p w14:paraId="0FA370F0">
            <w:pPr>
              <w:pStyle w:val="66"/>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施工期：施工期扬尘执行《大气污染物综合排放标准》（GB16297-1996）</w:t>
            </w:r>
            <w:r>
              <w:rPr>
                <w:rFonts w:hint="eastAsia" w:ascii="Times New Roman" w:hAnsi="Times New Roman" w:cs="Times New Roman"/>
                <w:color w:val="auto"/>
                <w:sz w:val="24"/>
                <w:u w:val="none" w:color="auto"/>
                <w:lang w:val="en-US" w:eastAsia="zh-CN"/>
              </w:rPr>
              <w:t>表2无组织排放监控浓度限值</w:t>
            </w:r>
            <w:r>
              <w:rPr>
                <w:rFonts w:ascii="Times New Roman" w:hAnsi="Times New Roman" w:cs="Times New Roman"/>
                <w:color w:val="auto"/>
                <w:sz w:val="24"/>
                <w:u w:val="none" w:color="auto"/>
              </w:rPr>
              <w:t>；</w:t>
            </w:r>
          </w:p>
          <w:p w14:paraId="55EE2592">
            <w:pPr>
              <w:pStyle w:val="66"/>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营运期：</w:t>
            </w:r>
            <w:r>
              <w:rPr>
                <w:rFonts w:hint="eastAsia" w:ascii="Times New Roman" w:hAnsi="Times New Roman" w:cs="Times New Roman"/>
                <w:color w:val="auto"/>
                <w:sz w:val="24"/>
                <w:u w:val="none" w:color="auto"/>
                <w:lang w:val="en-US" w:eastAsia="zh-CN"/>
              </w:rPr>
              <w:t>粉尘</w:t>
            </w:r>
            <w:r>
              <w:rPr>
                <w:rFonts w:ascii="Times New Roman" w:hAnsi="Times New Roman" w:cs="Times New Roman"/>
                <w:color w:val="auto"/>
                <w:sz w:val="24"/>
                <w:u w:val="none" w:color="auto"/>
              </w:rPr>
              <w:t>执行《水泥工业大气污染物排放标准》（GB4915-2013）表3大气污染物无组织排放限值。</w:t>
            </w:r>
          </w:p>
          <w:p w14:paraId="5141660F">
            <w:pPr>
              <w:jc w:val="center"/>
              <w:rPr>
                <w:rFonts w:hint="default" w:ascii="Times New Roman" w:hAnsi="Times New Roman" w:eastAsia="宋体" w:cs="Times New Roman"/>
                <w:b/>
                <w:bCs/>
                <w:color w:val="auto"/>
                <w:sz w:val="24"/>
                <w:szCs w:val="24"/>
                <w:u w:val="none" w:color="auto"/>
                <w:lang w:val="en-US" w:eastAsia="zh-CN"/>
              </w:rPr>
            </w:pPr>
            <w:r>
              <w:rPr>
                <w:rFonts w:ascii="Times New Roman" w:hAnsi="Times New Roman" w:eastAsia="宋体" w:cs="Times New Roman"/>
                <w:b/>
                <w:bCs/>
                <w:color w:val="auto"/>
                <w:sz w:val="24"/>
                <w:szCs w:val="24"/>
                <w:u w:val="none" w:color="auto"/>
              </w:rPr>
              <w:t>表3-</w:t>
            </w:r>
            <w:r>
              <w:rPr>
                <w:rFonts w:hint="eastAsia" w:ascii="Times New Roman" w:hAnsi="Times New Roman" w:eastAsia="宋体" w:cs="Times New Roman"/>
                <w:b/>
                <w:bCs/>
                <w:color w:val="auto"/>
                <w:sz w:val="24"/>
                <w:szCs w:val="24"/>
                <w:u w:val="none" w:color="auto"/>
                <w:lang w:val="en-US" w:eastAsia="zh-CN"/>
              </w:rPr>
              <w:t xml:space="preserve">6 </w:t>
            </w:r>
            <w:r>
              <w:rPr>
                <w:rFonts w:ascii="Times New Roman" w:hAnsi="Times New Roman" w:eastAsia="宋体" w:cs="Times New Roman"/>
                <w:b/>
                <w:bCs/>
                <w:color w:val="auto"/>
                <w:sz w:val="24"/>
                <w:szCs w:val="24"/>
                <w:u w:val="none" w:color="auto"/>
              </w:rPr>
              <w:t xml:space="preserve"> 《水泥工业大气污染物排放标准》</w:t>
            </w:r>
            <w:r>
              <w:rPr>
                <w:rFonts w:hint="eastAsia" w:ascii="Times New Roman" w:hAnsi="Times New Roman" w:eastAsia="宋体" w:cs="Times New Roman"/>
                <w:b/>
                <w:bCs/>
                <w:color w:val="auto"/>
                <w:sz w:val="24"/>
                <w:szCs w:val="24"/>
                <w:u w:val="none" w:color="auto"/>
                <w:lang w:val="en-US" w:eastAsia="zh-CN"/>
              </w:rPr>
              <w:t>表3</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4899"/>
              <w:gridCol w:w="1511"/>
            </w:tblGrid>
            <w:tr w14:paraId="55726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0"/>
                  <w:vAlign w:val="center"/>
                </w:tcPr>
                <w:p w14:paraId="6B5BDD11">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 w:val="21"/>
                      <w:szCs w:val="21"/>
                      <w:u w:val="none" w:color="auto"/>
                      <w:lang w:val="en-US" w:eastAsia="zh-CN"/>
                    </w:rPr>
                    <w:t>污染物</w:t>
                  </w:r>
                </w:p>
              </w:tc>
              <w:tc>
                <w:tcPr>
                  <w:tcW w:w="2973" w:type="pct"/>
                  <w:tcBorders>
                    <w:tl2br w:val="nil"/>
                    <w:tr2bl w:val="nil"/>
                  </w:tcBorders>
                  <w:noWrap w:val="0"/>
                  <w:vAlign w:val="center"/>
                </w:tcPr>
                <w:p w14:paraId="6DA2BB60">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u w:val="none" w:color="auto"/>
                      <w:lang w:val="en-US" w:eastAsia="zh-CN" w:bidi="ar-SA"/>
                    </w:rPr>
                  </w:pPr>
                  <w:r>
                    <w:rPr>
                      <w:rFonts w:hint="eastAsia"/>
                      <w:b/>
                      <w:bCs/>
                      <w:color w:val="auto"/>
                      <w:u w:val="none" w:color="auto"/>
                    </w:rPr>
                    <w:t>无组织排放监控位置</w:t>
                  </w:r>
                </w:p>
              </w:tc>
              <w:tc>
                <w:tcPr>
                  <w:tcW w:w="917" w:type="pct"/>
                  <w:tcBorders>
                    <w:tl2br w:val="nil"/>
                    <w:tr2bl w:val="nil"/>
                  </w:tcBorders>
                  <w:noWrap w:val="0"/>
                  <w:vAlign w:val="center"/>
                </w:tcPr>
                <w:p w14:paraId="48DDCA62">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bCs/>
                      <w:color w:val="auto"/>
                      <w:sz w:val="21"/>
                      <w:szCs w:val="21"/>
                      <w:u w:val="none" w:color="auto"/>
                      <w:lang w:val="en-US" w:eastAsia="zh-CN"/>
                    </w:rPr>
                    <w:t>排放</w:t>
                  </w:r>
                  <w:r>
                    <w:rPr>
                      <w:rFonts w:hint="default" w:ascii="Times New Roman" w:hAnsi="Times New Roman" w:eastAsia="宋体" w:cs="Times New Roman"/>
                      <w:b/>
                      <w:bCs/>
                      <w:color w:val="auto"/>
                      <w:sz w:val="21"/>
                      <w:szCs w:val="21"/>
                      <w:u w:val="none" w:color="auto"/>
                      <w:lang w:val="en-US" w:eastAsia="zh-CN"/>
                    </w:rPr>
                    <w:t>限值</w:t>
                  </w:r>
                </w:p>
              </w:tc>
            </w:tr>
            <w:tr w14:paraId="63F20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0"/>
                  <w:vAlign w:val="center"/>
                </w:tcPr>
                <w:p w14:paraId="67C8B0CD">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颗粒物</w:t>
                  </w:r>
                </w:p>
              </w:tc>
              <w:tc>
                <w:tcPr>
                  <w:tcW w:w="2973" w:type="pct"/>
                  <w:tcBorders>
                    <w:tl2br w:val="nil"/>
                    <w:tr2bl w:val="nil"/>
                  </w:tcBorders>
                  <w:noWrap w:val="0"/>
                  <w:vAlign w:val="center"/>
                </w:tcPr>
                <w:p w14:paraId="68D52997">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auto"/>
                      <w:sz w:val="21"/>
                      <w:szCs w:val="21"/>
                      <w:u w:val="none" w:color="auto"/>
                      <w:vertAlign w:val="baseline"/>
                      <w:lang w:val="en-US" w:eastAsia="zh-CN"/>
                    </w:rPr>
                  </w:pPr>
                  <w:r>
                    <w:rPr>
                      <w:rFonts w:hint="default" w:ascii="Times New Roman" w:hAnsi="Times New Roman" w:eastAsia="宋体" w:cs="Times New Roman"/>
                      <w:b w:val="0"/>
                      <w:bCs/>
                      <w:color w:val="auto"/>
                      <w:sz w:val="21"/>
                      <w:szCs w:val="21"/>
                      <w:u w:val="none" w:color="auto"/>
                      <w:lang w:val="en-US" w:eastAsia="zh-CN"/>
                    </w:rPr>
                    <w:t>厂界外20 m处上风向设参照点，下风向设监控点</w:t>
                  </w:r>
                </w:p>
              </w:tc>
              <w:tc>
                <w:tcPr>
                  <w:tcW w:w="917" w:type="pct"/>
                  <w:tcBorders>
                    <w:tl2br w:val="nil"/>
                    <w:tr2bl w:val="nil"/>
                  </w:tcBorders>
                  <w:noWrap w:val="0"/>
                  <w:vAlign w:val="center"/>
                </w:tcPr>
                <w:p w14:paraId="0B8E8769">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lang w:val="en-US" w:eastAsia="zh-CN" w:bidi="ar-SA"/>
                    </w:rPr>
                    <w:t xml:space="preserve">0.5 </w:t>
                  </w:r>
                  <w:r>
                    <w:rPr>
                      <w:rFonts w:hint="default" w:ascii="Times New Roman" w:hAnsi="Times New Roman" w:eastAsia="宋体" w:cs="Times New Roman"/>
                      <w:b w:val="0"/>
                      <w:bCs/>
                      <w:color w:val="auto"/>
                      <w:sz w:val="21"/>
                      <w:szCs w:val="21"/>
                      <w:u w:val="none" w:color="auto"/>
                      <w:lang w:val="en-US" w:eastAsia="zh-CN"/>
                    </w:rPr>
                    <w:t>mg/m</w:t>
                  </w:r>
                  <w:r>
                    <w:rPr>
                      <w:rFonts w:hint="default" w:ascii="Times New Roman" w:hAnsi="Times New Roman" w:eastAsia="宋体" w:cs="Times New Roman"/>
                      <w:b w:val="0"/>
                      <w:bCs/>
                      <w:color w:val="auto"/>
                      <w:sz w:val="21"/>
                      <w:szCs w:val="21"/>
                      <w:u w:val="none" w:color="auto"/>
                      <w:vertAlign w:val="superscript"/>
                      <w:lang w:val="en-US" w:eastAsia="zh-CN"/>
                    </w:rPr>
                    <w:t>3</w:t>
                  </w:r>
                </w:p>
              </w:tc>
            </w:tr>
          </w:tbl>
          <w:p w14:paraId="71B0D5CB">
            <w:pPr>
              <w:keepNext w:val="0"/>
              <w:keepLines w:val="0"/>
              <w:pageBreakBefore w:val="0"/>
              <w:widowControl w:val="0"/>
              <w:kinsoku/>
              <w:wordWrap/>
              <w:topLinePunct w:val="0"/>
              <w:autoSpaceDE/>
              <w:autoSpaceDN/>
              <w:bidi w:val="0"/>
              <w:adjustRightInd/>
              <w:snapToGrid w:val="0"/>
              <w:spacing w:line="360" w:lineRule="auto"/>
              <w:textAlignment w:val="auto"/>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2</w:t>
            </w:r>
            <w:r>
              <w:rPr>
                <w:rFonts w:hint="eastAsia" w:ascii="Times New Roman" w:hAnsi="Times New Roman" w:eastAsia="宋体" w:cs="Times New Roman"/>
                <w:b/>
                <w:bCs/>
                <w:color w:val="auto"/>
                <w:sz w:val="24"/>
                <w:szCs w:val="24"/>
                <w:u w:val="none" w:color="auto"/>
                <w:lang w:eastAsia="zh-CN"/>
              </w:rPr>
              <w:t>、</w:t>
            </w:r>
            <w:r>
              <w:rPr>
                <w:rFonts w:ascii="Times New Roman" w:hAnsi="Times New Roman" w:eastAsia="宋体" w:cs="Times New Roman"/>
                <w:b/>
                <w:bCs/>
                <w:color w:val="auto"/>
                <w:sz w:val="24"/>
                <w:szCs w:val="24"/>
                <w:u w:val="none" w:color="auto"/>
              </w:rPr>
              <w:t>水污染物</w:t>
            </w:r>
          </w:p>
          <w:p w14:paraId="508B57E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cs="Times New Roman"/>
                <w:color w:val="auto"/>
                <w:sz w:val="24"/>
                <w:u w:val="none" w:color="auto"/>
              </w:rPr>
            </w:pPr>
            <w:r>
              <w:rPr>
                <w:rFonts w:ascii="Times New Roman" w:hAnsi="Times New Roman" w:cs="Times New Roman"/>
                <w:color w:val="auto"/>
                <w:sz w:val="24"/>
                <w:u w:val="none" w:color="auto"/>
              </w:rPr>
              <w:t>施工期：本项目施工期生产废水经沉淀处理后回用于现场洒水抑尘，不外排</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生活污水经</w:t>
            </w:r>
            <w:r>
              <w:rPr>
                <w:rFonts w:hint="eastAsia" w:ascii="Times New Roman" w:hAnsi="Times New Roman" w:cs="Times New Roman"/>
                <w:color w:val="auto"/>
                <w:sz w:val="24"/>
                <w:u w:val="none" w:color="auto"/>
                <w:lang w:val="en-US" w:eastAsia="zh-CN"/>
              </w:rPr>
              <w:t>临时旱厕</w:t>
            </w:r>
            <w:r>
              <w:rPr>
                <w:rFonts w:hint="eastAsia" w:ascii="Times New Roman" w:hAnsi="Times New Roman" w:cs="Times New Roman"/>
                <w:color w:val="auto"/>
                <w:sz w:val="24"/>
                <w:u w:val="none" w:color="auto"/>
                <w:lang w:eastAsia="zh-CN"/>
              </w:rPr>
              <w:t>处理</w:t>
            </w:r>
            <w:r>
              <w:rPr>
                <w:rFonts w:ascii="Times New Roman" w:hAnsi="Times New Roman" w:cs="Times New Roman"/>
                <w:color w:val="auto"/>
                <w:sz w:val="24"/>
                <w:u w:val="none" w:color="auto"/>
              </w:rPr>
              <w:t>后用于周边</w:t>
            </w:r>
            <w:r>
              <w:rPr>
                <w:rFonts w:hint="eastAsia" w:ascii="Times New Roman" w:hAnsi="Times New Roman" w:cs="Times New Roman"/>
                <w:color w:val="auto"/>
                <w:sz w:val="24"/>
                <w:u w:val="none" w:color="auto"/>
                <w:lang w:eastAsia="zh-CN"/>
              </w:rPr>
              <w:t>菜地施肥</w:t>
            </w:r>
            <w:r>
              <w:rPr>
                <w:rFonts w:ascii="Times New Roman" w:hAnsi="Times New Roman" w:cs="Times New Roman"/>
                <w:color w:val="auto"/>
                <w:sz w:val="24"/>
                <w:u w:val="none" w:color="auto"/>
              </w:rPr>
              <w:t>。</w:t>
            </w:r>
          </w:p>
          <w:p w14:paraId="44AE409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cs="Times New Roman"/>
                <w:color w:val="auto"/>
                <w:sz w:val="24"/>
                <w:u w:val="none" w:color="auto"/>
              </w:rPr>
            </w:pPr>
            <w:r>
              <w:rPr>
                <w:rFonts w:ascii="Times New Roman" w:hAnsi="Times New Roman" w:cs="Times New Roman"/>
                <w:color w:val="auto"/>
                <w:sz w:val="24"/>
                <w:u w:val="none" w:color="auto"/>
              </w:rPr>
              <w:t>营运期</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生产废水</w:t>
            </w:r>
            <w:r>
              <w:rPr>
                <w:rFonts w:hint="eastAsia" w:ascii="Times New Roman" w:hAnsi="Times New Roman" w:cs="Times New Roman"/>
                <w:color w:val="auto"/>
                <w:sz w:val="24"/>
                <w:u w:val="none" w:color="auto"/>
                <w:lang w:val="en-US" w:eastAsia="zh-CN"/>
              </w:rPr>
              <w:t>经三级沉淀池（1#）沉淀后</w:t>
            </w:r>
            <w:r>
              <w:rPr>
                <w:rFonts w:ascii="Times New Roman" w:hAnsi="Times New Roman" w:cs="Times New Roman"/>
                <w:color w:val="auto"/>
                <w:sz w:val="24"/>
                <w:u w:val="none" w:color="auto"/>
              </w:rPr>
              <w:t>循环使用</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洗车废水经沉淀池（2#）处理后回用于生产</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初期雨水经沉淀池（3#）沉淀后用于洒水降尘；</w:t>
            </w:r>
            <w:r>
              <w:rPr>
                <w:rFonts w:ascii="Times New Roman" w:hAnsi="Times New Roman" w:cs="Times New Roman"/>
                <w:color w:val="auto"/>
                <w:sz w:val="24"/>
                <w:u w:val="none" w:color="auto"/>
              </w:rPr>
              <w:t>生活污水经化粪池处理</w:t>
            </w:r>
            <w:r>
              <w:rPr>
                <w:rFonts w:hint="eastAsia" w:ascii="Times New Roman" w:hAnsi="Times New Roman" w:cs="Times New Roman"/>
                <w:color w:val="auto"/>
                <w:sz w:val="24"/>
                <w:u w:val="none" w:color="auto"/>
                <w:lang w:eastAsia="zh-CN"/>
              </w:rPr>
              <w:t>后</w:t>
            </w:r>
            <w:r>
              <w:rPr>
                <w:rFonts w:ascii="Times New Roman" w:hAnsi="Times New Roman" w:cs="Times New Roman"/>
                <w:color w:val="auto"/>
                <w:sz w:val="24"/>
                <w:u w:val="none" w:color="auto"/>
              </w:rPr>
              <w:t>用于周边</w:t>
            </w:r>
            <w:r>
              <w:rPr>
                <w:rFonts w:hint="eastAsia" w:ascii="Times New Roman" w:hAnsi="Times New Roman" w:cs="Times New Roman"/>
                <w:color w:val="auto"/>
                <w:sz w:val="24"/>
                <w:u w:val="none" w:color="auto"/>
                <w:lang w:val="en-US" w:eastAsia="zh-CN"/>
              </w:rPr>
              <w:t>林地</w:t>
            </w:r>
            <w:r>
              <w:rPr>
                <w:rFonts w:hint="eastAsia" w:ascii="Times New Roman" w:hAnsi="Times New Roman" w:cs="Times New Roman"/>
                <w:color w:val="auto"/>
                <w:sz w:val="24"/>
                <w:u w:val="none" w:color="auto"/>
                <w:lang w:eastAsia="zh-CN"/>
              </w:rPr>
              <w:t>施肥</w:t>
            </w:r>
            <w:r>
              <w:rPr>
                <w:rFonts w:ascii="Times New Roman" w:hAnsi="Times New Roman" w:cs="Times New Roman"/>
                <w:color w:val="auto"/>
                <w:sz w:val="24"/>
                <w:u w:val="none" w:color="auto"/>
              </w:rPr>
              <w:t>。</w:t>
            </w:r>
          </w:p>
          <w:p w14:paraId="7F3F66E7">
            <w:pPr>
              <w:keepNext w:val="0"/>
              <w:keepLines w:val="0"/>
              <w:pageBreakBefore w:val="0"/>
              <w:widowControl w:val="0"/>
              <w:kinsoku/>
              <w:wordWrap/>
              <w:topLinePunct w:val="0"/>
              <w:autoSpaceDE/>
              <w:autoSpaceDN/>
              <w:bidi w:val="0"/>
              <w:adjustRightInd/>
              <w:snapToGrid w:val="0"/>
              <w:spacing w:line="360" w:lineRule="auto"/>
              <w:ind w:left="0" w:leftChars="0" w:firstLine="0" w:firstLineChars="0"/>
              <w:textAlignment w:val="auto"/>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3</w:t>
            </w:r>
            <w:r>
              <w:rPr>
                <w:rFonts w:hint="eastAsia" w:ascii="Times New Roman" w:hAnsi="Times New Roman" w:eastAsia="宋体" w:cs="Times New Roman"/>
                <w:b/>
                <w:bCs/>
                <w:color w:val="auto"/>
                <w:sz w:val="24"/>
                <w:szCs w:val="24"/>
                <w:u w:val="none" w:color="auto"/>
                <w:lang w:eastAsia="zh-CN"/>
              </w:rPr>
              <w:t>、</w:t>
            </w:r>
            <w:r>
              <w:rPr>
                <w:rFonts w:ascii="Times New Roman" w:hAnsi="Times New Roman" w:eastAsia="宋体" w:cs="Times New Roman"/>
                <w:b/>
                <w:bCs/>
                <w:color w:val="auto"/>
                <w:sz w:val="24"/>
                <w:szCs w:val="24"/>
                <w:u w:val="none" w:color="auto"/>
              </w:rPr>
              <w:t>噪声</w:t>
            </w:r>
          </w:p>
          <w:p w14:paraId="1250A2F7">
            <w:pPr>
              <w:keepNext w:val="0"/>
              <w:keepLines w:val="0"/>
              <w:pageBreakBefore w:val="0"/>
              <w:widowControl w:val="0"/>
              <w:kinsoku/>
              <w:wordWrap/>
              <w:overflowPunct w:val="0"/>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施工期执行《建筑施工场界环境噪声排放标准》（GB12523-2011）</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昼间</w:t>
            </w:r>
            <w:r>
              <w:rPr>
                <w:rFonts w:ascii="Times New Roman"/>
                <w:color w:val="000000"/>
                <w:sz w:val="24"/>
                <w:szCs w:val="24"/>
              </w:rPr>
              <w:t>≤</w:t>
            </w:r>
            <w:r>
              <w:rPr>
                <w:rFonts w:hint="eastAsia" w:ascii="Times New Roman"/>
                <w:color w:val="000000"/>
                <w:sz w:val="24"/>
                <w:szCs w:val="24"/>
                <w:lang w:val="en-US" w:eastAsia="zh-CN"/>
              </w:rPr>
              <w:t>70dB（A），夜间</w:t>
            </w:r>
            <w:r>
              <w:rPr>
                <w:rFonts w:ascii="Times New Roman"/>
                <w:color w:val="000000"/>
                <w:sz w:val="24"/>
                <w:szCs w:val="24"/>
              </w:rPr>
              <w:t>≤</w:t>
            </w:r>
            <w:r>
              <w:rPr>
                <w:rFonts w:hint="eastAsia" w:ascii="Times New Roman"/>
                <w:color w:val="000000"/>
                <w:sz w:val="24"/>
                <w:szCs w:val="24"/>
                <w:lang w:val="en-US" w:eastAsia="zh-CN"/>
              </w:rPr>
              <w:t>55dB（A）</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w:t>
            </w:r>
            <w:r>
              <w:rPr>
                <w:rFonts w:ascii="Times New Roman" w:hAnsi="Times New Roman" w:eastAsia="宋体" w:cs="Times New Roman"/>
                <w:color w:val="auto"/>
                <w:sz w:val="24"/>
                <w:szCs w:val="24"/>
                <w:u w:val="none" w:color="auto"/>
              </w:rPr>
              <w:t>营运期执行《工业企业厂界环境噪声排放标准》（GB12348-2008）中2类标准</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昼间</w:t>
            </w:r>
            <w:r>
              <w:rPr>
                <w:rFonts w:ascii="Times New Roman"/>
                <w:color w:val="000000"/>
                <w:sz w:val="24"/>
                <w:szCs w:val="24"/>
              </w:rPr>
              <w:t>≤</w:t>
            </w:r>
            <w:r>
              <w:rPr>
                <w:rFonts w:hint="eastAsia" w:ascii="Times New Roman"/>
                <w:color w:val="000000"/>
                <w:sz w:val="24"/>
                <w:szCs w:val="24"/>
                <w:lang w:val="en-US" w:eastAsia="zh-CN"/>
              </w:rPr>
              <w:t>60dB（A），夜间</w:t>
            </w:r>
            <w:r>
              <w:rPr>
                <w:rFonts w:ascii="Times New Roman"/>
                <w:color w:val="000000"/>
                <w:sz w:val="24"/>
                <w:szCs w:val="24"/>
              </w:rPr>
              <w:t>≤</w:t>
            </w:r>
            <w:r>
              <w:rPr>
                <w:rFonts w:hint="eastAsia" w:ascii="Times New Roman"/>
                <w:color w:val="000000"/>
                <w:sz w:val="24"/>
                <w:szCs w:val="24"/>
                <w:lang w:val="en-US" w:eastAsia="zh-CN"/>
              </w:rPr>
              <w:t>50dB（A）</w:t>
            </w:r>
            <w:r>
              <w:rPr>
                <w:rFonts w:hint="eastAsia" w:ascii="Times New Roman" w:hAnsi="Times New Roman" w:eastAsia="宋体" w:cs="Times New Roman"/>
                <w:color w:val="auto"/>
                <w:sz w:val="24"/>
                <w:szCs w:val="24"/>
                <w:u w:val="none" w:color="auto"/>
                <w:lang w:eastAsia="zh-CN"/>
              </w:rPr>
              <w:t>）</w:t>
            </w:r>
            <w:r>
              <w:rPr>
                <w:rFonts w:ascii="Times New Roman" w:hAnsi="Times New Roman" w:eastAsia="宋体" w:cs="Times New Roman"/>
                <w:color w:val="auto"/>
                <w:sz w:val="24"/>
                <w:szCs w:val="24"/>
                <w:u w:val="none" w:color="auto"/>
              </w:rPr>
              <w:t>。</w:t>
            </w:r>
          </w:p>
          <w:p w14:paraId="575E91A2">
            <w:pPr>
              <w:adjustRightInd w:val="0"/>
              <w:snapToGrid w:val="0"/>
              <w:spacing w:line="360" w:lineRule="auto"/>
              <w:rPr>
                <w:rFonts w:ascii="Times New Roman" w:hAnsi="Times New Roman" w:eastAsia="宋体" w:cs="Times New Roman"/>
                <w:b/>
                <w:bCs/>
                <w:color w:val="auto"/>
                <w:sz w:val="24"/>
                <w:szCs w:val="24"/>
                <w:u w:val="none" w:color="auto"/>
              </w:rPr>
            </w:pPr>
            <w:r>
              <w:rPr>
                <w:rFonts w:ascii="Times New Roman" w:hAnsi="Times New Roman" w:eastAsia="宋体" w:cs="Times New Roman"/>
                <w:b/>
                <w:bCs/>
                <w:color w:val="auto"/>
                <w:sz w:val="24"/>
                <w:szCs w:val="24"/>
                <w:u w:val="none" w:color="auto"/>
              </w:rPr>
              <w:t>4</w:t>
            </w:r>
            <w:r>
              <w:rPr>
                <w:rFonts w:hint="eastAsia" w:ascii="Times New Roman" w:hAnsi="Times New Roman" w:eastAsia="宋体" w:cs="Times New Roman"/>
                <w:b/>
                <w:bCs/>
                <w:color w:val="auto"/>
                <w:sz w:val="24"/>
                <w:szCs w:val="24"/>
                <w:u w:val="none" w:color="auto"/>
                <w:lang w:eastAsia="zh-CN"/>
              </w:rPr>
              <w:t>、</w:t>
            </w:r>
            <w:r>
              <w:rPr>
                <w:rFonts w:ascii="Times New Roman" w:hAnsi="Times New Roman" w:eastAsia="宋体" w:cs="Times New Roman"/>
                <w:b/>
                <w:bCs/>
                <w:color w:val="auto"/>
                <w:sz w:val="24"/>
                <w:szCs w:val="24"/>
                <w:u w:val="none" w:color="auto"/>
              </w:rPr>
              <w:t>固废</w:t>
            </w:r>
          </w:p>
          <w:p w14:paraId="368DB053">
            <w:pPr>
              <w:adjustRightInd w:val="0"/>
              <w:snapToGrid w:val="0"/>
              <w:spacing w:line="360" w:lineRule="auto"/>
              <w:ind w:firstLine="480" w:firstLineChars="200"/>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一般工业固体废物执行《一般工业固体废物贮存和填埋污染控制标准》(GB18599-2020)，危险废物执行《危险废物贮存污染控制标准》(GB18597-20</w:t>
            </w:r>
            <w:r>
              <w:rPr>
                <w:rFonts w:hint="eastAsia" w:ascii="Times New Roman" w:hAnsi="Times New Roman" w:eastAsia="宋体" w:cs="Times New Roman"/>
                <w:color w:val="auto"/>
                <w:sz w:val="24"/>
                <w:szCs w:val="24"/>
                <w:u w:val="none" w:color="auto"/>
                <w:lang w:val="en-US" w:eastAsia="zh-CN"/>
              </w:rPr>
              <w:t>23</w:t>
            </w:r>
            <w:r>
              <w:rPr>
                <w:rFonts w:ascii="Times New Roman" w:hAnsi="Times New Roman" w:eastAsia="宋体" w:cs="Times New Roman"/>
                <w:color w:val="auto"/>
                <w:sz w:val="24"/>
                <w:szCs w:val="24"/>
                <w:u w:val="none" w:color="auto"/>
              </w:rPr>
              <w:t>)。</w:t>
            </w:r>
          </w:p>
        </w:tc>
      </w:tr>
      <w:tr w14:paraId="7826A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3" w:hRule="atLeast"/>
          <w:jc w:val="center"/>
        </w:trPr>
        <w:tc>
          <w:tcPr>
            <w:tcW w:w="750" w:type="dxa"/>
            <w:vAlign w:val="center"/>
          </w:tcPr>
          <w:p w14:paraId="03FDB689">
            <w:pPr>
              <w:adjustRightInd w:val="0"/>
              <w:snapToGrid w:val="0"/>
              <w:spacing w:line="360" w:lineRule="auto"/>
              <w:jc w:val="center"/>
              <w:rPr>
                <w:rFonts w:ascii="Times New Roman" w:hAnsi="Times New Roman" w:eastAsia="宋体" w:cs="Times New Roman"/>
                <w:color w:val="auto"/>
                <w:kern w:val="0"/>
                <w:sz w:val="24"/>
                <w:szCs w:val="24"/>
                <w:u w:val="none" w:color="auto"/>
              </w:rPr>
            </w:pPr>
            <w:r>
              <w:rPr>
                <w:rFonts w:ascii="Times New Roman" w:hAnsi="Times New Roman" w:eastAsia="宋体" w:cs="Times New Roman"/>
                <w:color w:val="auto"/>
                <w:kern w:val="0"/>
                <w:sz w:val="24"/>
                <w:szCs w:val="24"/>
                <w:u w:val="none" w:color="auto"/>
              </w:rPr>
              <w:t>总量控制指标</w:t>
            </w:r>
          </w:p>
        </w:tc>
        <w:tc>
          <w:tcPr>
            <w:tcW w:w="8176" w:type="dxa"/>
            <w:vAlign w:val="center"/>
          </w:tcPr>
          <w:p w14:paraId="1E3220F2">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根据《湖南省主要污染物排污权有偿使用和交易管理办法》（湘政办发〔2022〕23号）规定，目前湖南省涉及排污权交易的主要污染物有化学需氧量、氨氮、二氧化硫、氮氧化物、铅、镉、砷</w:t>
            </w:r>
            <w:r>
              <w:rPr>
                <w:rFonts w:hint="eastAsia" w:ascii="Times New Roman" w:hAnsi="Times New Roman" w:eastAsia="宋体"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汞、铬、挥发性有机物、总磷</w:t>
            </w:r>
            <w:r>
              <w:rPr>
                <w:rFonts w:hint="eastAsia" w:ascii="Times New Roman" w:hAnsi="Times New Roman" w:eastAsia="宋体" w:cs="Times New Roman"/>
                <w:color w:val="auto"/>
                <w:kern w:val="2"/>
                <w:sz w:val="24"/>
                <w:szCs w:val="24"/>
                <w:u w:val="none" w:color="auto"/>
                <w:lang w:val="en-US" w:eastAsia="zh-CN" w:bidi="ar-SA"/>
              </w:rPr>
              <w:t>等十一</w:t>
            </w:r>
            <w:r>
              <w:rPr>
                <w:rFonts w:hint="default" w:ascii="Times New Roman" w:hAnsi="Times New Roman" w:eastAsia="宋体" w:cs="Times New Roman"/>
                <w:color w:val="auto"/>
                <w:kern w:val="2"/>
                <w:sz w:val="24"/>
                <w:szCs w:val="24"/>
                <w:u w:val="none" w:color="auto"/>
                <w:lang w:val="en-US" w:eastAsia="zh-CN" w:bidi="ar-SA"/>
              </w:rPr>
              <w:t>类污染物。</w:t>
            </w:r>
          </w:p>
          <w:p w14:paraId="2C41857E">
            <w:pPr>
              <w:spacing w:line="360" w:lineRule="auto"/>
              <w:ind w:firstLine="480" w:firstLineChars="200"/>
              <w:rPr>
                <w:rFonts w:ascii="Times New Roman" w:hAnsi="Times New Roman" w:eastAsia="宋体" w:cs="Times New Roman"/>
                <w:snapToGrid w:val="0"/>
                <w:color w:val="auto"/>
                <w:kern w:val="0"/>
                <w:sz w:val="24"/>
                <w:szCs w:val="24"/>
                <w:u w:val="none" w:color="auto"/>
              </w:rPr>
            </w:pPr>
            <w:r>
              <w:rPr>
                <w:rFonts w:hint="default" w:ascii="Times New Roman" w:hAnsi="Times New Roman" w:eastAsia="宋体" w:cs="Times New Roman"/>
                <w:color w:val="auto"/>
                <w:kern w:val="0"/>
                <w:sz w:val="24"/>
                <w:u w:val="none" w:color="auto"/>
                <w:lang w:val="en-US" w:eastAsia="zh-CN"/>
              </w:rPr>
              <w:t>本项目</w:t>
            </w:r>
            <w:r>
              <w:rPr>
                <w:rFonts w:hint="eastAsia" w:ascii="Times New Roman" w:hAnsi="Times New Roman" w:eastAsia="宋体" w:cs="Times New Roman"/>
                <w:color w:val="auto"/>
                <w:kern w:val="0"/>
                <w:sz w:val="24"/>
                <w:u w:val="none" w:color="auto"/>
                <w:lang w:val="en-US" w:eastAsia="zh-CN"/>
              </w:rPr>
              <w:t>排放的大</w:t>
            </w:r>
            <w:r>
              <w:rPr>
                <w:rFonts w:hint="default" w:ascii="Times New Roman" w:hAnsi="Times New Roman" w:eastAsia="宋体" w:cs="Times New Roman"/>
                <w:color w:val="auto"/>
                <w:kern w:val="0"/>
                <w:sz w:val="24"/>
                <w:u w:val="none" w:color="auto"/>
                <w:lang w:val="en-US" w:eastAsia="zh-CN"/>
              </w:rPr>
              <w:t>气污染物主要为粉尘</w:t>
            </w:r>
            <w:r>
              <w:rPr>
                <w:rFonts w:hint="eastAsia" w:ascii="Times New Roman" w:hAnsi="Times New Roman" w:eastAsia="宋体" w:cs="Times New Roman"/>
                <w:color w:val="auto"/>
                <w:kern w:val="0"/>
                <w:sz w:val="24"/>
                <w:u w:val="none" w:color="auto"/>
                <w:lang w:val="en-US" w:eastAsia="zh-CN"/>
              </w:rPr>
              <w:t>；</w:t>
            </w:r>
            <w:r>
              <w:rPr>
                <w:rFonts w:hint="default" w:ascii="Times New Roman" w:hAnsi="Times New Roman" w:eastAsia="宋体" w:cs="Times New Roman"/>
                <w:bCs/>
                <w:color w:val="auto"/>
                <w:sz w:val="24"/>
                <w:u w:val="none" w:color="auto"/>
                <w:lang w:val="en-US" w:eastAsia="zh-CN"/>
              </w:rPr>
              <w:t>废水</w:t>
            </w:r>
            <w:r>
              <w:rPr>
                <w:rFonts w:hint="eastAsia" w:ascii="Times New Roman" w:hAnsi="Times New Roman" w:eastAsia="宋体" w:cs="Times New Roman"/>
                <w:bCs/>
                <w:color w:val="auto"/>
                <w:sz w:val="24"/>
                <w:u w:val="none" w:color="auto"/>
                <w:lang w:val="en-US" w:eastAsia="zh-CN"/>
              </w:rPr>
              <w:t>经沉淀处理后回用，不</w:t>
            </w:r>
            <w:r>
              <w:rPr>
                <w:rFonts w:hint="default" w:ascii="Times New Roman" w:hAnsi="Times New Roman" w:eastAsia="宋体" w:cs="Times New Roman"/>
                <w:bCs/>
                <w:color w:val="auto"/>
                <w:sz w:val="24"/>
                <w:u w:val="none" w:color="auto"/>
                <w:lang w:val="en-US" w:eastAsia="zh-CN"/>
              </w:rPr>
              <w:t>外排，</w:t>
            </w:r>
            <w:r>
              <w:rPr>
                <w:rFonts w:hint="default" w:ascii="Times New Roman" w:hAnsi="Times New Roman" w:eastAsia="宋体" w:cs="Times New Roman"/>
                <w:bCs/>
                <w:color w:val="auto"/>
                <w:sz w:val="24"/>
                <w:u w:val="none" w:color="auto"/>
              </w:rPr>
              <w:t>生活污水经化粪池收集处理后</w:t>
            </w:r>
            <w:r>
              <w:rPr>
                <w:rFonts w:hint="default" w:ascii="Times New Roman" w:hAnsi="Times New Roman" w:eastAsia="宋体" w:cs="Times New Roman"/>
                <w:bCs/>
                <w:color w:val="auto"/>
                <w:sz w:val="24"/>
                <w:u w:val="none" w:color="auto"/>
                <w:lang w:val="en-US" w:eastAsia="zh-CN"/>
              </w:rPr>
              <w:t>用作</w:t>
            </w:r>
            <w:r>
              <w:rPr>
                <w:rFonts w:hint="eastAsia" w:ascii="Times New Roman" w:hAnsi="Times New Roman" w:eastAsia="宋体" w:cs="Times New Roman"/>
                <w:bCs/>
                <w:color w:val="auto"/>
                <w:sz w:val="24"/>
                <w:u w:val="none" w:color="auto"/>
                <w:lang w:val="en-US" w:eastAsia="zh-CN"/>
              </w:rPr>
              <w:t>周边林地施肥。</w:t>
            </w:r>
            <w:r>
              <w:rPr>
                <w:rFonts w:hint="eastAsia" w:ascii="Times New Roman" w:hAnsi="Times New Roman" w:eastAsia="宋体" w:cs="Times New Roman"/>
                <w:color w:val="auto"/>
                <w:kern w:val="2"/>
                <w:sz w:val="24"/>
                <w:szCs w:val="24"/>
                <w:u w:val="none" w:color="auto"/>
                <w:lang w:val="en-US" w:eastAsia="zh-CN" w:bidi="ar-SA"/>
              </w:rPr>
              <w:t>项目不</w:t>
            </w:r>
            <w:r>
              <w:rPr>
                <w:rFonts w:hint="default" w:ascii="Times New Roman" w:hAnsi="Times New Roman" w:eastAsia="宋体" w:cs="Times New Roman"/>
                <w:color w:val="auto"/>
                <w:kern w:val="2"/>
                <w:sz w:val="24"/>
                <w:szCs w:val="24"/>
                <w:u w:val="none" w:color="auto"/>
                <w:lang w:val="en-US" w:eastAsia="zh-CN" w:bidi="ar-SA"/>
              </w:rPr>
              <w:t>涉及排污权交易的主要污染物，</w:t>
            </w:r>
            <w:r>
              <w:rPr>
                <w:rFonts w:hint="default" w:ascii="Times New Roman" w:hAnsi="Times New Roman" w:eastAsia="宋体" w:cs="Times New Roman"/>
                <w:bCs/>
                <w:color w:val="auto"/>
                <w:sz w:val="24"/>
                <w:u w:val="none" w:color="auto"/>
                <w:lang w:val="en-US" w:eastAsia="zh-CN"/>
              </w:rPr>
              <w:t>无需申请总量</w:t>
            </w:r>
            <w:r>
              <w:rPr>
                <w:rFonts w:hint="eastAsia" w:ascii="Times New Roman" w:hAnsi="Times New Roman" w:eastAsia="宋体" w:cs="Times New Roman"/>
                <w:bCs/>
                <w:color w:val="auto"/>
                <w:sz w:val="24"/>
                <w:u w:val="none" w:color="auto"/>
                <w:lang w:val="en-US" w:eastAsia="zh-CN"/>
              </w:rPr>
              <w:t>控制</w:t>
            </w:r>
            <w:r>
              <w:rPr>
                <w:rFonts w:hint="default" w:ascii="Times New Roman" w:hAnsi="Times New Roman" w:eastAsia="宋体" w:cs="Times New Roman"/>
                <w:bCs/>
                <w:color w:val="auto"/>
                <w:sz w:val="24"/>
                <w:u w:val="none" w:color="auto"/>
                <w:lang w:val="en-US" w:eastAsia="zh-CN"/>
              </w:rPr>
              <w:t>指标。</w:t>
            </w:r>
          </w:p>
        </w:tc>
      </w:tr>
    </w:tbl>
    <w:p w14:paraId="47FE190C">
      <w:pPr>
        <w:pStyle w:val="23"/>
        <w:spacing w:line="360" w:lineRule="auto"/>
        <w:jc w:val="center"/>
        <w:outlineLvl w:val="9"/>
        <w:rPr>
          <w:rFonts w:ascii="Times New Roman" w:hAnsi="Times New Roman" w:cs="Times New Roman"/>
          <w:snapToGrid w:val="0"/>
          <w:color w:val="auto"/>
          <w:szCs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sectPr>
      </w:pPr>
    </w:p>
    <w:p w14:paraId="2607D939">
      <w:pPr>
        <w:pStyle w:val="23"/>
        <w:jc w:val="center"/>
        <w:outlineLvl w:val="0"/>
        <w:rPr>
          <w:rFonts w:ascii="Times New Roman" w:hAnsi="Times New Roman" w:cs="Times New Roman"/>
          <w:b/>
          <w:bCs/>
          <w:snapToGrid w:val="0"/>
          <w:color w:val="auto"/>
          <w:sz w:val="30"/>
          <w:szCs w:val="30"/>
        </w:rPr>
      </w:pPr>
      <w:bookmarkStart w:id="11" w:name="_Toc1935"/>
      <w:r>
        <w:rPr>
          <w:rFonts w:ascii="Times New Roman" w:hAnsi="Times New Roman" w:cs="Times New Roman"/>
          <w:b/>
          <w:bCs/>
          <w:snapToGrid w:val="0"/>
          <w:color w:val="auto"/>
          <w:sz w:val="30"/>
          <w:szCs w:val="30"/>
        </w:rPr>
        <w:t>四、主要环境影响和保护措施</w:t>
      </w:r>
      <w:bookmarkEnd w:id="11"/>
    </w:p>
    <w:tbl>
      <w:tblPr>
        <w:tblStyle w:val="26"/>
        <w:tblW w:w="88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8268"/>
      </w:tblGrid>
      <w:tr w14:paraId="40751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567" w:type="dxa"/>
            <w:tcMar>
              <w:top w:w="0" w:type="dxa"/>
              <w:left w:w="28" w:type="dxa"/>
              <w:bottom w:w="0" w:type="dxa"/>
              <w:right w:w="28" w:type="dxa"/>
            </w:tcMar>
            <w:vAlign w:val="center"/>
          </w:tcPr>
          <w:p w14:paraId="151424BC">
            <w:pPr>
              <w:pStyle w:val="23"/>
              <w:adjustRightInd w:val="0"/>
              <w:snapToGrid w:val="0"/>
              <w:spacing w:before="0" w:beforeAutospacing="0" w:after="0" w:afterAutospacing="0"/>
              <w:jc w:val="center"/>
              <w:rPr>
                <w:rFonts w:ascii="Times New Roman" w:hAnsi="Times New Roman" w:cs="Times New Roman"/>
                <w:color w:val="auto"/>
                <w:szCs w:val="24"/>
                <w:u w:val="none" w:color="auto"/>
              </w:rPr>
            </w:pPr>
            <w:r>
              <w:rPr>
                <w:rFonts w:ascii="Times New Roman" w:hAnsi="Times New Roman" w:cs="Times New Roman"/>
                <w:color w:val="auto"/>
                <w:szCs w:val="24"/>
                <w:u w:val="none" w:color="auto"/>
              </w:rPr>
              <w:t>施工</w:t>
            </w:r>
          </w:p>
          <w:p w14:paraId="6439F65F">
            <w:pPr>
              <w:pStyle w:val="23"/>
              <w:adjustRightInd w:val="0"/>
              <w:snapToGrid w:val="0"/>
              <w:spacing w:before="0" w:beforeAutospacing="0" w:after="0" w:afterAutospacing="0"/>
              <w:jc w:val="center"/>
              <w:rPr>
                <w:rFonts w:ascii="Times New Roman" w:hAnsi="Times New Roman" w:cs="Times New Roman"/>
                <w:color w:val="auto"/>
                <w:szCs w:val="24"/>
                <w:u w:val="none" w:color="auto"/>
              </w:rPr>
            </w:pPr>
            <w:r>
              <w:rPr>
                <w:rFonts w:ascii="Times New Roman" w:hAnsi="Times New Roman" w:cs="Times New Roman"/>
                <w:color w:val="auto"/>
                <w:szCs w:val="24"/>
                <w:u w:val="none" w:color="auto"/>
              </w:rPr>
              <w:t>期环</w:t>
            </w:r>
          </w:p>
          <w:p w14:paraId="3938212E">
            <w:pPr>
              <w:pStyle w:val="23"/>
              <w:adjustRightInd w:val="0"/>
              <w:snapToGrid w:val="0"/>
              <w:spacing w:before="0" w:beforeAutospacing="0" w:after="0" w:afterAutospacing="0"/>
              <w:jc w:val="center"/>
              <w:rPr>
                <w:rFonts w:ascii="Times New Roman" w:hAnsi="Times New Roman" w:cs="Times New Roman"/>
                <w:color w:val="auto"/>
                <w:szCs w:val="24"/>
                <w:u w:val="none" w:color="auto"/>
              </w:rPr>
            </w:pPr>
            <w:r>
              <w:rPr>
                <w:rFonts w:ascii="Times New Roman" w:hAnsi="Times New Roman" w:cs="Times New Roman"/>
                <w:color w:val="auto"/>
                <w:szCs w:val="24"/>
                <w:u w:val="none" w:color="auto"/>
              </w:rPr>
              <w:t>境保</w:t>
            </w:r>
          </w:p>
          <w:p w14:paraId="07AC317A">
            <w:pPr>
              <w:pStyle w:val="23"/>
              <w:adjustRightInd w:val="0"/>
              <w:snapToGrid w:val="0"/>
              <w:spacing w:before="0" w:beforeAutospacing="0" w:after="0" w:afterAutospacing="0"/>
              <w:jc w:val="center"/>
              <w:rPr>
                <w:rFonts w:ascii="Times New Roman" w:hAnsi="Times New Roman" w:cs="Times New Roman"/>
                <w:color w:val="auto"/>
                <w:szCs w:val="24"/>
                <w:u w:val="none" w:color="auto"/>
              </w:rPr>
            </w:pPr>
            <w:r>
              <w:rPr>
                <w:rFonts w:ascii="Times New Roman" w:hAnsi="Times New Roman" w:cs="Times New Roman"/>
                <w:color w:val="auto"/>
                <w:szCs w:val="24"/>
                <w:u w:val="none" w:color="auto"/>
              </w:rPr>
              <w:t>护措</w:t>
            </w:r>
          </w:p>
          <w:p w14:paraId="5479BD30">
            <w:pPr>
              <w:pStyle w:val="23"/>
              <w:adjustRightInd w:val="0"/>
              <w:snapToGrid w:val="0"/>
              <w:spacing w:before="0" w:beforeAutospacing="0" w:after="0" w:afterAutospacing="0"/>
              <w:jc w:val="center"/>
              <w:rPr>
                <w:rFonts w:ascii="Times New Roman" w:hAnsi="Times New Roman" w:cs="Times New Roman"/>
                <w:bCs/>
                <w:color w:val="auto"/>
                <w:szCs w:val="24"/>
                <w:u w:val="none" w:color="auto"/>
              </w:rPr>
            </w:pPr>
            <w:r>
              <w:rPr>
                <w:rFonts w:ascii="Times New Roman" w:hAnsi="Times New Roman" w:cs="Times New Roman"/>
                <w:color w:val="auto"/>
                <w:szCs w:val="24"/>
                <w:u w:val="none" w:color="auto"/>
              </w:rPr>
              <w:t>施</w:t>
            </w:r>
          </w:p>
        </w:tc>
        <w:tc>
          <w:tcPr>
            <w:tcW w:w="8268" w:type="dxa"/>
            <w:vAlign w:val="center"/>
          </w:tcPr>
          <w:p w14:paraId="10785B7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项目施工期间对环境污染问题主要表现在扬尘、施工废水、生活污水、施工噪声以及施工固体废弃物等，这些污染物均会对周围环境构成不同程度的污染影响。</w:t>
            </w:r>
          </w:p>
          <w:p w14:paraId="0948A0F1">
            <w:pPr>
              <w:spacing w:line="360" w:lineRule="auto"/>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1、施工期废气污染</w:t>
            </w:r>
            <w:r>
              <w:rPr>
                <w:rFonts w:hint="default" w:ascii="Times New Roman" w:hAnsi="Times New Roman" w:eastAsia="宋体" w:cs="Times New Roman"/>
                <w:b/>
                <w:bCs/>
                <w:sz w:val="24"/>
                <w:szCs w:val="24"/>
              </w:rPr>
              <w:t>及保护措施</w:t>
            </w:r>
          </w:p>
          <w:p w14:paraId="2A95C349">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（1）扬尘</w:t>
            </w:r>
          </w:p>
          <w:p w14:paraId="2BBEEEC9">
            <w:pPr>
              <w:pStyle w:val="14"/>
              <w:snapToGrid w:val="0"/>
              <w:spacing w:after="0" w:line="360" w:lineRule="auto"/>
              <w:ind w:left="0" w:leftChars="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该项目施工期粉尘主要来自于露天堆场和裸露场地的风力扬尘，建筑材料运输所产生的动力道路扬尘。</w:t>
            </w:r>
          </w:p>
          <w:p w14:paraId="472B812B">
            <w:pPr>
              <w:pStyle w:val="14"/>
              <w:snapToGrid w:val="0"/>
              <w:spacing w:after="0" w:line="360" w:lineRule="auto"/>
              <w:ind w:left="0" w:leftChars="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对整个施工期而言，施工产生的扬尘主要集中在土建施工阶段，由于主要采用商品混凝土，则起尘的原因主要为风力起尘，即露天堆放的建材(如黄沙、水泥等)及裸露的施工区表层浮尘由于天气干燥及大风，产生风力扬尘。</w:t>
            </w:r>
          </w:p>
          <w:p w14:paraId="239D410C">
            <w:pPr>
              <w:pStyle w:val="14"/>
              <w:snapToGrid w:val="0"/>
              <w:spacing w:after="0" w:line="360" w:lineRule="auto"/>
              <w:ind w:left="0" w:leftChars="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①露天堆场和裸露场地的风力扬尘</w:t>
            </w:r>
          </w:p>
          <w:p w14:paraId="19537726">
            <w:pPr>
              <w:pStyle w:val="14"/>
              <w:snapToGrid w:val="0"/>
              <w:spacing w:after="0" w:line="360" w:lineRule="auto"/>
              <w:ind w:left="0" w:leftChars="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由于施工的需要，一些建材需露天临时堆放；一些施工点表层土壤需人工开挖、堆放，在气候干燥又有风的情况下，会产生扬尘，根据堆放场起尘的经验公式可以看出起尘量与尘粒的含水率有关，因此，减少露天堆放和保证一定的含水率及减少裸露地面是减少风力起尘的有效手段：</w:t>
            </w:r>
          </w:p>
          <w:p w14:paraId="6E928576">
            <w:pPr>
              <w:pStyle w:val="14"/>
              <w:snapToGrid w:val="0"/>
              <w:spacing w:after="0" w:line="360" w:lineRule="auto"/>
              <w:ind w:left="525" w:leftChars="250" w:firstLine="1080" w:firstLineChars="45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Q＝2.1（V</w:t>
            </w:r>
            <w:r>
              <w:rPr>
                <w:rFonts w:hint="default" w:ascii="Times New Roman" w:hAnsi="Times New Roman" w:eastAsia="宋体" w:cs="Times New Roman"/>
                <w:bCs/>
                <w:sz w:val="24"/>
                <w:szCs w:val="24"/>
                <w:vertAlign w:val="subscript"/>
              </w:rPr>
              <w:t>50</w:t>
            </w:r>
            <w:r>
              <w:rPr>
                <w:rFonts w:hint="default" w:ascii="Times New Roman" w:hAnsi="Times New Roman" w:eastAsia="宋体" w:cs="Times New Roman"/>
                <w:bCs/>
                <w:sz w:val="24"/>
                <w:szCs w:val="24"/>
              </w:rPr>
              <w:t>—V</w:t>
            </w:r>
            <w:r>
              <w:rPr>
                <w:rFonts w:hint="default" w:ascii="Times New Roman" w:hAnsi="Times New Roman" w:eastAsia="宋体" w:cs="Times New Roman"/>
                <w:bCs/>
                <w:sz w:val="24"/>
                <w:szCs w:val="24"/>
                <w:vertAlign w:val="subscript"/>
              </w:rPr>
              <w:t>0</w:t>
            </w: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e</w:t>
            </w:r>
            <w:r>
              <w:rPr>
                <w:rFonts w:hint="default" w:ascii="Times New Roman" w:hAnsi="Times New Roman" w:eastAsia="宋体" w:cs="Times New Roman"/>
                <w:bCs/>
                <w:sz w:val="24"/>
                <w:szCs w:val="24"/>
                <w:vertAlign w:val="superscript"/>
              </w:rPr>
              <w:t>-1.023w</w:t>
            </w:r>
          </w:p>
          <w:p w14:paraId="0EF6741A">
            <w:pPr>
              <w:pStyle w:val="14"/>
              <w:snapToGrid w:val="0"/>
              <w:spacing w:after="0" w:line="360" w:lineRule="auto"/>
              <w:ind w:left="525" w:leftChars="25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式中：Q—一起尘量，kg/吨•年；</w:t>
            </w:r>
          </w:p>
          <w:p w14:paraId="26F54A84">
            <w:pPr>
              <w:pStyle w:val="14"/>
              <w:snapToGrid w:val="0"/>
              <w:spacing w:after="0" w:line="360" w:lineRule="auto"/>
              <w:ind w:left="525" w:leftChars="250" w:firstLine="1"/>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V</w:t>
            </w:r>
            <w:r>
              <w:rPr>
                <w:rFonts w:hint="default" w:ascii="Times New Roman" w:hAnsi="Times New Roman" w:eastAsia="宋体" w:cs="Times New Roman"/>
                <w:bCs/>
                <w:sz w:val="24"/>
                <w:szCs w:val="24"/>
                <w:vertAlign w:val="subscript"/>
              </w:rPr>
              <w:t>50</w:t>
            </w:r>
            <w:r>
              <w:rPr>
                <w:rFonts w:hint="default" w:ascii="Times New Roman" w:hAnsi="Times New Roman" w:eastAsia="宋体" w:cs="Times New Roman"/>
                <w:bCs/>
                <w:sz w:val="24"/>
                <w:szCs w:val="24"/>
              </w:rPr>
              <w:t>――距地面50米处风速，m/s；</w:t>
            </w:r>
          </w:p>
          <w:p w14:paraId="368E83F3">
            <w:pPr>
              <w:pStyle w:val="14"/>
              <w:snapToGrid w:val="0"/>
              <w:spacing w:after="0" w:line="360" w:lineRule="auto"/>
              <w:ind w:left="525" w:leftChars="250" w:firstLine="1"/>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V</w:t>
            </w:r>
            <w:r>
              <w:rPr>
                <w:rFonts w:hint="default" w:ascii="Times New Roman" w:hAnsi="Times New Roman" w:eastAsia="宋体" w:cs="Times New Roman"/>
                <w:bCs/>
                <w:sz w:val="24"/>
                <w:szCs w:val="24"/>
                <w:vertAlign w:val="subscript"/>
              </w:rPr>
              <w:t>0</w:t>
            </w:r>
            <w:r>
              <w:rPr>
                <w:rFonts w:hint="default" w:ascii="Times New Roman" w:hAnsi="Times New Roman" w:eastAsia="宋体" w:cs="Times New Roman"/>
                <w:bCs/>
                <w:sz w:val="24"/>
                <w:szCs w:val="24"/>
              </w:rPr>
              <w:t>――起尘风速，m/s；</w:t>
            </w:r>
          </w:p>
          <w:p w14:paraId="7A2CB8D8">
            <w:pPr>
              <w:pStyle w:val="14"/>
              <w:snapToGrid w:val="0"/>
              <w:spacing w:after="0" w:line="360" w:lineRule="auto"/>
              <w:ind w:left="525" w:leftChars="250" w:firstLine="120" w:firstLineChars="5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W――尘粒的含水率，%。</w:t>
            </w:r>
          </w:p>
          <w:p w14:paraId="62215BA3">
            <w:pPr>
              <w:pStyle w:val="14"/>
              <w:snapToGrid w:val="0"/>
              <w:spacing w:after="0" w:line="360" w:lineRule="auto"/>
              <w:ind w:left="0" w:leftChars="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根据上述公式估算本项目施工期露天堆场和裸露场地的风力扬尘5kg/吨·年。</w:t>
            </w:r>
          </w:p>
          <w:p w14:paraId="721FA01D">
            <w:pPr>
              <w:pStyle w:val="14"/>
              <w:snapToGrid w:val="0"/>
              <w:spacing w:after="0" w:line="360" w:lineRule="auto"/>
              <w:ind w:left="0" w:leftChars="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尘粒在空气中的传播扩散情况与风速等气象条件有关，也与尘粒本身的沉降速度有关。不同尘粒的沉降速度见表4-1。</w:t>
            </w:r>
          </w:p>
          <w:p w14:paraId="70714C47">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不同粒径的沉降速度</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852"/>
              <w:gridCol w:w="852"/>
              <w:gridCol w:w="851"/>
              <w:gridCol w:w="852"/>
              <w:gridCol w:w="852"/>
              <w:gridCol w:w="852"/>
              <w:gridCol w:w="852"/>
            </w:tblGrid>
            <w:tr w14:paraId="6651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83" w:type="pct"/>
                  <w:noWrap w:val="0"/>
                  <w:vAlign w:val="center"/>
                </w:tcPr>
                <w:p w14:paraId="112FDAD5">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粒径（微米）</w:t>
                  </w:r>
                </w:p>
              </w:tc>
              <w:tc>
                <w:tcPr>
                  <w:tcW w:w="531" w:type="pct"/>
                  <w:noWrap w:val="0"/>
                  <w:vAlign w:val="center"/>
                </w:tcPr>
                <w:p w14:paraId="57C416B4">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531" w:type="pct"/>
                  <w:noWrap w:val="0"/>
                  <w:vAlign w:val="center"/>
                </w:tcPr>
                <w:p w14:paraId="695E2945">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530" w:type="pct"/>
                  <w:noWrap w:val="0"/>
                  <w:vAlign w:val="center"/>
                </w:tcPr>
                <w:p w14:paraId="4CD90213">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531" w:type="pct"/>
                  <w:noWrap w:val="0"/>
                  <w:vAlign w:val="center"/>
                </w:tcPr>
                <w:p w14:paraId="79F07FBE">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531" w:type="pct"/>
                  <w:noWrap w:val="0"/>
                  <w:vAlign w:val="center"/>
                </w:tcPr>
                <w:p w14:paraId="316AD7FC">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531" w:type="pct"/>
                  <w:noWrap w:val="0"/>
                  <w:vAlign w:val="center"/>
                </w:tcPr>
                <w:p w14:paraId="1808E301">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531" w:type="pct"/>
                  <w:noWrap w:val="0"/>
                  <w:vAlign w:val="center"/>
                </w:tcPr>
                <w:p w14:paraId="14CE8AC1">
                  <w:pPr>
                    <w:pStyle w:val="10"/>
                    <w:snapToGrid w:val="0"/>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14:paraId="60A66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83" w:type="pct"/>
                  <w:noWrap w:val="0"/>
                  <w:vAlign w:val="center"/>
                </w:tcPr>
                <w:p w14:paraId="19243573">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沉降速度（m/s）</w:t>
                  </w:r>
                </w:p>
              </w:tc>
              <w:tc>
                <w:tcPr>
                  <w:tcW w:w="531" w:type="pct"/>
                  <w:noWrap w:val="0"/>
                  <w:vAlign w:val="center"/>
                </w:tcPr>
                <w:p w14:paraId="40F70F3F">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0.03</w:t>
                  </w:r>
                </w:p>
              </w:tc>
              <w:tc>
                <w:tcPr>
                  <w:tcW w:w="531" w:type="pct"/>
                  <w:noWrap w:val="0"/>
                  <w:vAlign w:val="center"/>
                </w:tcPr>
                <w:p w14:paraId="0275C051">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0.012</w:t>
                  </w:r>
                </w:p>
              </w:tc>
              <w:tc>
                <w:tcPr>
                  <w:tcW w:w="530" w:type="pct"/>
                  <w:noWrap w:val="0"/>
                  <w:vAlign w:val="center"/>
                </w:tcPr>
                <w:p w14:paraId="4B04D129">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0.027</w:t>
                  </w:r>
                </w:p>
              </w:tc>
              <w:tc>
                <w:tcPr>
                  <w:tcW w:w="531" w:type="pct"/>
                  <w:noWrap w:val="0"/>
                  <w:vAlign w:val="center"/>
                </w:tcPr>
                <w:p w14:paraId="5AA49F08">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0.048</w:t>
                  </w:r>
                </w:p>
              </w:tc>
              <w:tc>
                <w:tcPr>
                  <w:tcW w:w="531" w:type="pct"/>
                  <w:noWrap w:val="0"/>
                  <w:vAlign w:val="center"/>
                </w:tcPr>
                <w:p w14:paraId="29B59209">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0.075</w:t>
                  </w:r>
                </w:p>
              </w:tc>
              <w:tc>
                <w:tcPr>
                  <w:tcW w:w="531" w:type="pct"/>
                  <w:noWrap w:val="0"/>
                  <w:vAlign w:val="center"/>
                </w:tcPr>
                <w:p w14:paraId="061AF85C">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0.108</w:t>
                  </w:r>
                </w:p>
              </w:tc>
              <w:tc>
                <w:tcPr>
                  <w:tcW w:w="531" w:type="pct"/>
                  <w:noWrap w:val="0"/>
                  <w:vAlign w:val="center"/>
                </w:tcPr>
                <w:p w14:paraId="15520A2E">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0.147</w:t>
                  </w:r>
                </w:p>
              </w:tc>
            </w:tr>
            <w:tr w14:paraId="112B7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83" w:type="pct"/>
                  <w:noWrap w:val="0"/>
                  <w:vAlign w:val="center"/>
                </w:tcPr>
                <w:p w14:paraId="6731259E">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粒径（微米）</w:t>
                  </w:r>
                </w:p>
              </w:tc>
              <w:tc>
                <w:tcPr>
                  <w:tcW w:w="531" w:type="pct"/>
                  <w:noWrap w:val="0"/>
                  <w:vAlign w:val="center"/>
                </w:tcPr>
                <w:p w14:paraId="4FA1B54B">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80</w:t>
                  </w:r>
                </w:p>
              </w:tc>
              <w:tc>
                <w:tcPr>
                  <w:tcW w:w="531" w:type="pct"/>
                  <w:noWrap w:val="0"/>
                  <w:vAlign w:val="center"/>
                </w:tcPr>
                <w:p w14:paraId="32372303">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90</w:t>
                  </w:r>
                </w:p>
              </w:tc>
              <w:tc>
                <w:tcPr>
                  <w:tcW w:w="530" w:type="pct"/>
                  <w:noWrap w:val="0"/>
                  <w:vAlign w:val="center"/>
                </w:tcPr>
                <w:p w14:paraId="673718D5">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100</w:t>
                  </w:r>
                </w:p>
              </w:tc>
              <w:tc>
                <w:tcPr>
                  <w:tcW w:w="531" w:type="pct"/>
                  <w:noWrap w:val="0"/>
                  <w:vAlign w:val="center"/>
                </w:tcPr>
                <w:p w14:paraId="42852647">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150</w:t>
                  </w:r>
                </w:p>
              </w:tc>
              <w:tc>
                <w:tcPr>
                  <w:tcW w:w="531" w:type="pct"/>
                  <w:noWrap w:val="0"/>
                  <w:vAlign w:val="center"/>
                </w:tcPr>
                <w:p w14:paraId="79614ABC">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200</w:t>
                  </w:r>
                </w:p>
              </w:tc>
              <w:tc>
                <w:tcPr>
                  <w:tcW w:w="531" w:type="pct"/>
                  <w:noWrap w:val="0"/>
                  <w:vAlign w:val="center"/>
                </w:tcPr>
                <w:p w14:paraId="4FD01D37">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250</w:t>
                  </w:r>
                </w:p>
              </w:tc>
              <w:tc>
                <w:tcPr>
                  <w:tcW w:w="531" w:type="pct"/>
                  <w:noWrap w:val="0"/>
                  <w:vAlign w:val="center"/>
                </w:tcPr>
                <w:p w14:paraId="61D434FD">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300</w:t>
                  </w:r>
                </w:p>
              </w:tc>
            </w:tr>
            <w:tr w14:paraId="10BB6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83" w:type="pct"/>
                  <w:noWrap w:val="0"/>
                  <w:vAlign w:val="center"/>
                </w:tcPr>
                <w:p w14:paraId="4E1771BA">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沉降速度（m/s）</w:t>
                  </w:r>
                </w:p>
              </w:tc>
              <w:tc>
                <w:tcPr>
                  <w:tcW w:w="531" w:type="pct"/>
                  <w:noWrap w:val="0"/>
                  <w:vAlign w:val="center"/>
                </w:tcPr>
                <w:p w14:paraId="5788C457">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0.158</w:t>
                  </w:r>
                </w:p>
              </w:tc>
              <w:tc>
                <w:tcPr>
                  <w:tcW w:w="531" w:type="pct"/>
                  <w:noWrap w:val="0"/>
                  <w:vAlign w:val="center"/>
                </w:tcPr>
                <w:p w14:paraId="2341EA69">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0.170</w:t>
                  </w:r>
                </w:p>
              </w:tc>
              <w:tc>
                <w:tcPr>
                  <w:tcW w:w="530" w:type="pct"/>
                  <w:noWrap w:val="0"/>
                  <w:vAlign w:val="center"/>
                </w:tcPr>
                <w:p w14:paraId="179C6208">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0.182</w:t>
                  </w:r>
                </w:p>
              </w:tc>
              <w:tc>
                <w:tcPr>
                  <w:tcW w:w="531" w:type="pct"/>
                  <w:noWrap w:val="0"/>
                  <w:vAlign w:val="center"/>
                </w:tcPr>
                <w:p w14:paraId="74334BDA">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0.239</w:t>
                  </w:r>
                </w:p>
              </w:tc>
              <w:tc>
                <w:tcPr>
                  <w:tcW w:w="531" w:type="pct"/>
                  <w:noWrap w:val="0"/>
                  <w:vAlign w:val="center"/>
                </w:tcPr>
                <w:p w14:paraId="1B0082AC">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0.804</w:t>
                  </w:r>
                </w:p>
              </w:tc>
              <w:tc>
                <w:tcPr>
                  <w:tcW w:w="531" w:type="pct"/>
                  <w:noWrap w:val="0"/>
                  <w:vAlign w:val="center"/>
                </w:tcPr>
                <w:p w14:paraId="1160A4A9">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1.005</w:t>
                  </w:r>
                </w:p>
              </w:tc>
              <w:tc>
                <w:tcPr>
                  <w:tcW w:w="531" w:type="pct"/>
                  <w:noWrap w:val="0"/>
                  <w:vAlign w:val="center"/>
                </w:tcPr>
                <w:p w14:paraId="04C803E8">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1.829</w:t>
                  </w:r>
                </w:p>
              </w:tc>
            </w:tr>
            <w:tr w14:paraId="3B283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83" w:type="pct"/>
                  <w:noWrap w:val="0"/>
                  <w:vAlign w:val="center"/>
                </w:tcPr>
                <w:p w14:paraId="57943B2C">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粒径（微米）</w:t>
                  </w:r>
                </w:p>
              </w:tc>
              <w:tc>
                <w:tcPr>
                  <w:tcW w:w="531" w:type="pct"/>
                  <w:noWrap w:val="0"/>
                  <w:vAlign w:val="center"/>
                </w:tcPr>
                <w:p w14:paraId="355679F6">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450</w:t>
                  </w:r>
                </w:p>
              </w:tc>
              <w:tc>
                <w:tcPr>
                  <w:tcW w:w="531" w:type="pct"/>
                  <w:noWrap w:val="0"/>
                  <w:vAlign w:val="center"/>
                </w:tcPr>
                <w:p w14:paraId="503617D8">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550</w:t>
                  </w:r>
                </w:p>
              </w:tc>
              <w:tc>
                <w:tcPr>
                  <w:tcW w:w="530" w:type="pct"/>
                  <w:noWrap w:val="0"/>
                  <w:vAlign w:val="center"/>
                </w:tcPr>
                <w:p w14:paraId="781E8F15">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650</w:t>
                  </w:r>
                </w:p>
              </w:tc>
              <w:tc>
                <w:tcPr>
                  <w:tcW w:w="531" w:type="pct"/>
                  <w:noWrap w:val="0"/>
                  <w:vAlign w:val="center"/>
                </w:tcPr>
                <w:p w14:paraId="5C7CFA12">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750</w:t>
                  </w:r>
                </w:p>
              </w:tc>
              <w:tc>
                <w:tcPr>
                  <w:tcW w:w="531" w:type="pct"/>
                  <w:noWrap w:val="0"/>
                  <w:vAlign w:val="center"/>
                </w:tcPr>
                <w:p w14:paraId="2E0329A9">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850</w:t>
                  </w:r>
                </w:p>
              </w:tc>
              <w:tc>
                <w:tcPr>
                  <w:tcW w:w="531" w:type="pct"/>
                  <w:noWrap w:val="0"/>
                  <w:vAlign w:val="center"/>
                </w:tcPr>
                <w:p w14:paraId="0926AC56">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950</w:t>
                  </w:r>
                </w:p>
              </w:tc>
              <w:tc>
                <w:tcPr>
                  <w:tcW w:w="531" w:type="pct"/>
                  <w:noWrap w:val="0"/>
                  <w:vAlign w:val="center"/>
                </w:tcPr>
                <w:p w14:paraId="6131CB7C">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1050</w:t>
                  </w:r>
                </w:p>
              </w:tc>
            </w:tr>
            <w:tr w14:paraId="289D6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83" w:type="pct"/>
                  <w:noWrap w:val="0"/>
                  <w:vAlign w:val="center"/>
                </w:tcPr>
                <w:p w14:paraId="1AADC637">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沉速度（m/s）</w:t>
                  </w:r>
                </w:p>
              </w:tc>
              <w:tc>
                <w:tcPr>
                  <w:tcW w:w="531" w:type="pct"/>
                  <w:noWrap w:val="0"/>
                  <w:vAlign w:val="center"/>
                </w:tcPr>
                <w:p w14:paraId="763A5932">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2.211</w:t>
                  </w:r>
                </w:p>
              </w:tc>
              <w:tc>
                <w:tcPr>
                  <w:tcW w:w="531" w:type="pct"/>
                  <w:noWrap w:val="0"/>
                  <w:vAlign w:val="center"/>
                </w:tcPr>
                <w:p w14:paraId="20FAE566">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2.614</w:t>
                  </w:r>
                </w:p>
              </w:tc>
              <w:tc>
                <w:tcPr>
                  <w:tcW w:w="530" w:type="pct"/>
                  <w:noWrap w:val="0"/>
                  <w:vAlign w:val="center"/>
                </w:tcPr>
                <w:p w14:paraId="3A1B6F96">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3.016</w:t>
                  </w:r>
                </w:p>
              </w:tc>
              <w:tc>
                <w:tcPr>
                  <w:tcW w:w="531" w:type="pct"/>
                  <w:noWrap w:val="0"/>
                  <w:vAlign w:val="center"/>
                </w:tcPr>
                <w:p w14:paraId="56384E31">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3.418</w:t>
                  </w:r>
                </w:p>
              </w:tc>
              <w:tc>
                <w:tcPr>
                  <w:tcW w:w="531" w:type="pct"/>
                  <w:noWrap w:val="0"/>
                  <w:vAlign w:val="center"/>
                </w:tcPr>
                <w:p w14:paraId="302BE3FB">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3.820</w:t>
                  </w:r>
                </w:p>
              </w:tc>
              <w:tc>
                <w:tcPr>
                  <w:tcW w:w="531" w:type="pct"/>
                  <w:noWrap w:val="0"/>
                  <w:vAlign w:val="center"/>
                </w:tcPr>
                <w:p w14:paraId="5D74C469">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4.222</w:t>
                  </w:r>
                </w:p>
              </w:tc>
              <w:tc>
                <w:tcPr>
                  <w:tcW w:w="531" w:type="pct"/>
                  <w:noWrap w:val="0"/>
                  <w:vAlign w:val="center"/>
                </w:tcPr>
                <w:p w14:paraId="5EBCC6D5">
                  <w:pPr>
                    <w:pStyle w:val="10"/>
                    <w:snapToGrid w:val="0"/>
                    <w:spacing w:line="240" w:lineRule="auto"/>
                    <w:ind w:firstLine="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4.624</w:t>
                  </w:r>
                </w:p>
              </w:tc>
            </w:tr>
          </w:tbl>
          <w:p w14:paraId="6475B36F">
            <w:pPr>
              <w:pStyle w:val="14"/>
              <w:snapToGrid w:val="0"/>
              <w:spacing w:after="0" w:line="360" w:lineRule="auto"/>
              <w:ind w:left="0" w:leftChars="0"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②车辆行驶的动力起尘</w:t>
            </w:r>
          </w:p>
          <w:p w14:paraId="3B9D4532">
            <w:pPr>
              <w:snapToGrid w:val="0"/>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据有关文献，车辆行驶产生的扬尘占总扬尘的60%以上，车辆行驶产生的扬尘，在完全干燥情况下，可按下列经验公式计算：</w:t>
            </w:r>
          </w:p>
          <w:p w14:paraId="23D81000">
            <w:pPr>
              <w:pStyle w:val="14"/>
              <w:snapToGrid w:val="0"/>
              <w:spacing w:after="0" w:line="360" w:lineRule="auto"/>
              <w:ind w:left="0" w:leftChars="0" w:firstLine="2006" w:firstLineChars="836"/>
              <w:rPr>
                <w:rFonts w:hint="default" w:ascii="Times New Roman" w:hAnsi="Times New Roman" w:cs="Times New Roman"/>
                <w:bCs/>
                <w:sz w:val="24"/>
                <w:szCs w:val="24"/>
              </w:rPr>
            </w:pPr>
            <w:r>
              <w:rPr>
                <w:rFonts w:hint="default" w:ascii="Times New Roman" w:hAnsi="Times New Roman" w:cs="Times New Roman"/>
                <w:bCs/>
                <w:sz w:val="24"/>
                <w:szCs w:val="24"/>
              </w:rPr>
              <w:t>Q＝0.123(V/5)(W/6.8)</w:t>
            </w:r>
            <w:r>
              <w:rPr>
                <w:rFonts w:hint="default" w:ascii="Times New Roman" w:hAnsi="Times New Roman" w:cs="Times New Roman"/>
                <w:bCs/>
                <w:sz w:val="24"/>
                <w:szCs w:val="24"/>
                <w:vertAlign w:val="superscript"/>
              </w:rPr>
              <w:t>0.85</w:t>
            </w:r>
            <w:r>
              <w:rPr>
                <w:rFonts w:hint="default" w:ascii="Times New Roman" w:hAnsi="Times New Roman" w:cs="Times New Roman"/>
                <w:bCs/>
                <w:sz w:val="24"/>
                <w:szCs w:val="24"/>
              </w:rPr>
              <w:t>(P/0.5)</w:t>
            </w:r>
            <w:r>
              <w:rPr>
                <w:rFonts w:hint="default" w:ascii="Times New Roman" w:hAnsi="Times New Roman" w:cs="Times New Roman"/>
                <w:bCs/>
                <w:sz w:val="24"/>
                <w:szCs w:val="24"/>
                <w:vertAlign w:val="superscript"/>
              </w:rPr>
              <w:t>0.75</w:t>
            </w:r>
          </w:p>
          <w:p w14:paraId="44B31CB2">
            <w:pPr>
              <w:pStyle w:val="14"/>
              <w:snapToGrid w:val="0"/>
              <w:spacing w:after="0" w:line="360" w:lineRule="auto"/>
              <w:ind w:left="525" w:leftChars="250"/>
              <w:rPr>
                <w:rFonts w:hint="default" w:ascii="Times New Roman" w:hAnsi="Times New Roman" w:cs="Times New Roman"/>
                <w:bCs/>
                <w:sz w:val="24"/>
                <w:szCs w:val="24"/>
              </w:rPr>
            </w:pPr>
            <w:r>
              <w:rPr>
                <w:rFonts w:hint="default" w:ascii="Times New Roman" w:hAnsi="Times New Roman" w:cs="Times New Roman"/>
                <w:bCs/>
                <w:sz w:val="24"/>
                <w:szCs w:val="24"/>
              </w:rPr>
              <w:t>式中：Q一汽车行驶时的扬尘，kg/Km•辆；</w:t>
            </w:r>
          </w:p>
          <w:p w14:paraId="23AAC2CD">
            <w:pPr>
              <w:pStyle w:val="14"/>
              <w:snapToGrid w:val="0"/>
              <w:spacing w:after="0" w:line="360" w:lineRule="auto"/>
              <w:ind w:left="0" w:leftChars="0" w:firstLine="686" w:firstLineChars="286"/>
              <w:rPr>
                <w:rFonts w:hint="default" w:ascii="Times New Roman" w:hAnsi="Times New Roman" w:cs="Times New Roman"/>
                <w:bCs/>
                <w:sz w:val="24"/>
                <w:szCs w:val="24"/>
              </w:rPr>
            </w:pPr>
            <w:r>
              <w:rPr>
                <w:rFonts w:hint="default" w:ascii="Times New Roman" w:hAnsi="Times New Roman" w:cs="Times New Roman"/>
                <w:bCs/>
                <w:sz w:val="24"/>
                <w:szCs w:val="24"/>
              </w:rPr>
              <w:t>V一汽车速度，km/h；</w:t>
            </w:r>
          </w:p>
          <w:p w14:paraId="72EAB2B1">
            <w:pPr>
              <w:pStyle w:val="14"/>
              <w:snapToGrid w:val="0"/>
              <w:spacing w:after="0" w:line="360" w:lineRule="auto"/>
              <w:ind w:left="0" w:leftChars="0" w:firstLine="686" w:firstLineChars="286"/>
              <w:rPr>
                <w:rFonts w:hint="default" w:ascii="Times New Roman" w:hAnsi="Times New Roman" w:cs="Times New Roman"/>
                <w:bCs/>
                <w:sz w:val="24"/>
                <w:szCs w:val="24"/>
              </w:rPr>
            </w:pPr>
            <w:r>
              <w:rPr>
                <w:rFonts w:hint="default" w:ascii="Times New Roman" w:hAnsi="Times New Roman" w:cs="Times New Roman"/>
                <w:bCs/>
                <w:sz w:val="24"/>
                <w:szCs w:val="24"/>
              </w:rPr>
              <w:t>W一汽车载重量，吨；</w:t>
            </w:r>
          </w:p>
          <w:p w14:paraId="5B088DC4">
            <w:pPr>
              <w:pStyle w:val="14"/>
              <w:snapToGrid w:val="0"/>
              <w:spacing w:after="0" w:line="360" w:lineRule="auto"/>
              <w:ind w:left="0" w:leftChars="0" w:firstLine="686" w:firstLineChars="286"/>
              <w:rPr>
                <w:rFonts w:hint="default" w:ascii="Times New Roman" w:hAnsi="Times New Roman" w:cs="Times New Roman"/>
                <w:bCs/>
                <w:sz w:val="24"/>
                <w:szCs w:val="24"/>
              </w:rPr>
            </w:pPr>
            <w:r>
              <w:rPr>
                <w:rFonts w:hint="default" w:ascii="Times New Roman" w:hAnsi="Times New Roman" w:cs="Times New Roman"/>
                <w:bCs/>
                <w:sz w:val="24"/>
                <w:szCs w:val="24"/>
              </w:rPr>
              <w:t>P一道路表面粉尘量，kg/m</w:t>
            </w:r>
            <w:r>
              <w:rPr>
                <w:rFonts w:hint="default" w:ascii="Times New Roman" w:hAnsi="Times New Roman" w:cs="Times New Roman"/>
                <w:bCs/>
                <w:sz w:val="24"/>
                <w:szCs w:val="24"/>
                <w:vertAlign w:val="superscript"/>
              </w:rPr>
              <w:t>2</w:t>
            </w:r>
            <w:r>
              <w:rPr>
                <w:rFonts w:hint="default" w:ascii="Times New Roman" w:hAnsi="Times New Roman" w:cs="Times New Roman"/>
                <w:bCs/>
                <w:sz w:val="24"/>
                <w:szCs w:val="24"/>
              </w:rPr>
              <w:t>。</w:t>
            </w:r>
          </w:p>
          <w:p w14:paraId="34CB9651">
            <w:pPr>
              <w:pStyle w:val="14"/>
              <w:snapToGrid w:val="0"/>
              <w:spacing w:after="0" w:line="360" w:lineRule="auto"/>
              <w:ind w:left="0" w:leftChars="0"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表4-2中为一辆10吨卡车，通过一段长度为1千米的路面时，不同路面清洁程度、不同行驶速度情况下的扬尘量。由此可见，在同样路面清洁程度条件下，车速越快，扬尘量越大；而在同样车速情况下，路面越脏，扬尘量越大。因此限速行驶及保持路面的清洁是减少汽车扬尘的有效办法。</w:t>
            </w:r>
          </w:p>
          <w:p w14:paraId="01D6779D">
            <w:pPr>
              <w:pStyle w:val="10"/>
              <w:snapToGrid w:val="0"/>
              <w:spacing w:line="240" w:lineRule="auto"/>
              <w:ind w:firstLine="482"/>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表4-2  在不同车速和地面清洁程度的汽车扬尘  单位：kg/辆.km</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58"/>
              <w:gridCol w:w="1177"/>
              <w:gridCol w:w="1177"/>
              <w:gridCol w:w="1177"/>
              <w:gridCol w:w="1178"/>
              <w:gridCol w:w="1006"/>
            </w:tblGrid>
            <w:tr w14:paraId="7948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727" w:type="pct"/>
                  <w:tcBorders>
                    <w:top w:val="single" w:color="auto" w:sz="12" w:space="0"/>
                    <w:left w:val="single" w:color="auto" w:sz="12" w:space="0"/>
                    <w:tl2br w:val="single" w:color="auto" w:sz="4" w:space="0"/>
                  </w:tcBorders>
                  <w:noWrap w:val="0"/>
                  <w:vAlign w:val="center"/>
                </w:tcPr>
                <w:p w14:paraId="6EB43C7D">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P</w:t>
                  </w:r>
                </w:p>
                <w:p w14:paraId="2AC9D0B8">
                  <w:pPr>
                    <w:pStyle w:val="10"/>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default" w:ascii="Times New Roman" w:hAnsi="Times New Roman" w:cs="Times New Roman"/>
                      <w:sz w:val="21"/>
                      <w:szCs w:val="21"/>
                    </w:rPr>
                  </w:pPr>
                  <w:r>
                    <w:rPr>
                      <w:rFonts w:hint="default" w:ascii="Times New Roman" w:hAnsi="Times New Roman" w:cs="Times New Roman"/>
                      <w:sz w:val="21"/>
                      <w:szCs w:val="21"/>
                    </w:rPr>
                    <w:t>车 速</w:t>
                  </w:r>
                </w:p>
              </w:tc>
              <w:tc>
                <w:tcPr>
                  <w:tcW w:w="720" w:type="pct"/>
                  <w:tcBorders>
                    <w:top w:val="single" w:color="auto" w:sz="12" w:space="0"/>
                  </w:tcBorders>
                  <w:noWrap w:val="0"/>
                  <w:vAlign w:val="center"/>
                </w:tcPr>
                <w:p w14:paraId="5215C5D4">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w:t>
                  </w:r>
                </w:p>
              </w:tc>
              <w:tc>
                <w:tcPr>
                  <w:tcW w:w="732" w:type="pct"/>
                  <w:tcBorders>
                    <w:top w:val="single" w:color="auto" w:sz="12" w:space="0"/>
                  </w:tcBorders>
                  <w:noWrap w:val="0"/>
                  <w:vAlign w:val="center"/>
                </w:tcPr>
                <w:p w14:paraId="4C11574F">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w:t>
                  </w:r>
                </w:p>
              </w:tc>
              <w:tc>
                <w:tcPr>
                  <w:tcW w:w="732" w:type="pct"/>
                  <w:tcBorders>
                    <w:top w:val="single" w:color="auto" w:sz="12" w:space="0"/>
                  </w:tcBorders>
                  <w:noWrap w:val="0"/>
                  <w:vAlign w:val="center"/>
                </w:tcPr>
                <w:p w14:paraId="4C6E3B49">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w:t>
                  </w:r>
                </w:p>
              </w:tc>
              <w:tc>
                <w:tcPr>
                  <w:tcW w:w="732" w:type="pct"/>
                  <w:tcBorders>
                    <w:top w:val="single" w:color="auto" w:sz="12" w:space="0"/>
                  </w:tcBorders>
                  <w:noWrap w:val="0"/>
                  <w:vAlign w:val="center"/>
                </w:tcPr>
                <w:p w14:paraId="4429D780">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0.4</w:t>
                  </w:r>
                </w:p>
              </w:tc>
              <w:tc>
                <w:tcPr>
                  <w:tcW w:w="732" w:type="pct"/>
                  <w:tcBorders>
                    <w:top w:val="single" w:color="auto" w:sz="12" w:space="0"/>
                  </w:tcBorders>
                  <w:noWrap w:val="0"/>
                  <w:vAlign w:val="center"/>
                </w:tcPr>
                <w:p w14:paraId="339C7522">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w:t>
                  </w:r>
                </w:p>
              </w:tc>
              <w:tc>
                <w:tcPr>
                  <w:tcW w:w="626" w:type="pct"/>
                  <w:tcBorders>
                    <w:top w:val="single" w:color="auto" w:sz="12" w:space="0"/>
                    <w:right w:val="single" w:color="auto" w:sz="12" w:space="0"/>
                  </w:tcBorders>
                  <w:noWrap w:val="0"/>
                  <w:vAlign w:val="center"/>
                </w:tcPr>
                <w:p w14:paraId="4D592212">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r>
            <w:tr w14:paraId="04B4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727" w:type="pct"/>
                  <w:tcBorders>
                    <w:left w:val="single" w:color="auto" w:sz="12" w:space="0"/>
                  </w:tcBorders>
                  <w:noWrap w:val="0"/>
                  <w:vAlign w:val="center"/>
                </w:tcPr>
                <w:p w14:paraId="2EF45539">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5（km/h）</w:t>
                  </w:r>
                </w:p>
              </w:tc>
              <w:tc>
                <w:tcPr>
                  <w:tcW w:w="720" w:type="pct"/>
                  <w:noWrap w:val="0"/>
                  <w:vAlign w:val="center"/>
                </w:tcPr>
                <w:p w14:paraId="50FC25AD">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0.051</w:t>
                  </w:r>
                </w:p>
              </w:tc>
              <w:tc>
                <w:tcPr>
                  <w:tcW w:w="732" w:type="pct"/>
                  <w:noWrap w:val="0"/>
                  <w:vAlign w:val="center"/>
                </w:tcPr>
                <w:p w14:paraId="6510E036">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0.086</w:t>
                  </w:r>
                </w:p>
              </w:tc>
              <w:tc>
                <w:tcPr>
                  <w:tcW w:w="732" w:type="pct"/>
                  <w:noWrap w:val="0"/>
                  <w:vAlign w:val="center"/>
                </w:tcPr>
                <w:p w14:paraId="2FB54961">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0.116</w:t>
                  </w:r>
                </w:p>
              </w:tc>
              <w:tc>
                <w:tcPr>
                  <w:tcW w:w="732" w:type="pct"/>
                  <w:noWrap w:val="0"/>
                  <w:vAlign w:val="center"/>
                </w:tcPr>
                <w:p w14:paraId="641F704D">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0.144</w:t>
                  </w:r>
                </w:p>
              </w:tc>
              <w:tc>
                <w:tcPr>
                  <w:tcW w:w="732" w:type="pct"/>
                  <w:noWrap w:val="0"/>
                  <w:vAlign w:val="center"/>
                </w:tcPr>
                <w:p w14:paraId="115573F6">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0.171</w:t>
                  </w:r>
                </w:p>
              </w:tc>
              <w:tc>
                <w:tcPr>
                  <w:tcW w:w="626" w:type="pct"/>
                  <w:tcBorders>
                    <w:right w:val="single" w:color="auto" w:sz="12" w:space="0"/>
                  </w:tcBorders>
                  <w:noWrap w:val="0"/>
                  <w:vAlign w:val="center"/>
                </w:tcPr>
                <w:p w14:paraId="6DF624E9">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0.287</w:t>
                  </w:r>
                </w:p>
              </w:tc>
            </w:tr>
            <w:tr w14:paraId="6326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727" w:type="pct"/>
                  <w:tcBorders>
                    <w:left w:val="single" w:color="auto" w:sz="12" w:space="0"/>
                  </w:tcBorders>
                  <w:noWrap w:val="0"/>
                  <w:vAlign w:val="center"/>
                </w:tcPr>
                <w:p w14:paraId="3F67FCF4">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10（km/h）</w:t>
                  </w:r>
                </w:p>
              </w:tc>
              <w:tc>
                <w:tcPr>
                  <w:tcW w:w="720" w:type="pct"/>
                  <w:noWrap w:val="0"/>
                  <w:vAlign w:val="center"/>
                </w:tcPr>
                <w:p w14:paraId="2774ABBC">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0.102</w:t>
                  </w:r>
                </w:p>
              </w:tc>
              <w:tc>
                <w:tcPr>
                  <w:tcW w:w="732" w:type="pct"/>
                  <w:noWrap w:val="0"/>
                  <w:vAlign w:val="center"/>
                </w:tcPr>
                <w:p w14:paraId="0ADA886B">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0.171</w:t>
                  </w:r>
                </w:p>
              </w:tc>
              <w:tc>
                <w:tcPr>
                  <w:tcW w:w="732" w:type="pct"/>
                  <w:noWrap w:val="0"/>
                  <w:vAlign w:val="center"/>
                </w:tcPr>
                <w:p w14:paraId="042D9FAB">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0.232</w:t>
                  </w:r>
                </w:p>
              </w:tc>
              <w:tc>
                <w:tcPr>
                  <w:tcW w:w="732" w:type="pct"/>
                  <w:noWrap w:val="0"/>
                  <w:vAlign w:val="center"/>
                </w:tcPr>
                <w:p w14:paraId="55FBDD5B">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0.289</w:t>
                  </w:r>
                </w:p>
              </w:tc>
              <w:tc>
                <w:tcPr>
                  <w:tcW w:w="732" w:type="pct"/>
                  <w:noWrap w:val="0"/>
                  <w:vAlign w:val="center"/>
                </w:tcPr>
                <w:p w14:paraId="753BE156">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0.31</w:t>
                  </w:r>
                </w:p>
              </w:tc>
              <w:tc>
                <w:tcPr>
                  <w:tcW w:w="626" w:type="pct"/>
                  <w:tcBorders>
                    <w:right w:val="single" w:color="auto" w:sz="12" w:space="0"/>
                  </w:tcBorders>
                  <w:noWrap w:val="0"/>
                  <w:vAlign w:val="center"/>
                </w:tcPr>
                <w:p w14:paraId="3B39A836">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0.574</w:t>
                  </w:r>
                </w:p>
              </w:tc>
            </w:tr>
            <w:tr w14:paraId="37DF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exact"/>
              </w:trPr>
              <w:tc>
                <w:tcPr>
                  <w:tcW w:w="727" w:type="pct"/>
                  <w:tcBorders>
                    <w:left w:val="single" w:color="auto" w:sz="12" w:space="0"/>
                  </w:tcBorders>
                  <w:noWrap w:val="0"/>
                  <w:vAlign w:val="center"/>
                </w:tcPr>
                <w:p w14:paraId="4972BEEC">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15（km/h）</w:t>
                  </w:r>
                </w:p>
              </w:tc>
              <w:tc>
                <w:tcPr>
                  <w:tcW w:w="720" w:type="pct"/>
                  <w:noWrap w:val="0"/>
                  <w:vAlign w:val="center"/>
                </w:tcPr>
                <w:p w14:paraId="2D89E545">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0.153</w:t>
                  </w:r>
                </w:p>
              </w:tc>
              <w:tc>
                <w:tcPr>
                  <w:tcW w:w="732" w:type="pct"/>
                  <w:noWrap w:val="0"/>
                  <w:vAlign w:val="center"/>
                </w:tcPr>
                <w:p w14:paraId="0693678B">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0.257</w:t>
                  </w:r>
                </w:p>
              </w:tc>
              <w:tc>
                <w:tcPr>
                  <w:tcW w:w="732" w:type="pct"/>
                  <w:noWrap w:val="0"/>
                  <w:vAlign w:val="center"/>
                </w:tcPr>
                <w:p w14:paraId="324B49F7">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0.349</w:t>
                  </w:r>
                </w:p>
              </w:tc>
              <w:tc>
                <w:tcPr>
                  <w:tcW w:w="732" w:type="pct"/>
                  <w:noWrap w:val="0"/>
                  <w:vAlign w:val="center"/>
                </w:tcPr>
                <w:p w14:paraId="7FF25E94">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0.433</w:t>
                  </w:r>
                </w:p>
              </w:tc>
              <w:tc>
                <w:tcPr>
                  <w:tcW w:w="732" w:type="pct"/>
                  <w:noWrap w:val="0"/>
                  <w:vAlign w:val="center"/>
                </w:tcPr>
                <w:p w14:paraId="06560BC2">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0.512</w:t>
                  </w:r>
                </w:p>
              </w:tc>
              <w:tc>
                <w:tcPr>
                  <w:tcW w:w="626" w:type="pct"/>
                  <w:tcBorders>
                    <w:right w:val="single" w:color="auto" w:sz="12" w:space="0"/>
                  </w:tcBorders>
                  <w:noWrap w:val="0"/>
                  <w:vAlign w:val="center"/>
                </w:tcPr>
                <w:p w14:paraId="53111332">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0.861</w:t>
                  </w:r>
                </w:p>
              </w:tc>
            </w:tr>
            <w:tr w14:paraId="7E0D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exact"/>
              </w:trPr>
              <w:tc>
                <w:tcPr>
                  <w:tcW w:w="727" w:type="pct"/>
                  <w:tcBorders>
                    <w:left w:val="single" w:color="auto" w:sz="12" w:space="0"/>
                    <w:bottom w:val="single" w:color="auto" w:sz="12" w:space="0"/>
                  </w:tcBorders>
                  <w:noWrap w:val="0"/>
                  <w:vAlign w:val="center"/>
                </w:tcPr>
                <w:p w14:paraId="160EC6AB">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20（km/h）</w:t>
                  </w:r>
                </w:p>
              </w:tc>
              <w:tc>
                <w:tcPr>
                  <w:tcW w:w="720" w:type="pct"/>
                  <w:tcBorders>
                    <w:bottom w:val="single" w:color="auto" w:sz="12" w:space="0"/>
                  </w:tcBorders>
                  <w:noWrap w:val="0"/>
                  <w:vAlign w:val="center"/>
                </w:tcPr>
                <w:p w14:paraId="0EFD85AF">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0.255</w:t>
                  </w:r>
                </w:p>
              </w:tc>
              <w:tc>
                <w:tcPr>
                  <w:tcW w:w="732" w:type="pct"/>
                  <w:tcBorders>
                    <w:bottom w:val="single" w:color="auto" w:sz="12" w:space="0"/>
                  </w:tcBorders>
                  <w:noWrap w:val="0"/>
                  <w:vAlign w:val="center"/>
                </w:tcPr>
                <w:p w14:paraId="148B651A">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0.429</w:t>
                  </w:r>
                </w:p>
              </w:tc>
              <w:tc>
                <w:tcPr>
                  <w:tcW w:w="732" w:type="pct"/>
                  <w:tcBorders>
                    <w:bottom w:val="single" w:color="auto" w:sz="12" w:space="0"/>
                  </w:tcBorders>
                  <w:noWrap w:val="0"/>
                  <w:vAlign w:val="center"/>
                </w:tcPr>
                <w:p w14:paraId="169A88B3">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0.582</w:t>
                  </w:r>
                </w:p>
              </w:tc>
              <w:tc>
                <w:tcPr>
                  <w:tcW w:w="732" w:type="pct"/>
                  <w:tcBorders>
                    <w:bottom w:val="single" w:color="auto" w:sz="12" w:space="0"/>
                  </w:tcBorders>
                  <w:noWrap w:val="0"/>
                  <w:vAlign w:val="center"/>
                </w:tcPr>
                <w:p w14:paraId="35D687CA">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0.722</w:t>
                  </w:r>
                </w:p>
              </w:tc>
              <w:tc>
                <w:tcPr>
                  <w:tcW w:w="732" w:type="pct"/>
                  <w:tcBorders>
                    <w:bottom w:val="single" w:color="auto" w:sz="12" w:space="0"/>
                  </w:tcBorders>
                  <w:noWrap w:val="0"/>
                  <w:vAlign w:val="center"/>
                </w:tcPr>
                <w:p w14:paraId="7BF0424F">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0.853</w:t>
                  </w:r>
                </w:p>
              </w:tc>
              <w:tc>
                <w:tcPr>
                  <w:tcW w:w="626" w:type="pct"/>
                  <w:tcBorders>
                    <w:bottom w:val="single" w:color="auto" w:sz="12" w:space="0"/>
                    <w:right w:val="single" w:color="auto" w:sz="12" w:space="0"/>
                  </w:tcBorders>
                  <w:noWrap w:val="0"/>
                  <w:vAlign w:val="center"/>
                </w:tcPr>
                <w:p w14:paraId="6B1E45F2">
                  <w:pPr>
                    <w:pStyle w:val="1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1.435</w:t>
                  </w:r>
                </w:p>
              </w:tc>
            </w:tr>
          </w:tbl>
          <w:p w14:paraId="1AB64A1A">
            <w:pPr>
              <w:pStyle w:val="14"/>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bCs/>
                <w:sz w:val="24"/>
                <w:szCs w:val="24"/>
              </w:rPr>
            </w:pPr>
            <w:r>
              <w:rPr>
                <w:sz w:val="24"/>
                <w:szCs w:val="24"/>
              </w:rPr>
              <w:t>本项目的扬尘主要表现在交通沿线和工地附近，尤其是天气干燥及风速较大时影响更为明显，使该区块及周围近地区大气中总悬浮颗粒(TSP)浓度增大。粉尘的排放量大小直接与施工期的管理措施有关，因此较难估算。</w:t>
            </w:r>
          </w:p>
          <w:p w14:paraId="1710E2DF">
            <w:pPr>
              <w:pStyle w:val="119"/>
              <w:keepNext w:val="0"/>
              <w:keepLines w:val="0"/>
              <w:pageBreakBefore w:val="0"/>
              <w:widowControl w:val="0"/>
              <w:kinsoku/>
              <w:wordWrap/>
              <w:overflowPunct/>
              <w:topLinePunct w:val="0"/>
              <w:autoSpaceDE/>
              <w:autoSpaceDN/>
              <w:bidi w:val="0"/>
              <w:snapToGrid w:val="0"/>
              <w:spacing w:line="360" w:lineRule="auto"/>
              <w:ind w:firstLine="0"/>
              <w:rPr>
                <w:rFonts w:hint="default" w:ascii="Times New Roman" w:hAnsi="Times New Roman" w:cs="Times New Roman"/>
                <w:sz w:val="24"/>
                <w:szCs w:val="24"/>
              </w:rPr>
            </w:pPr>
            <w:r>
              <w:rPr>
                <w:kern w:val="2"/>
                <w:sz w:val="24"/>
                <w:szCs w:val="24"/>
              </w:rPr>
              <w:t xml:space="preserve">   </w:t>
            </w:r>
            <w:r>
              <w:rPr>
                <w:rFonts w:hint="default" w:ascii="Times New Roman" w:hAnsi="Times New Roman" w:cs="Times New Roman"/>
                <w:kern w:val="2"/>
                <w:sz w:val="24"/>
                <w:szCs w:val="24"/>
              </w:rPr>
              <w:t>（2）</w:t>
            </w:r>
            <w:r>
              <w:rPr>
                <w:rFonts w:hint="default" w:ascii="Times New Roman" w:hAnsi="Times New Roman" w:cs="Times New Roman"/>
                <w:sz w:val="24"/>
                <w:szCs w:val="24"/>
              </w:rPr>
              <w:t>施工机械、运输车辆尾气</w:t>
            </w:r>
          </w:p>
          <w:p w14:paraId="1407C0E9">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本项目施工过程用到的施工机械，主要有挖掘机、装载机、推土机等重型机械，它们以柴油为燃料，都会产生一定量废气，包括CO、THC、NO</w:t>
            </w:r>
            <w:r>
              <w:rPr>
                <w:rFonts w:hint="default" w:ascii="Times New Roman" w:hAnsi="Times New Roman" w:cs="Times New Roman"/>
                <w:sz w:val="24"/>
                <w:szCs w:val="24"/>
                <w:vertAlign w:val="subscript"/>
              </w:rPr>
              <w:t>X</w:t>
            </w:r>
            <w:r>
              <w:rPr>
                <w:rFonts w:hint="default" w:ascii="Times New Roman" w:hAnsi="Times New Roman" w:cs="Times New Roman"/>
                <w:sz w:val="24"/>
                <w:szCs w:val="24"/>
              </w:rPr>
              <w:t>等。</w:t>
            </w:r>
          </w:p>
          <w:p w14:paraId="6DEC7438">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（3）环境保护措施</w:t>
            </w:r>
          </w:p>
          <w:p w14:paraId="5FF9E9AF">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施工严格执行《岳阳市人民政府关于加强大气污染防治的通告》（岳政告〔2015〕5号）、《岳阳市大气污染防治2016年实施方案》（岳环发〔2016〕15号）、《关于印发岳阳市大气污染防治特护期工作方案的通知》（岳环发〔2016〕27号） “六个百分之百”：现场封闭管理百分之百、场区道路硬化百分之百、渣土物料蓬盖百分之百、洒水清扫保洁百分之百、物料密闭运输百分之百、出入车辆清洗百分之百，具体如下：</w:t>
            </w:r>
          </w:p>
          <w:p w14:paraId="00782C19">
            <w:pPr>
              <w:keepNext w:val="0"/>
              <w:keepLines w:val="0"/>
              <w:pageBreakBefore w:val="0"/>
              <w:widowControl w:val="0"/>
              <w:kinsoku/>
              <w:wordWrap/>
              <w:overflowPunct/>
              <w:topLinePunct w:val="0"/>
              <w:autoSpaceDE/>
              <w:autoSpaceDN/>
              <w:bidi w:val="0"/>
              <w:snapToGrid w:val="0"/>
              <w:spacing w:line="360" w:lineRule="auto"/>
              <w:ind w:firstLine="600" w:firstLineChars="250"/>
              <w:jc w:val="left"/>
              <w:rPr>
                <w:rFonts w:hint="default" w:ascii="Times New Roman" w:hAnsi="Times New Roman" w:cs="Times New Roman"/>
                <w:sz w:val="24"/>
                <w:szCs w:val="24"/>
              </w:rPr>
            </w:pPr>
            <w:r>
              <w:rPr>
                <w:rFonts w:hint="default" w:ascii="Times New Roman" w:hAnsi="Times New Roman" w:cs="Times New Roman"/>
                <w:sz w:val="24"/>
                <w:szCs w:val="24"/>
              </w:rPr>
              <w:t>①施工现场硬质围挡应连续设置，路段的工地不低于1.8m，做到坚固、平稳、整洁、美观。所有土木工程、建筑外装修工程，必须采用密目网进行全封闭施工。施工现场内的水泥、白灰等散状材料必须遮盖封闭。建筑物单体四周1.5m以外全部设置防尘布或不低于2000目/100平方厘米的防尘网，防尘布（网）应先安装后施工，且防尘布（网）顶端应高于施工作业面2米以上。</w:t>
            </w:r>
          </w:p>
          <w:p w14:paraId="246AEAEA">
            <w:pPr>
              <w:keepNext w:val="0"/>
              <w:keepLines w:val="0"/>
              <w:pageBreakBefore w:val="0"/>
              <w:widowControl w:val="0"/>
              <w:kinsoku/>
              <w:wordWrap/>
              <w:overflowPunct/>
              <w:topLinePunct w:val="0"/>
              <w:autoSpaceDE/>
              <w:autoSpaceDN/>
              <w:bidi w:val="0"/>
              <w:snapToGrid w:val="0"/>
              <w:spacing w:line="360" w:lineRule="auto"/>
              <w:ind w:firstLine="600" w:firstLineChars="250"/>
              <w:jc w:val="left"/>
              <w:rPr>
                <w:rFonts w:hint="default" w:ascii="Times New Roman" w:hAnsi="Times New Roman" w:cs="Times New Roman"/>
                <w:sz w:val="24"/>
                <w:szCs w:val="24"/>
              </w:rPr>
            </w:pPr>
            <w:r>
              <w:rPr>
                <w:rFonts w:hint="default" w:ascii="Times New Roman" w:hAnsi="Times New Roman" w:cs="Times New Roman"/>
                <w:sz w:val="24"/>
                <w:szCs w:val="24"/>
              </w:rPr>
              <w:t>②主要通道、进出道路、材料加工区及办公生活区地面进行硬化处理。</w:t>
            </w:r>
          </w:p>
          <w:p w14:paraId="29A40DB1">
            <w:pPr>
              <w:keepNext w:val="0"/>
              <w:keepLines w:val="0"/>
              <w:pageBreakBefore w:val="0"/>
              <w:widowControl w:val="0"/>
              <w:kinsoku/>
              <w:wordWrap/>
              <w:overflowPunct/>
              <w:topLinePunct w:val="0"/>
              <w:autoSpaceDE/>
              <w:autoSpaceDN/>
              <w:bidi w:val="0"/>
              <w:snapToGrid w:val="0"/>
              <w:spacing w:line="360" w:lineRule="auto"/>
              <w:ind w:firstLine="600" w:firstLineChars="250"/>
              <w:jc w:val="left"/>
              <w:rPr>
                <w:rFonts w:hint="default" w:ascii="Times New Roman" w:hAnsi="Times New Roman" w:cs="Times New Roman"/>
                <w:sz w:val="24"/>
                <w:szCs w:val="24"/>
              </w:rPr>
            </w:pPr>
            <w:r>
              <w:rPr>
                <w:rFonts w:hint="default" w:ascii="Times New Roman" w:hAnsi="Times New Roman" w:cs="Times New Roman"/>
                <w:sz w:val="24"/>
                <w:szCs w:val="24"/>
              </w:rPr>
              <w:t>③建筑施工现场的垃圾必须采取定点分类、封闭存放、及时清运等防尘防污染措施。超过2天以上的渣土堆、裸地是用防尘布覆盖或喷凝固剂等方式防尘。所有粉料建材覆盖或是用料仓密封存放。在各类建设工程竣工后，施工单位应在一个月内将工地的剩余建筑垃圾处理干净。并按环卫部门批准的路线、时间、地点倾倒，禁止车辆超载。</w:t>
            </w:r>
          </w:p>
          <w:p w14:paraId="272BE029">
            <w:pPr>
              <w:keepNext w:val="0"/>
              <w:keepLines w:val="0"/>
              <w:pageBreakBefore w:val="0"/>
              <w:widowControl w:val="0"/>
              <w:kinsoku/>
              <w:wordWrap/>
              <w:overflowPunct/>
              <w:topLinePunct w:val="0"/>
              <w:autoSpaceDE/>
              <w:autoSpaceDN/>
              <w:bidi w:val="0"/>
              <w:snapToGrid w:val="0"/>
              <w:spacing w:line="360" w:lineRule="auto"/>
              <w:ind w:firstLine="600" w:firstLineChars="250"/>
              <w:jc w:val="left"/>
              <w:rPr>
                <w:rFonts w:hint="default" w:ascii="Times New Roman" w:hAnsi="Times New Roman" w:cs="Times New Roman"/>
                <w:sz w:val="24"/>
                <w:szCs w:val="24"/>
              </w:rPr>
            </w:pPr>
            <w:r>
              <w:rPr>
                <w:rFonts w:hint="default" w:ascii="Times New Roman" w:hAnsi="Times New Roman" w:cs="Times New Roman"/>
                <w:sz w:val="24"/>
                <w:szCs w:val="24"/>
              </w:rPr>
              <w:t>④工地现场配置喷淋装置、洒水车、移动喷雾机等降尘设备。整个施工期必须设专职保洁员2人以上。专职保洁员主要职责：车辆进出场冲洗、项目施工场地洒水降尘、场内裸露堆场覆盖、场内裸露地面覆盖、道路冲洗清扫及日常扬尘控制管理。</w:t>
            </w:r>
          </w:p>
          <w:p w14:paraId="5498080B">
            <w:pPr>
              <w:keepNext w:val="0"/>
              <w:keepLines w:val="0"/>
              <w:pageBreakBefore w:val="0"/>
              <w:widowControl w:val="0"/>
              <w:kinsoku/>
              <w:wordWrap/>
              <w:overflowPunct/>
              <w:topLinePunct w:val="0"/>
              <w:autoSpaceDE/>
              <w:autoSpaceDN/>
              <w:bidi w:val="0"/>
              <w:snapToGrid w:val="0"/>
              <w:spacing w:line="360" w:lineRule="auto"/>
              <w:ind w:firstLine="600" w:firstLineChars="250"/>
              <w:jc w:val="left"/>
              <w:rPr>
                <w:rFonts w:hint="default" w:ascii="Times New Roman" w:hAnsi="Times New Roman" w:cs="Times New Roman"/>
                <w:sz w:val="24"/>
                <w:szCs w:val="24"/>
              </w:rPr>
            </w:pPr>
            <w:r>
              <w:rPr>
                <w:rFonts w:hint="default" w:ascii="Times New Roman" w:hAnsi="Times New Roman" w:cs="Times New Roman"/>
                <w:sz w:val="24"/>
                <w:szCs w:val="24"/>
              </w:rPr>
              <w:t>⑤为防止施工车辆行驶产生的扬尘、泥土装卸的扬尘对道路两侧存在居民点产生影响，运输人员应将易产生扬尘的建筑材料、渣土应采取密闭搬运、存储或采用防尘布苫盖等防尘措施。严禁熔融沥青、焚烧垃圾等有毒有害物质，禁止无牌无证车辆进入施工现场。</w:t>
            </w:r>
          </w:p>
          <w:p w14:paraId="1D86B048">
            <w:pPr>
              <w:keepNext w:val="0"/>
              <w:keepLines w:val="0"/>
              <w:pageBreakBefore w:val="0"/>
              <w:widowControl w:val="0"/>
              <w:kinsoku/>
              <w:wordWrap/>
              <w:overflowPunct/>
              <w:topLinePunct w:val="0"/>
              <w:autoSpaceDE/>
              <w:autoSpaceDN/>
              <w:bidi w:val="0"/>
              <w:snapToGrid w:val="0"/>
              <w:spacing w:line="360" w:lineRule="auto"/>
              <w:ind w:firstLine="600" w:firstLineChars="250"/>
              <w:jc w:val="left"/>
              <w:rPr>
                <w:rFonts w:hint="default" w:ascii="Times New Roman" w:hAnsi="Times New Roman" w:cs="Times New Roman"/>
                <w:sz w:val="24"/>
                <w:szCs w:val="24"/>
              </w:rPr>
            </w:pPr>
            <w:r>
              <w:rPr>
                <w:rFonts w:hint="default" w:ascii="Times New Roman" w:hAnsi="Times New Roman" w:cs="Times New Roman"/>
                <w:sz w:val="24"/>
                <w:szCs w:val="24"/>
              </w:rPr>
              <w:t>⑥施工现场出入口处设置自动车辆冲洗装置和沉淀池，运输车辆底盘和车轮冲洗干净后方可驶离施工现场。</w:t>
            </w:r>
          </w:p>
          <w:p w14:paraId="0A25D7E5">
            <w:pPr>
              <w:keepNext w:val="0"/>
              <w:keepLines w:val="0"/>
              <w:pageBreakBefore w:val="0"/>
              <w:widowControl w:val="0"/>
              <w:kinsoku/>
              <w:wordWrap/>
              <w:overflowPunct/>
              <w:topLinePunct w:val="0"/>
              <w:autoSpaceDE/>
              <w:autoSpaceDN/>
              <w:bidi w:val="0"/>
              <w:snapToGrid w:val="0"/>
              <w:spacing w:line="360" w:lineRule="auto"/>
              <w:ind w:firstLine="360" w:firstLineChars="150"/>
              <w:jc w:val="left"/>
              <w:rPr>
                <w:sz w:val="24"/>
                <w:szCs w:val="24"/>
              </w:rPr>
            </w:pPr>
            <w:r>
              <w:rPr>
                <w:rFonts w:hint="default" w:ascii="Times New Roman" w:hAnsi="Times New Roman" w:cs="Times New Roman"/>
                <w:sz w:val="24"/>
                <w:szCs w:val="24"/>
              </w:rPr>
              <w:t>在采取上述措施后，施工扬尘对厂区内部及</w:t>
            </w:r>
            <w:r>
              <w:rPr>
                <w:sz w:val="24"/>
                <w:szCs w:val="24"/>
              </w:rPr>
              <w:t>周边敏感点影响较小。</w:t>
            </w:r>
          </w:p>
          <w:p w14:paraId="2B2B516F">
            <w:pPr>
              <w:pStyle w:val="31"/>
            </w:pPr>
          </w:p>
          <w:p w14:paraId="4714E406">
            <w:pPr>
              <w:keepNext w:val="0"/>
              <w:keepLines w:val="0"/>
              <w:pageBreakBefore w:val="0"/>
              <w:widowControl w:val="0"/>
              <w:kinsoku/>
              <w:wordWrap/>
              <w:overflowPunct/>
              <w:topLinePunct w:val="0"/>
              <w:autoSpaceDE/>
              <w:autoSpaceDN/>
              <w:bidi w:val="0"/>
              <w:snapToGrid w:val="0"/>
              <w:spacing w:line="360" w:lineRule="auto"/>
              <w:jc w:val="left"/>
              <w:rPr>
                <w:b/>
                <w:sz w:val="24"/>
                <w:szCs w:val="24"/>
              </w:rPr>
            </w:pPr>
            <w:r>
              <w:rPr>
                <w:b/>
                <w:sz w:val="24"/>
                <w:szCs w:val="24"/>
              </w:rPr>
              <w:t>2、施工期废水污染</w:t>
            </w:r>
            <w:r>
              <w:rPr>
                <w:b/>
                <w:bCs/>
                <w:sz w:val="24"/>
                <w:szCs w:val="24"/>
              </w:rPr>
              <w:t>及保护措施</w:t>
            </w:r>
          </w:p>
          <w:p w14:paraId="43B91225">
            <w:pPr>
              <w:pStyle w:val="98"/>
              <w:keepNext w:val="0"/>
              <w:keepLines w:val="0"/>
              <w:pageBreakBefore w:val="0"/>
              <w:widowControl w:val="0"/>
              <w:kinsoku/>
              <w:wordWrap/>
              <w:overflowPunct/>
              <w:topLinePunct w:val="0"/>
              <w:autoSpaceDE/>
              <w:autoSpaceDN/>
              <w:bidi w:val="0"/>
              <w:snapToGrid w:val="0"/>
              <w:spacing w:beforeLines="0" w:afterLines="0"/>
              <w:ind w:firstLine="480"/>
              <w:rPr>
                <w:rFonts w:hint="default" w:ascii="Times New Roman" w:hAnsi="Times New Roman" w:cs="Times New Roman"/>
                <w:sz w:val="24"/>
                <w:szCs w:val="24"/>
              </w:rPr>
            </w:pPr>
            <w:r>
              <w:rPr>
                <w:rFonts w:hint="default" w:ascii="Times New Roman" w:hAnsi="Times New Roman" w:cs="Times New Roman"/>
                <w:sz w:val="24"/>
                <w:szCs w:val="24"/>
              </w:rPr>
              <w:t>施工期废水主要为施工人员日常生活污水及施工设备的冲洗废水。</w:t>
            </w:r>
          </w:p>
          <w:p w14:paraId="09F329BC">
            <w:pPr>
              <w:pStyle w:val="98"/>
              <w:keepNext w:val="0"/>
              <w:keepLines w:val="0"/>
              <w:pageBreakBefore w:val="0"/>
              <w:widowControl w:val="0"/>
              <w:kinsoku/>
              <w:wordWrap/>
              <w:overflowPunct/>
              <w:topLinePunct w:val="0"/>
              <w:autoSpaceDE/>
              <w:autoSpaceDN/>
              <w:bidi w:val="0"/>
              <w:snapToGrid w:val="0"/>
              <w:spacing w:beforeLines="0" w:afterLines="0"/>
              <w:ind w:firstLine="480"/>
              <w:rPr>
                <w:rFonts w:hint="default" w:ascii="Times New Roman" w:hAnsi="Times New Roman" w:cs="Times New Roman"/>
                <w:sz w:val="24"/>
                <w:szCs w:val="24"/>
                <w:highlight w:val="yellow"/>
              </w:rPr>
            </w:pPr>
            <w:r>
              <w:rPr>
                <w:rFonts w:hint="default" w:ascii="Times New Roman" w:hAnsi="Times New Roman" w:cs="Times New Roman"/>
                <w:sz w:val="24"/>
                <w:szCs w:val="24"/>
              </w:rPr>
              <w:t>根据建设单位提供的资料，最大施工人数预计为20人，根据《湖南省用水定额地方标准》，生活用水量按100L/人·日计，施工时间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个月，则施工期生活用水量为2m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/d，污水产生量按日用水量的80%计，则施工期生活污水量为1.6m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/d，可知项目施工期产生的生活污水较少，建设单位在厂区内设置化粪池，产生的生活污水经化粪池处理后作为农肥。</w:t>
            </w:r>
          </w:p>
          <w:p w14:paraId="2125F479">
            <w:pPr>
              <w:pStyle w:val="98"/>
              <w:keepNext w:val="0"/>
              <w:keepLines w:val="0"/>
              <w:pageBreakBefore w:val="0"/>
              <w:widowControl w:val="0"/>
              <w:kinsoku/>
              <w:wordWrap/>
              <w:overflowPunct/>
              <w:topLinePunct w:val="0"/>
              <w:autoSpaceDE/>
              <w:autoSpaceDN/>
              <w:bidi w:val="0"/>
              <w:snapToGrid w:val="0"/>
              <w:spacing w:beforeLines="0" w:afterLines="0"/>
              <w:ind w:firstLine="480"/>
              <w:rPr>
                <w:rFonts w:hint="default" w:ascii="Times New Roman" w:hAnsi="Times New Roman" w:cs="Times New Roman"/>
                <w:sz w:val="24"/>
                <w:szCs w:val="24"/>
                <w:highlight w:val="yellow"/>
              </w:rPr>
            </w:pPr>
            <w:r>
              <w:rPr>
                <w:rFonts w:hint="default" w:ascii="Times New Roman" w:hAnsi="Times New Roman" w:cs="Times New Roman"/>
                <w:sz w:val="24"/>
                <w:szCs w:val="24"/>
              </w:rPr>
              <w:t>施工设备的冲洗废水污染物主要为SS和石油类，施工场内设置隔油处理设施，施工机械、运输车辆冲洗废水排入隔油池；废水经隔油、沉淀处理后清水回用，用于施工机械、运输车辆冲洗及场地抑尘、降尘喷洒用水，全部回用不外排。沉沙池沉渣作为建筑垃圾处置。</w:t>
            </w:r>
          </w:p>
          <w:p w14:paraId="23399337">
            <w:pPr>
              <w:keepNext w:val="0"/>
              <w:keepLines w:val="0"/>
              <w:pageBreakBefore w:val="0"/>
              <w:widowControl w:val="0"/>
              <w:kinsoku/>
              <w:wordWrap/>
              <w:overflowPunct/>
              <w:topLinePunct w:val="0"/>
              <w:autoSpaceDE/>
              <w:autoSpaceDN/>
              <w:bidi w:val="0"/>
              <w:snapToGrid w:val="0"/>
              <w:spacing w:line="36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3、施工期噪声污染</w:t>
            </w:r>
            <w:r>
              <w:rPr>
                <w:rFonts w:hint="default" w:ascii="Times New Roman" w:hAnsi="Times New Roman" w:cs="Times New Roman"/>
                <w:b/>
                <w:bCs/>
                <w:sz w:val="24"/>
                <w:szCs w:val="24"/>
              </w:rPr>
              <w:t>及保护措施</w:t>
            </w:r>
          </w:p>
          <w:p w14:paraId="13975FB0">
            <w:pPr>
              <w:keepNext w:val="0"/>
              <w:keepLines w:val="0"/>
              <w:pageBreakBefore w:val="0"/>
              <w:widowControl w:val="0"/>
              <w:kinsoku/>
              <w:wordWrap/>
              <w:overflowPunct/>
              <w:topLinePunct w:val="0"/>
              <w:autoSpaceDE/>
              <w:autoSpaceDN/>
              <w:bidi w:val="0"/>
              <w:snapToGrid w:val="0"/>
              <w:spacing w:line="360" w:lineRule="auto"/>
              <w:ind w:firstLine="480"/>
              <w:textAlignment w:val="baseline"/>
              <w:rPr>
                <w:rFonts w:hint="default" w:ascii="Times New Roman" w:hAnsi="Times New Roman" w:cs="Times New Roman"/>
                <w:bCs/>
                <w:sz w:val="24"/>
              </w:rPr>
            </w:pPr>
            <w:r>
              <w:rPr>
                <w:rFonts w:hint="default" w:ascii="Times New Roman" w:hAnsi="Times New Roman" w:cs="Times New Roman"/>
                <w:sz w:val="24"/>
                <w:szCs w:val="24"/>
              </w:rPr>
              <w:t>噪声主要来自建筑施工、装修过程。施工期的噪声设备主要有挖掘机、铲土机、卡车、搅拌机、振捣机、起重机、</w:t>
            </w:r>
            <w:r>
              <w:rPr>
                <w:rFonts w:hint="default" w:ascii="Times New Roman" w:hAnsi="Times New Roman" w:cs="Times New Roman"/>
                <w:sz w:val="24"/>
              </w:rPr>
              <w:t>电锯和压路机等，其噪声值在80~105dB(A)之间，需采取降噪措施，防止噪声过量对周围居民产生影响。</w:t>
            </w:r>
          </w:p>
          <w:p w14:paraId="75D16D5C">
            <w:pPr>
              <w:ind w:right="480"/>
              <w:jc w:val="center"/>
              <w:rPr>
                <w:rFonts w:hint="default" w:ascii="Times New Roman" w:hAnsi="Times New Roman" w:cs="Times New Roman"/>
                <w:sz w:val="24"/>
              </w:rPr>
            </w:pPr>
            <w:r>
              <w:rPr>
                <w:rFonts w:hint="default" w:ascii="Times New Roman" w:hAnsi="Times New Roman" w:cs="Times New Roman"/>
                <w:b/>
                <w:sz w:val="24"/>
              </w:rPr>
              <w:t>表4-3  距各种施工设备不同距离噪声预测结果表</w:t>
            </w:r>
            <w:r>
              <w:rPr>
                <w:rFonts w:hint="default" w:ascii="Times New Roman" w:hAnsi="Times New Roman" w:cs="Times New Roman"/>
                <w:bCs/>
                <w:sz w:val="24"/>
              </w:rPr>
              <w:t xml:space="preserve">  </w:t>
            </w:r>
            <w:r>
              <w:rPr>
                <w:rFonts w:hint="default" w:ascii="Times New Roman" w:hAnsi="Times New Roman" w:cs="Times New Roman"/>
                <w:b/>
                <w:bCs/>
                <w:sz w:val="24"/>
              </w:rPr>
              <w:t>单位：dB(A)</w:t>
            </w:r>
          </w:p>
          <w:tbl>
            <w:tblPr>
              <w:tblStyle w:val="26"/>
              <w:tblW w:w="5000" w:type="pct"/>
              <w:jc w:val="center"/>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2041"/>
              <w:gridCol w:w="606"/>
              <w:gridCol w:w="608"/>
              <w:gridCol w:w="611"/>
              <w:gridCol w:w="608"/>
              <w:gridCol w:w="608"/>
              <w:gridCol w:w="610"/>
              <w:gridCol w:w="608"/>
              <w:gridCol w:w="606"/>
              <w:gridCol w:w="610"/>
              <w:gridCol w:w="506"/>
            </w:tblGrid>
            <w:tr w14:paraId="06DD42C5">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50" w:hRule="atLeast"/>
                <w:jc w:val="center"/>
              </w:trPr>
              <w:tc>
                <w:tcPr>
                  <w:tcW w:w="1272" w:type="pct"/>
                  <w:noWrap w:val="0"/>
                  <w:vAlign w:val="center"/>
                </w:tcPr>
                <w:p w14:paraId="5D6FD8B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距离(m)</w:t>
                  </w:r>
                </w:p>
                <w:p w14:paraId="1F0FAD06">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施工设备</w:t>
                  </w:r>
                </w:p>
              </w:tc>
              <w:tc>
                <w:tcPr>
                  <w:tcW w:w="378" w:type="pct"/>
                  <w:noWrap w:val="0"/>
                  <w:vAlign w:val="center"/>
                </w:tcPr>
                <w:p w14:paraId="37E8986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79" w:type="pct"/>
                  <w:noWrap w:val="0"/>
                  <w:vAlign w:val="center"/>
                </w:tcPr>
                <w:p w14:paraId="4AD9562B">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381" w:type="pct"/>
                  <w:noWrap w:val="0"/>
                  <w:vAlign w:val="center"/>
                </w:tcPr>
                <w:p w14:paraId="0A0B1D37">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379" w:type="pct"/>
                  <w:noWrap w:val="0"/>
                  <w:vAlign w:val="center"/>
                </w:tcPr>
                <w:p w14:paraId="6F4589DB">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379" w:type="pct"/>
                  <w:noWrap w:val="0"/>
                  <w:vAlign w:val="center"/>
                </w:tcPr>
                <w:p w14:paraId="15ABAFFC">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380" w:type="pct"/>
                  <w:noWrap w:val="0"/>
                  <w:vAlign w:val="center"/>
                </w:tcPr>
                <w:p w14:paraId="785DF264">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79" w:type="pct"/>
                  <w:noWrap w:val="0"/>
                  <w:vAlign w:val="center"/>
                </w:tcPr>
                <w:p w14:paraId="54BAFD2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378" w:type="pct"/>
                  <w:noWrap w:val="0"/>
                  <w:vAlign w:val="center"/>
                </w:tcPr>
                <w:p w14:paraId="304998A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380" w:type="pct"/>
                  <w:noWrap w:val="0"/>
                  <w:vAlign w:val="center"/>
                </w:tcPr>
                <w:p w14:paraId="745A73A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316" w:type="pct"/>
                  <w:noWrap w:val="0"/>
                  <w:vAlign w:val="center"/>
                </w:tcPr>
                <w:p w14:paraId="406115A3">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14:paraId="0ECEACA1">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3D357A68">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推土机</w:t>
                  </w:r>
                </w:p>
              </w:tc>
              <w:tc>
                <w:tcPr>
                  <w:tcW w:w="378" w:type="pct"/>
                  <w:noWrap w:val="0"/>
                  <w:vAlign w:val="center"/>
                </w:tcPr>
                <w:p w14:paraId="5230D4A6">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379" w:type="pct"/>
                  <w:noWrap w:val="0"/>
                  <w:vAlign w:val="center"/>
                </w:tcPr>
                <w:p w14:paraId="4AE71287">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84.0</w:t>
                  </w:r>
                </w:p>
              </w:tc>
              <w:tc>
                <w:tcPr>
                  <w:tcW w:w="381" w:type="pct"/>
                  <w:noWrap w:val="0"/>
                  <w:vAlign w:val="center"/>
                </w:tcPr>
                <w:p w14:paraId="428E565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78.0</w:t>
                  </w:r>
                </w:p>
              </w:tc>
              <w:tc>
                <w:tcPr>
                  <w:tcW w:w="379" w:type="pct"/>
                  <w:noWrap w:val="0"/>
                  <w:vAlign w:val="center"/>
                </w:tcPr>
                <w:p w14:paraId="43CCA648">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74.5</w:t>
                  </w:r>
                </w:p>
              </w:tc>
              <w:tc>
                <w:tcPr>
                  <w:tcW w:w="379" w:type="pct"/>
                  <w:noWrap w:val="0"/>
                  <w:vAlign w:val="center"/>
                </w:tcPr>
                <w:p w14:paraId="54BFC323">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w:t>
                  </w:r>
                </w:p>
              </w:tc>
              <w:tc>
                <w:tcPr>
                  <w:tcW w:w="380" w:type="pct"/>
                  <w:noWrap w:val="0"/>
                  <w:vAlign w:val="center"/>
                </w:tcPr>
                <w:p w14:paraId="26113E6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70.1</w:t>
                  </w:r>
                </w:p>
              </w:tc>
              <w:tc>
                <w:tcPr>
                  <w:tcW w:w="379" w:type="pct"/>
                  <w:noWrap w:val="0"/>
                  <w:vAlign w:val="center"/>
                </w:tcPr>
                <w:p w14:paraId="0A210CF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378" w:type="pct"/>
                  <w:noWrap w:val="0"/>
                  <w:vAlign w:val="center"/>
                </w:tcPr>
                <w:p w14:paraId="5502FE9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67.2</w:t>
                  </w:r>
                </w:p>
              </w:tc>
              <w:tc>
                <w:tcPr>
                  <w:tcW w:w="380" w:type="pct"/>
                  <w:noWrap w:val="0"/>
                  <w:vAlign w:val="center"/>
                </w:tcPr>
                <w:p w14:paraId="38A67A78">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66.0</w:t>
                  </w:r>
                </w:p>
              </w:tc>
              <w:tc>
                <w:tcPr>
                  <w:tcW w:w="316" w:type="pct"/>
                  <w:noWrap w:val="0"/>
                  <w:vAlign w:val="center"/>
                </w:tcPr>
                <w:p w14:paraId="16352F61">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64.0</w:t>
                  </w:r>
                </w:p>
              </w:tc>
            </w:tr>
            <w:tr w14:paraId="0BED560A">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750FB7BF">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装载机</w:t>
                  </w:r>
                </w:p>
              </w:tc>
              <w:tc>
                <w:tcPr>
                  <w:tcW w:w="378" w:type="pct"/>
                  <w:noWrap w:val="0"/>
                  <w:vAlign w:val="center"/>
                </w:tcPr>
                <w:p w14:paraId="081E79C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379" w:type="pct"/>
                  <w:noWrap w:val="0"/>
                  <w:vAlign w:val="center"/>
                </w:tcPr>
                <w:p w14:paraId="260384B3">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84.0</w:t>
                  </w:r>
                </w:p>
              </w:tc>
              <w:tc>
                <w:tcPr>
                  <w:tcW w:w="381" w:type="pct"/>
                  <w:noWrap w:val="0"/>
                  <w:vAlign w:val="center"/>
                </w:tcPr>
                <w:p w14:paraId="2405741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78.0</w:t>
                  </w:r>
                </w:p>
              </w:tc>
              <w:tc>
                <w:tcPr>
                  <w:tcW w:w="379" w:type="pct"/>
                  <w:noWrap w:val="0"/>
                  <w:vAlign w:val="center"/>
                </w:tcPr>
                <w:p w14:paraId="31D578E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74.5</w:t>
                  </w:r>
                </w:p>
              </w:tc>
              <w:tc>
                <w:tcPr>
                  <w:tcW w:w="379" w:type="pct"/>
                  <w:noWrap w:val="0"/>
                  <w:vAlign w:val="center"/>
                </w:tcPr>
                <w:p w14:paraId="260855E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w:t>
                  </w:r>
                </w:p>
              </w:tc>
              <w:tc>
                <w:tcPr>
                  <w:tcW w:w="380" w:type="pct"/>
                  <w:noWrap w:val="0"/>
                  <w:vAlign w:val="center"/>
                </w:tcPr>
                <w:p w14:paraId="324A994B">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70.1</w:t>
                  </w:r>
                </w:p>
              </w:tc>
              <w:tc>
                <w:tcPr>
                  <w:tcW w:w="379" w:type="pct"/>
                  <w:noWrap w:val="0"/>
                  <w:vAlign w:val="center"/>
                </w:tcPr>
                <w:p w14:paraId="107886E2">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378" w:type="pct"/>
                  <w:noWrap w:val="0"/>
                  <w:vAlign w:val="center"/>
                </w:tcPr>
                <w:p w14:paraId="39F8A7E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67.2</w:t>
                  </w:r>
                </w:p>
              </w:tc>
              <w:tc>
                <w:tcPr>
                  <w:tcW w:w="380" w:type="pct"/>
                  <w:noWrap w:val="0"/>
                  <w:vAlign w:val="center"/>
                </w:tcPr>
                <w:p w14:paraId="117152FB">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66.0</w:t>
                  </w:r>
                </w:p>
              </w:tc>
              <w:tc>
                <w:tcPr>
                  <w:tcW w:w="316" w:type="pct"/>
                  <w:noWrap w:val="0"/>
                  <w:vAlign w:val="center"/>
                </w:tcPr>
                <w:p w14:paraId="35B51EB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64.0</w:t>
                  </w:r>
                </w:p>
              </w:tc>
            </w:tr>
            <w:tr w14:paraId="53034607">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03BE99F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挖掘机</w:t>
                  </w:r>
                </w:p>
              </w:tc>
              <w:tc>
                <w:tcPr>
                  <w:tcW w:w="378" w:type="pct"/>
                  <w:noWrap w:val="0"/>
                  <w:vAlign w:val="center"/>
                </w:tcPr>
                <w:p w14:paraId="63B549DE">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379" w:type="pct"/>
                  <w:noWrap w:val="0"/>
                  <w:vAlign w:val="center"/>
                </w:tcPr>
                <w:p w14:paraId="037AC93F">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84.0</w:t>
                  </w:r>
                </w:p>
              </w:tc>
              <w:tc>
                <w:tcPr>
                  <w:tcW w:w="381" w:type="pct"/>
                  <w:noWrap w:val="0"/>
                  <w:vAlign w:val="center"/>
                </w:tcPr>
                <w:p w14:paraId="02877458">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78.0</w:t>
                  </w:r>
                </w:p>
              </w:tc>
              <w:tc>
                <w:tcPr>
                  <w:tcW w:w="379" w:type="pct"/>
                  <w:noWrap w:val="0"/>
                  <w:vAlign w:val="center"/>
                </w:tcPr>
                <w:p w14:paraId="44D8A6B6">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74.5</w:t>
                  </w:r>
                </w:p>
              </w:tc>
              <w:tc>
                <w:tcPr>
                  <w:tcW w:w="379" w:type="pct"/>
                  <w:noWrap w:val="0"/>
                  <w:vAlign w:val="center"/>
                </w:tcPr>
                <w:p w14:paraId="1966196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w:t>
                  </w:r>
                </w:p>
              </w:tc>
              <w:tc>
                <w:tcPr>
                  <w:tcW w:w="380" w:type="pct"/>
                  <w:noWrap w:val="0"/>
                  <w:vAlign w:val="center"/>
                </w:tcPr>
                <w:p w14:paraId="2027D77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70.1</w:t>
                  </w:r>
                </w:p>
              </w:tc>
              <w:tc>
                <w:tcPr>
                  <w:tcW w:w="379" w:type="pct"/>
                  <w:noWrap w:val="0"/>
                  <w:vAlign w:val="center"/>
                </w:tcPr>
                <w:p w14:paraId="0F8D2D91">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378" w:type="pct"/>
                  <w:noWrap w:val="0"/>
                  <w:vAlign w:val="center"/>
                </w:tcPr>
                <w:p w14:paraId="3C68406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67.2</w:t>
                  </w:r>
                </w:p>
              </w:tc>
              <w:tc>
                <w:tcPr>
                  <w:tcW w:w="380" w:type="pct"/>
                  <w:noWrap w:val="0"/>
                  <w:vAlign w:val="center"/>
                </w:tcPr>
                <w:p w14:paraId="444861F4">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66.0</w:t>
                  </w:r>
                </w:p>
              </w:tc>
              <w:tc>
                <w:tcPr>
                  <w:tcW w:w="316" w:type="pct"/>
                  <w:noWrap w:val="0"/>
                  <w:vAlign w:val="center"/>
                </w:tcPr>
                <w:p w14:paraId="2F64283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64.0</w:t>
                  </w:r>
                </w:p>
              </w:tc>
            </w:tr>
            <w:tr w14:paraId="213F7F98">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10825E74">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各类打桩机</w:t>
                  </w:r>
                </w:p>
              </w:tc>
              <w:tc>
                <w:tcPr>
                  <w:tcW w:w="378" w:type="pct"/>
                  <w:noWrap w:val="0"/>
                  <w:vAlign w:val="center"/>
                </w:tcPr>
                <w:p w14:paraId="0FA5B7B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w:t>
                  </w:r>
                </w:p>
              </w:tc>
              <w:tc>
                <w:tcPr>
                  <w:tcW w:w="379" w:type="pct"/>
                  <w:noWrap w:val="0"/>
                  <w:vAlign w:val="center"/>
                </w:tcPr>
                <w:p w14:paraId="77E91D6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99.0</w:t>
                  </w:r>
                </w:p>
              </w:tc>
              <w:tc>
                <w:tcPr>
                  <w:tcW w:w="381" w:type="pct"/>
                  <w:noWrap w:val="0"/>
                  <w:vAlign w:val="center"/>
                </w:tcPr>
                <w:p w14:paraId="543F714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93.0</w:t>
                  </w:r>
                </w:p>
              </w:tc>
              <w:tc>
                <w:tcPr>
                  <w:tcW w:w="379" w:type="pct"/>
                  <w:noWrap w:val="0"/>
                  <w:vAlign w:val="center"/>
                </w:tcPr>
                <w:p w14:paraId="17971EA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89.5</w:t>
                  </w:r>
                </w:p>
              </w:tc>
              <w:tc>
                <w:tcPr>
                  <w:tcW w:w="379" w:type="pct"/>
                  <w:noWrap w:val="0"/>
                  <w:vAlign w:val="center"/>
                </w:tcPr>
                <w:p w14:paraId="096E8322">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w:t>
                  </w:r>
                </w:p>
              </w:tc>
              <w:tc>
                <w:tcPr>
                  <w:tcW w:w="380" w:type="pct"/>
                  <w:noWrap w:val="0"/>
                  <w:vAlign w:val="center"/>
                </w:tcPr>
                <w:p w14:paraId="2B3091C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85.0</w:t>
                  </w:r>
                </w:p>
              </w:tc>
              <w:tc>
                <w:tcPr>
                  <w:tcW w:w="379" w:type="pct"/>
                  <w:noWrap w:val="0"/>
                  <w:vAlign w:val="center"/>
                </w:tcPr>
                <w:p w14:paraId="7E8B7F68">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83.4</w:t>
                  </w:r>
                </w:p>
              </w:tc>
              <w:tc>
                <w:tcPr>
                  <w:tcW w:w="378" w:type="pct"/>
                  <w:noWrap w:val="0"/>
                  <w:vAlign w:val="center"/>
                </w:tcPr>
                <w:p w14:paraId="756C239B">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82.1</w:t>
                  </w:r>
                </w:p>
              </w:tc>
              <w:tc>
                <w:tcPr>
                  <w:tcW w:w="380" w:type="pct"/>
                  <w:noWrap w:val="0"/>
                  <w:vAlign w:val="center"/>
                </w:tcPr>
                <w:p w14:paraId="6E783152">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81.9</w:t>
                  </w:r>
                </w:p>
              </w:tc>
              <w:tc>
                <w:tcPr>
                  <w:tcW w:w="316" w:type="pct"/>
                  <w:noWrap w:val="0"/>
                  <w:vAlign w:val="center"/>
                </w:tcPr>
                <w:p w14:paraId="0FF9CE9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r>
            <w:tr w14:paraId="6EC8941B">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6FF04C0C">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振捣机</w:t>
                  </w:r>
                </w:p>
              </w:tc>
              <w:tc>
                <w:tcPr>
                  <w:tcW w:w="378" w:type="pct"/>
                  <w:noWrap w:val="0"/>
                  <w:vAlign w:val="center"/>
                </w:tcPr>
                <w:p w14:paraId="655B4D01">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379" w:type="pct"/>
                  <w:noWrap w:val="0"/>
                  <w:vAlign w:val="center"/>
                </w:tcPr>
                <w:p w14:paraId="1E73337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89.0</w:t>
                  </w:r>
                </w:p>
              </w:tc>
              <w:tc>
                <w:tcPr>
                  <w:tcW w:w="381" w:type="pct"/>
                  <w:noWrap w:val="0"/>
                  <w:vAlign w:val="center"/>
                </w:tcPr>
                <w:p w14:paraId="57F6432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83.0</w:t>
                  </w:r>
                </w:p>
              </w:tc>
              <w:tc>
                <w:tcPr>
                  <w:tcW w:w="379" w:type="pct"/>
                  <w:noWrap w:val="0"/>
                  <w:vAlign w:val="center"/>
                </w:tcPr>
                <w:p w14:paraId="1C72C37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79.5</w:t>
                  </w:r>
                </w:p>
              </w:tc>
              <w:tc>
                <w:tcPr>
                  <w:tcW w:w="379" w:type="pct"/>
                  <w:noWrap w:val="0"/>
                  <w:vAlign w:val="center"/>
                </w:tcPr>
                <w:p w14:paraId="2D62FEEB">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77.0</w:t>
                  </w:r>
                </w:p>
              </w:tc>
              <w:tc>
                <w:tcPr>
                  <w:tcW w:w="380" w:type="pct"/>
                  <w:noWrap w:val="0"/>
                  <w:vAlign w:val="center"/>
                </w:tcPr>
                <w:p w14:paraId="3E4B4F92">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75.1</w:t>
                  </w:r>
                </w:p>
              </w:tc>
              <w:tc>
                <w:tcPr>
                  <w:tcW w:w="379" w:type="pct"/>
                  <w:noWrap w:val="0"/>
                  <w:vAlign w:val="center"/>
                </w:tcPr>
                <w:p w14:paraId="69E1A2C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73.5</w:t>
                  </w:r>
                </w:p>
              </w:tc>
              <w:tc>
                <w:tcPr>
                  <w:tcW w:w="378" w:type="pct"/>
                  <w:noWrap w:val="0"/>
                  <w:vAlign w:val="center"/>
                </w:tcPr>
                <w:p w14:paraId="62CA666F">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72.2</w:t>
                  </w:r>
                </w:p>
              </w:tc>
              <w:tc>
                <w:tcPr>
                  <w:tcW w:w="380" w:type="pct"/>
                  <w:noWrap w:val="0"/>
                  <w:vAlign w:val="center"/>
                </w:tcPr>
                <w:p w14:paraId="70ECE97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71.0</w:t>
                  </w:r>
                </w:p>
              </w:tc>
              <w:tc>
                <w:tcPr>
                  <w:tcW w:w="316" w:type="pct"/>
                  <w:noWrap w:val="0"/>
                  <w:vAlign w:val="center"/>
                </w:tcPr>
                <w:p w14:paraId="3CCD9244">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69.0</w:t>
                  </w:r>
                </w:p>
              </w:tc>
            </w:tr>
            <w:tr w14:paraId="06841F4B">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1280DE87">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电锯</w:t>
                  </w:r>
                </w:p>
              </w:tc>
              <w:tc>
                <w:tcPr>
                  <w:tcW w:w="378" w:type="pct"/>
                  <w:noWrap w:val="0"/>
                  <w:vAlign w:val="center"/>
                </w:tcPr>
                <w:p w14:paraId="21E03D3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379" w:type="pct"/>
                  <w:noWrap w:val="0"/>
                  <w:vAlign w:val="center"/>
                </w:tcPr>
                <w:p w14:paraId="6CA5B0A6">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89.0</w:t>
                  </w:r>
                </w:p>
              </w:tc>
              <w:tc>
                <w:tcPr>
                  <w:tcW w:w="381" w:type="pct"/>
                  <w:noWrap w:val="0"/>
                  <w:vAlign w:val="center"/>
                </w:tcPr>
                <w:p w14:paraId="40EB9257">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83.0</w:t>
                  </w:r>
                </w:p>
              </w:tc>
              <w:tc>
                <w:tcPr>
                  <w:tcW w:w="379" w:type="pct"/>
                  <w:noWrap w:val="0"/>
                  <w:vAlign w:val="center"/>
                </w:tcPr>
                <w:p w14:paraId="26996841">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79.5</w:t>
                  </w:r>
                </w:p>
              </w:tc>
              <w:tc>
                <w:tcPr>
                  <w:tcW w:w="379" w:type="pct"/>
                  <w:noWrap w:val="0"/>
                  <w:vAlign w:val="center"/>
                </w:tcPr>
                <w:p w14:paraId="63A010A4">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77.0</w:t>
                  </w:r>
                </w:p>
              </w:tc>
              <w:tc>
                <w:tcPr>
                  <w:tcW w:w="380" w:type="pct"/>
                  <w:noWrap w:val="0"/>
                  <w:vAlign w:val="center"/>
                </w:tcPr>
                <w:p w14:paraId="7C4C95E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75.1</w:t>
                  </w:r>
                </w:p>
              </w:tc>
              <w:tc>
                <w:tcPr>
                  <w:tcW w:w="379" w:type="pct"/>
                  <w:noWrap w:val="0"/>
                  <w:vAlign w:val="center"/>
                </w:tcPr>
                <w:p w14:paraId="3301FED8">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73.5</w:t>
                  </w:r>
                </w:p>
              </w:tc>
              <w:tc>
                <w:tcPr>
                  <w:tcW w:w="378" w:type="pct"/>
                  <w:noWrap w:val="0"/>
                  <w:vAlign w:val="center"/>
                </w:tcPr>
                <w:p w14:paraId="154F59D4">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72.2</w:t>
                  </w:r>
                </w:p>
              </w:tc>
              <w:tc>
                <w:tcPr>
                  <w:tcW w:w="380" w:type="pct"/>
                  <w:noWrap w:val="0"/>
                  <w:vAlign w:val="center"/>
                </w:tcPr>
                <w:p w14:paraId="4A68EEFF">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71.0</w:t>
                  </w:r>
                </w:p>
              </w:tc>
              <w:tc>
                <w:tcPr>
                  <w:tcW w:w="316" w:type="pct"/>
                  <w:noWrap w:val="0"/>
                  <w:vAlign w:val="center"/>
                </w:tcPr>
                <w:p w14:paraId="2C0F2C76">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69.0</w:t>
                  </w:r>
                </w:p>
              </w:tc>
            </w:tr>
            <w:tr w14:paraId="77C0FAAC">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36B13F3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空压机</w:t>
                  </w:r>
                </w:p>
              </w:tc>
              <w:tc>
                <w:tcPr>
                  <w:tcW w:w="378" w:type="pct"/>
                  <w:noWrap w:val="0"/>
                  <w:vAlign w:val="center"/>
                </w:tcPr>
                <w:p w14:paraId="4BF1D93E">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379" w:type="pct"/>
                  <w:noWrap w:val="0"/>
                  <w:vAlign w:val="center"/>
                </w:tcPr>
                <w:p w14:paraId="43C9AED7">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89.0</w:t>
                  </w:r>
                </w:p>
              </w:tc>
              <w:tc>
                <w:tcPr>
                  <w:tcW w:w="381" w:type="pct"/>
                  <w:noWrap w:val="0"/>
                  <w:vAlign w:val="center"/>
                </w:tcPr>
                <w:p w14:paraId="77BBEEC3">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83.0</w:t>
                  </w:r>
                </w:p>
              </w:tc>
              <w:tc>
                <w:tcPr>
                  <w:tcW w:w="379" w:type="pct"/>
                  <w:noWrap w:val="0"/>
                  <w:vAlign w:val="center"/>
                </w:tcPr>
                <w:p w14:paraId="0BE1DDA3">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79.5</w:t>
                  </w:r>
                </w:p>
              </w:tc>
              <w:tc>
                <w:tcPr>
                  <w:tcW w:w="379" w:type="pct"/>
                  <w:noWrap w:val="0"/>
                  <w:vAlign w:val="center"/>
                </w:tcPr>
                <w:p w14:paraId="5DA6F2A1">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77.0</w:t>
                  </w:r>
                </w:p>
              </w:tc>
              <w:tc>
                <w:tcPr>
                  <w:tcW w:w="380" w:type="pct"/>
                  <w:noWrap w:val="0"/>
                  <w:vAlign w:val="center"/>
                </w:tcPr>
                <w:p w14:paraId="63A02C32">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75.1</w:t>
                  </w:r>
                </w:p>
              </w:tc>
              <w:tc>
                <w:tcPr>
                  <w:tcW w:w="379" w:type="pct"/>
                  <w:noWrap w:val="0"/>
                  <w:vAlign w:val="center"/>
                </w:tcPr>
                <w:p w14:paraId="13A5970E">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73.5</w:t>
                  </w:r>
                </w:p>
              </w:tc>
              <w:tc>
                <w:tcPr>
                  <w:tcW w:w="378" w:type="pct"/>
                  <w:noWrap w:val="0"/>
                  <w:vAlign w:val="center"/>
                </w:tcPr>
                <w:p w14:paraId="2BEAA046">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72.2</w:t>
                  </w:r>
                </w:p>
              </w:tc>
              <w:tc>
                <w:tcPr>
                  <w:tcW w:w="380" w:type="pct"/>
                  <w:noWrap w:val="0"/>
                  <w:vAlign w:val="center"/>
                </w:tcPr>
                <w:p w14:paraId="7A494063">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71.0</w:t>
                  </w:r>
                </w:p>
              </w:tc>
              <w:tc>
                <w:tcPr>
                  <w:tcW w:w="316" w:type="pct"/>
                  <w:noWrap w:val="0"/>
                  <w:vAlign w:val="center"/>
                </w:tcPr>
                <w:p w14:paraId="2A082770">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69.0</w:t>
                  </w:r>
                </w:p>
              </w:tc>
            </w:tr>
            <w:tr w14:paraId="4D524381">
              <w:tblPrEx>
                <w:tblBorders>
                  <w:top w:val="single" w:color="auto" w:sz="12" w:space="0"/>
                  <w:left w:val="single" w:color="000000" w:sz="12" w:space="0"/>
                  <w:bottom w:val="single" w:color="auto"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65" w:hRule="atLeast"/>
                <w:jc w:val="center"/>
              </w:trPr>
              <w:tc>
                <w:tcPr>
                  <w:tcW w:w="1272" w:type="pct"/>
                  <w:noWrap w:val="0"/>
                  <w:vAlign w:val="center"/>
                </w:tcPr>
                <w:p w14:paraId="5397D16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卡车</w:t>
                  </w:r>
                </w:p>
              </w:tc>
              <w:tc>
                <w:tcPr>
                  <w:tcW w:w="378" w:type="pct"/>
                  <w:noWrap w:val="0"/>
                  <w:vAlign w:val="center"/>
                </w:tcPr>
                <w:p w14:paraId="066E0232">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379" w:type="pct"/>
                  <w:noWrap w:val="0"/>
                  <w:vAlign w:val="center"/>
                </w:tcPr>
                <w:p w14:paraId="02FCD317">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79.0</w:t>
                  </w:r>
                </w:p>
              </w:tc>
              <w:tc>
                <w:tcPr>
                  <w:tcW w:w="381" w:type="pct"/>
                  <w:noWrap w:val="0"/>
                  <w:vAlign w:val="center"/>
                </w:tcPr>
                <w:p w14:paraId="77A7477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73.0</w:t>
                  </w:r>
                </w:p>
              </w:tc>
              <w:tc>
                <w:tcPr>
                  <w:tcW w:w="379" w:type="pct"/>
                  <w:noWrap w:val="0"/>
                  <w:vAlign w:val="center"/>
                </w:tcPr>
                <w:p w14:paraId="4E33CE15">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69.5</w:t>
                  </w:r>
                </w:p>
              </w:tc>
              <w:tc>
                <w:tcPr>
                  <w:tcW w:w="379" w:type="pct"/>
                  <w:noWrap w:val="0"/>
                  <w:vAlign w:val="center"/>
                </w:tcPr>
                <w:p w14:paraId="09AFED8A">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67.0</w:t>
                  </w:r>
                </w:p>
              </w:tc>
              <w:tc>
                <w:tcPr>
                  <w:tcW w:w="380" w:type="pct"/>
                  <w:noWrap w:val="0"/>
                  <w:vAlign w:val="center"/>
                </w:tcPr>
                <w:p w14:paraId="644EFD21">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65.1</w:t>
                  </w:r>
                </w:p>
              </w:tc>
              <w:tc>
                <w:tcPr>
                  <w:tcW w:w="379" w:type="pct"/>
                  <w:noWrap w:val="0"/>
                  <w:vAlign w:val="center"/>
                </w:tcPr>
                <w:p w14:paraId="203E673E">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63.5</w:t>
                  </w:r>
                </w:p>
              </w:tc>
              <w:tc>
                <w:tcPr>
                  <w:tcW w:w="378" w:type="pct"/>
                  <w:noWrap w:val="0"/>
                  <w:vAlign w:val="center"/>
                </w:tcPr>
                <w:p w14:paraId="5BA6B42E">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62.2</w:t>
                  </w:r>
                </w:p>
              </w:tc>
              <w:tc>
                <w:tcPr>
                  <w:tcW w:w="380" w:type="pct"/>
                  <w:noWrap w:val="0"/>
                  <w:vAlign w:val="center"/>
                </w:tcPr>
                <w:p w14:paraId="34184889">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61.0</w:t>
                  </w:r>
                </w:p>
              </w:tc>
              <w:tc>
                <w:tcPr>
                  <w:tcW w:w="316" w:type="pct"/>
                  <w:noWrap w:val="0"/>
                  <w:vAlign w:val="center"/>
                </w:tcPr>
                <w:p w14:paraId="12D3674D">
                  <w:pPr>
                    <w:pStyle w:val="68"/>
                    <w:keepNext w:val="0"/>
                    <w:keepLines w:val="0"/>
                    <w:pageBreakBefore w:val="0"/>
                    <w:widowControl w:val="0"/>
                    <w:kinsoku/>
                    <w:wordWrap/>
                    <w:overflowPunct/>
                    <w:topLinePunct w:val="0"/>
                    <w:autoSpaceDE/>
                    <w:autoSpaceDN/>
                    <w:bidi w:val="0"/>
                    <w:adjustRightInd w:val="0"/>
                    <w:snapToGrid w:val="0"/>
                    <w:spacing w:beforeLines="0"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59.0</w:t>
                  </w:r>
                </w:p>
              </w:tc>
            </w:tr>
          </w:tbl>
          <w:p w14:paraId="44A0B81E">
            <w:pPr>
              <w:spacing w:line="360" w:lineRule="auto"/>
              <w:ind w:firstLine="480" w:firstLineChars="200"/>
              <w:rPr>
                <w:rFonts w:hint="default" w:ascii="Times New Roman" w:hAnsi="Times New Roman" w:cs="Times New Roman"/>
                <w:bCs/>
                <w:sz w:val="24"/>
                <w:u w:val="none" w:color="auto"/>
              </w:rPr>
            </w:pPr>
            <w:r>
              <w:rPr>
                <w:rFonts w:hint="default" w:ascii="Times New Roman" w:hAnsi="Times New Roman" w:cs="Times New Roman"/>
                <w:bCs/>
                <w:sz w:val="24"/>
                <w:u w:val="none" w:color="auto"/>
              </w:rPr>
              <w:t>从上表可以看出，当大部分施工机械的施工点距离场界大于100m时，场界噪声综合限值基本可以达到《建筑施工场界环境噪声排放标准》（GB12523-2011）昼间标准，但在实际施工中，在距离场界100m范围内施工仍是不可避免的，此时施工场界噪声将超过《建筑施工场界环境噪声排放标准》（GB12523-2011）昼间标准；若夜间施工，施工点周围200米的范围内噪声仍达不到《建筑施工场界环境噪声排放标准》（GB12523-2011）标准。</w:t>
            </w:r>
          </w:p>
          <w:p w14:paraId="2EFB25B4">
            <w:pPr>
              <w:spacing w:line="360" w:lineRule="auto"/>
              <w:ind w:firstLine="480" w:firstLineChars="200"/>
              <w:rPr>
                <w:rFonts w:hint="default" w:ascii="Times New Roman" w:hAnsi="Times New Roman" w:cs="Times New Roman"/>
                <w:sz w:val="24"/>
                <w:u w:val="none" w:color="auto"/>
              </w:rPr>
            </w:pPr>
            <w:r>
              <w:rPr>
                <w:rFonts w:hint="default" w:ascii="Times New Roman" w:hAnsi="Times New Roman" w:cs="Times New Roman"/>
                <w:sz w:val="24"/>
                <w:u w:val="none" w:color="auto"/>
              </w:rPr>
              <w:t>环评建议建设单位在施工期采取以下治理措施：</w:t>
            </w:r>
          </w:p>
          <w:p w14:paraId="5995669E">
            <w:pPr>
              <w:spacing w:line="360" w:lineRule="auto"/>
              <w:ind w:firstLine="360" w:firstLineChars="150"/>
              <w:rPr>
                <w:rFonts w:hint="default" w:ascii="Times New Roman" w:hAnsi="Times New Roman" w:cs="Times New Roman"/>
                <w:sz w:val="24"/>
                <w:u w:val="none" w:color="auto"/>
              </w:rPr>
            </w:pPr>
            <w:r>
              <w:rPr>
                <w:rFonts w:hint="default" w:ascii="Times New Roman" w:hAnsi="Times New Roman" w:cs="Times New Roman"/>
                <w:sz w:val="24"/>
                <w:u w:val="none" w:color="auto"/>
              </w:rPr>
              <w:t>（1）严格控制施工时段，禁止高噪声设备午休时间和夜间作业，加强施工管理，避免施工噪声对周围居民产生明显影响。</w:t>
            </w:r>
          </w:p>
          <w:p w14:paraId="17DA4CB0">
            <w:pPr>
              <w:spacing w:line="360" w:lineRule="auto"/>
              <w:ind w:firstLine="360" w:firstLineChars="150"/>
              <w:rPr>
                <w:rFonts w:hint="default" w:ascii="Times New Roman" w:hAnsi="Times New Roman" w:cs="Times New Roman"/>
                <w:sz w:val="24"/>
                <w:u w:val="none" w:color="auto"/>
              </w:rPr>
            </w:pPr>
            <w:r>
              <w:rPr>
                <w:rFonts w:hint="default" w:ascii="Times New Roman" w:hAnsi="Times New Roman" w:cs="Times New Roman"/>
                <w:sz w:val="24"/>
                <w:u w:val="none" w:color="auto"/>
              </w:rPr>
              <w:t>（2）对高噪声设备设局部围挡。</w:t>
            </w:r>
          </w:p>
          <w:p w14:paraId="0DF804F3">
            <w:pPr>
              <w:spacing w:line="360" w:lineRule="auto"/>
              <w:ind w:firstLine="360" w:firstLineChars="150"/>
              <w:rPr>
                <w:rFonts w:hint="default" w:ascii="Times New Roman" w:hAnsi="Times New Roman" w:cs="Times New Roman"/>
                <w:sz w:val="24"/>
                <w:u w:val="none" w:color="auto"/>
              </w:rPr>
            </w:pPr>
            <w:r>
              <w:rPr>
                <w:rFonts w:hint="default" w:ascii="Times New Roman" w:hAnsi="Times New Roman" w:cs="Times New Roman"/>
                <w:sz w:val="24"/>
                <w:u w:val="none" w:color="auto"/>
              </w:rPr>
              <w:t>（3）尽量选用低噪声设备，在施工过程中，应经常对施工设备进行维修保养，避免由于设备性能衰减而使噪声增强的现象发生。</w:t>
            </w:r>
          </w:p>
          <w:p w14:paraId="042FD19E">
            <w:pPr>
              <w:spacing w:line="360" w:lineRule="auto"/>
              <w:ind w:firstLine="360" w:firstLineChars="150"/>
              <w:rPr>
                <w:rFonts w:hint="default" w:ascii="Times New Roman" w:hAnsi="Times New Roman" w:cs="Times New Roman"/>
                <w:sz w:val="24"/>
                <w:u w:val="none" w:color="auto"/>
              </w:rPr>
            </w:pPr>
            <w:r>
              <w:rPr>
                <w:rFonts w:hint="default" w:ascii="Times New Roman" w:hAnsi="Times New Roman" w:cs="Times New Roman"/>
                <w:sz w:val="24"/>
                <w:u w:val="none" w:color="auto"/>
              </w:rPr>
              <w:t>（4）施工期噪声按《建筑施工场界噪声排放标准》（GB12523-2011）进行控制，合理安排施工时间，严格控制高噪声设备的施工阶段，在夜间22:00至次日清晨6:00和午休时间停止高噪声设备的施工作业。</w:t>
            </w:r>
          </w:p>
          <w:p w14:paraId="132F16BF">
            <w:pPr>
              <w:spacing w:line="360" w:lineRule="auto"/>
              <w:ind w:firstLine="480" w:firstLineChars="200"/>
              <w:rPr>
                <w:rFonts w:hint="default" w:ascii="Times New Roman" w:hAnsi="Times New Roman" w:cs="Times New Roman"/>
                <w:sz w:val="24"/>
                <w:u w:val="none" w:color="auto"/>
              </w:rPr>
            </w:pPr>
            <w:r>
              <w:rPr>
                <w:rFonts w:hint="default" w:ascii="Times New Roman" w:hAnsi="Times New Roman" w:cs="Times New Roman"/>
                <w:sz w:val="24"/>
                <w:u w:val="none" w:color="auto"/>
              </w:rPr>
              <w:t>施工期噪声影响是短暂的，一旦施工活动结束，施工噪声也就随之结束。</w:t>
            </w:r>
          </w:p>
          <w:p w14:paraId="6D60934F">
            <w:pPr>
              <w:spacing w:line="360" w:lineRule="auto"/>
              <w:jc w:val="left"/>
              <w:rPr>
                <w:rFonts w:hint="default" w:ascii="Times New Roman" w:hAnsi="Times New Roman" w:cs="Times New Roman"/>
                <w:b/>
                <w:sz w:val="24"/>
                <w:u w:val="none" w:color="auto"/>
              </w:rPr>
            </w:pPr>
            <w:r>
              <w:rPr>
                <w:rFonts w:hint="default" w:ascii="Times New Roman" w:hAnsi="Times New Roman" w:cs="Times New Roman"/>
                <w:b/>
                <w:sz w:val="24"/>
                <w:u w:val="none" w:color="auto"/>
              </w:rPr>
              <w:t>4、施工期固废污染</w:t>
            </w:r>
            <w:r>
              <w:rPr>
                <w:rFonts w:hint="default" w:ascii="Times New Roman" w:hAnsi="Times New Roman" w:cs="Times New Roman"/>
                <w:b/>
                <w:bCs/>
                <w:sz w:val="24"/>
                <w:u w:val="none" w:color="auto"/>
              </w:rPr>
              <w:t>及保护措施</w:t>
            </w:r>
          </w:p>
          <w:p w14:paraId="367F7D53">
            <w:pPr>
              <w:spacing w:line="360" w:lineRule="auto"/>
              <w:ind w:firstLine="480"/>
              <w:textAlignment w:val="baseline"/>
              <w:rPr>
                <w:rFonts w:hint="default" w:ascii="Times New Roman" w:hAnsi="Times New Roman" w:cs="Times New Roman"/>
                <w:sz w:val="24"/>
                <w:u w:val="none" w:color="auto"/>
              </w:rPr>
            </w:pPr>
            <w:r>
              <w:rPr>
                <w:rFonts w:hint="default" w:ascii="Times New Roman" w:hAnsi="Times New Roman" w:cs="Times New Roman"/>
                <w:sz w:val="24"/>
                <w:u w:val="none" w:color="auto"/>
              </w:rPr>
              <w:t>施工期固体废物主要为多余的土石方、建筑垃圾及施工人员生活垃圾。施工人员生活垃圾定点收集后，交由环卫部门处理，各类建筑垃圾按照建设部令第139号《城市建筑垃圾管理规定》（2005年6月1日施行）规定，在指定地点消纳。</w:t>
            </w:r>
          </w:p>
          <w:p w14:paraId="0CFD68A9">
            <w:pPr>
              <w:widowControl/>
              <w:spacing w:line="360" w:lineRule="auto"/>
              <w:ind w:firstLine="480" w:firstLineChars="200"/>
              <w:jc w:val="left"/>
              <w:textAlignment w:val="baseline"/>
              <w:rPr>
                <w:rFonts w:hint="default" w:ascii="Times New Roman" w:hAnsi="Times New Roman" w:cs="Times New Roman"/>
                <w:sz w:val="24"/>
                <w:u w:val="none" w:color="auto"/>
              </w:rPr>
            </w:pPr>
            <w:r>
              <w:rPr>
                <w:rFonts w:hint="default" w:ascii="Times New Roman" w:hAnsi="Times New Roman" w:cs="Times New Roman"/>
                <w:sz w:val="24"/>
                <w:u w:val="none" w:color="auto"/>
              </w:rPr>
              <w:t>（1）产出的弃料及其他建筑垃圾，及时清运与处理，按管理部门指定地点处置，不得随意弃渣；渣料若在工地内堆置超过一周的，应采取防淋失和风蚀措施。</w:t>
            </w:r>
          </w:p>
          <w:p w14:paraId="1278AE79">
            <w:pPr>
              <w:widowControl/>
              <w:spacing w:line="360" w:lineRule="auto"/>
              <w:ind w:firstLine="480" w:firstLineChars="200"/>
              <w:jc w:val="left"/>
              <w:textAlignment w:val="baseline"/>
              <w:rPr>
                <w:rFonts w:hint="default" w:ascii="Times New Roman" w:hAnsi="Times New Roman" w:cs="Times New Roman"/>
                <w:sz w:val="24"/>
                <w:u w:val="none" w:color="auto"/>
              </w:rPr>
            </w:pPr>
            <w:r>
              <w:rPr>
                <w:rFonts w:hint="default" w:ascii="Times New Roman" w:hAnsi="Times New Roman" w:cs="Times New Roman"/>
                <w:sz w:val="24"/>
                <w:u w:val="none" w:color="auto"/>
              </w:rPr>
              <w:t>（2）施工现场设置专门的废弃物临时储存场地，堆放时须加盖塑料蓬布，避免雨中冲刷带来的水土流失，同时保持土壤的养分。</w:t>
            </w:r>
          </w:p>
          <w:p w14:paraId="1CD91147">
            <w:pPr>
              <w:widowControl/>
              <w:spacing w:line="360" w:lineRule="auto"/>
              <w:ind w:firstLine="480" w:firstLineChars="200"/>
              <w:jc w:val="left"/>
              <w:textAlignment w:val="baseline"/>
              <w:rPr>
                <w:rFonts w:hint="default" w:ascii="Times New Roman" w:hAnsi="Times New Roman" w:cs="Times New Roman"/>
                <w:sz w:val="24"/>
                <w:u w:val="none" w:color="auto"/>
              </w:rPr>
            </w:pPr>
            <w:r>
              <w:rPr>
                <w:rFonts w:hint="default" w:ascii="Times New Roman" w:hAnsi="Times New Roman" w:cs="Times New Roman"/>
                <w:sz w:val="24"/>
                <w:u w:val="none" w:color="auto"/>
              </w:rPr>
              <w:t>（3）处置建筑垃圾的单位在运输建筑垃圾时，应当随车携带建筑垃圾处置核准文件，按照规定的运输路线、时间运行，不得丢弃、遗撒建筑垃圾，不得超出核准范围承运建筑垃圾。</w:t>
            </w:r>
          </w:p>
          <w:p w14:paraId="629F7DF3">
            <w:pPr>
              <w:widowControl/>
              <w:spacing w:line="360" w:lineRule="auto"/>
              <w:ind w:firstLine="480" w:firstLineChars="200"/>
              <w:jc w:val="left"/>
              <w:textAlignment w:val="baseline"/>
              <w:rPr>
                <w:sz w:val="24"/>
                <w:u w:val="none" w:color="auto"/>
              </w:rPr>
            </w:pPr>
            <w:r>
              <w:rPr>
                <w:rFonts w:hint="default" w:ascii="Times New Roman" w:hAnsi="Times New Roman" w:cs="Times New Roman"/>
                <w:sz w:val="24"/>
                <w:u w:val="none" w:color="auto"/>
              </w:rPr>
              <w:t>（4）建筑物装修期间，使用过的油漆桶属于危险</w:t>
            </w:r>
            <w:r>
              <w:rPr>
                <w:sz w:val="24"/>
                <w:u w:val="none" w:color="auto"/>
              </w:rPr>
              <w:t>废物，</w:t>
            </w:r>
            <w:r>
              <w:rPr>
                <w:rFonts w:hint="eastAsia"/>
                <w:sz w:val="24"/>
                <w:u w:val="none" w:color="auto"/>
              </w:rPr>
              <w:t>应及时收集，妥善贮存，交有资质单位处置。</w:t>
            </w:r>
            <w:r>
              <w:rPr>
                <w:sz w:val="24"/>
                <w:u w:val="none" w:color="auto"/>
              </w:rPr>
              <w:t>在工程竣工验收前，应将所产生的建设工程废弃物全部清除防止污染环境；并与环卫部门联系，及时清理施工现场的生活垃圾；应使用按规定配装密闭装置的车辆运输。</w:t>
            </w:r>
          </w:p>
          <w:p w14:paraId="7AEBE3D1">
            <w:pPr>
              <w:widowControl/>
              <w:spacing w:line="360" w:lineRule="auto"/>
              <w:ind w:firstLine="480" w:firstLineChars="200"/>
              <w:jc w:val="left"/>
              <w:textAlignment w:val="baseline"/>
              <w:rPr>
                <w:rFonts w:hint="default" w:ascii="Times New Roman" w:hAnsi="Times New Roman" w:cs="Times New Roman"/>
                <w:sz w:val="24"/>
                <w:u w:val="none" w:color="auto"/>
              </w:rPr>
            </w:pPr>
            <w:r>
              <w:rPr>
                <w:rFonts w:hint="default" w:ascii="Times New Roman" w:hAnsi="Times New Roman" w:cs="Times New Roman"/>
                <w:sz w:val="24"/>
                <w:u w:val="none" w:color="auto"/>
              </w:rPr>
              <w:t>（5）项目建设需要对场地进行平整，开挖量约为2.5万m</w:t>
            </w:r>
            <w:r>
              <w:rPr>
                <w:rFonts w:hint="default" w:ascii="Times New Roman" w:hAnsi="Times New Roman" w:cs="Times New Roman"/>
                <w:sz w:val="24"/>
                <w:u w:val="none" w:color="auto"/>
                <w:vertAlign w:val="superscript"/>
              </w:rPr>
              <w:t>3</w:t>
            </w:r>
            <w:r>
              <w:rPr>
                <w:rFonts w:hint="default" w:ascii="Times New Roman" w:hAnsi="Times New Roman" w:cs="Times New Roman"/>
                <w:sz w:val="24"/>
                <w:u w:val="none" w:color="auto"/>
              </w:rPr>
              <w:t>，填方量约为0.8万m</w:t>
            </w:r>
            <w:r>
              <w:rPr>
                <w:rFonts w:hint="default" w:ascii="Times New Roman" w:hAnsi="Times New Roman" w:cs="Times New Roman"/>
                <w:sz w:val="24"/>
                <w:u w:val="none" w:color="auto"/>
                <w:vertAlign w:val="superscript"/>
              </w:rPr>
              <w:t>3</w:t>
            </w:r>
            <w:r>
              <w:rPr>
                <w:rFonts w:hint="default" w:ascii="Times New Roman" w:hAnsi="Times New Roman" w:cs="Times New Roman"/>
                <w:sz w:val="24"/>
                <w:u w:val="none" w:color="auto"/>
              </w:rPr>
              <w:t>，弃土约为1.7万m</w:t>
            </w:r>
            <w:r>
              <w:rPr>
                <w:rFonts w:hint="default" w:ascii="Times New Roman" w:hAnsi="Times New Roman" w:cs="Times New Roman"/>
                <w:sz w:val="24"/>
                <w:u w:val="none" w:color="auto"/>
                <w:vertAlign w:val="superscript"/>
              </w:rPr>
              <w:t>3</w:t>
            </w:r>
            <w:r>
              <w:rPr>
                <w:rFonts w:hint="default" w:ascii="Times New Roman" w:hAnsi="Times New Roman" w:cs="Times New Roman"/>
                <w:sz w:val="24"/>
                <w:u w:val="none" w:color="auto"/>
              </w:rPr>
              <w:t>，运至渣土部门指定的地点堆存，不得随意丢弃。</w:t>
            </w:r>
          </w:p>
          <w:p w14:paraId="1EDD37E7">
            <w:pPr>
              <w:widowControl/>
              <w:spacing w:line="360" w:lineRule="auto"/>
              <w:ind w:firstLine="480" w:firstLineChars="200"/>
              <w:jc w:val="left"/>
              <w:textAlignment w:val="baseline"/>
              <w:rPr>
                <w:rFonts w:hint="default" w:ascii="Times New Roman" w:hAnsi="Times New Roman" w:cs="Times New Roman"/>
                <w:sz w:val="24"/>
                <w:u w:val="none" w:color="auto"/>
              </w:rPr>
            </w:pPr>
            <w:r>
              <w:rPr>
                <w:rFonts w:hint="default" w:ascii="Times New Roman" w:hAnsi="Times New Roman" w:cs="Times New Roman"/>
                <w:sz w:val="24"/>
                <w:u w:val="none" w:color="auto"/>
              </w:rPr>
              <w:t>综上所述，施工现场应加强管理，提倡文明施工，经采取以上措施后，施工期固体废物不会对周围环境造成明显影响。</w:t>
            </w:r>
          </w:p>
          <w:p w14:paraId="0C123464">
            <w:pPr>
              <w:widowControl/>
              <w:spacing w:line="360" w:lineRule="auto"/>
              <w:jc w:val="left"/>
              <w:rPr>
                <w:sz w:val="24"/>
                <w:u w:val="none" w:color="auto"/>
              </w:rPr>
            </w:pPr>
            <w:r>
              <w:rPr>
                <w:b/>
                <w:bCs/>
                <w:kern w:val="0"/>
                <w:sz w:val="24"/>
                <w:u w:val="none" w:color="auto"/>
                <w:lang w:bidi="ar"/>
              </w:rPr>
              <w:t xml:space="preserve">5、生态水土流失环境措施 </w:t>
            </w:r>
          </w:p>
          <w:p w14:paraId="19539628">
            <w:pPr>
              <w:widowControl/>
              <w:spacing w:line="360" w:lineRule="auto"/>
              <w:ind w:firstLine="480" w:firstLineChars="200"/>
              <w:jc w:val="left"/>
              <w:rPr>
                <w:sz w:val="24"/>
                <w:u w:val="none" w:color="auto"/>
              </w:rPr>
            </w:pPr>
            <w:r>
              <w:rPr>
                <w:kern w:val="0"/>
                <w:sz w:val="24"/>
                <w:u w:val="none" w:color="auto"/>
                <w:lang w:bidi="ar"/>
              </w:rPr>
              <w:t xml:space="preserve">为了减少施工期间的水土流失，提出以下水土保持管理措施要求： </w:t>
            </w:r>
          </w:p>
          <w:p w14:paraId="2D9F4926">
            <w:pPr>
              <w:widowControl/>
              <w:spacing w:line="360" w:lineRule="auto"/>
              <w:ind w:firstLine="480" w:firstLineChars="200"/>
              <w:jc w:val="left"/>
              <w:rPr>
                <w:sz w:val="24"/>
                <w:u w:val="none" w:color="auto"/>
              </w:rPr>
            </w:pPr>
            <w:r>
              <w:rPr>
                <w:rFonts w:hint="eastAsia" w:ascii="宋体" w:hAnsi="宋体" w:cs="宋体"/>
                <w:kern w:val="0"/>
                <w:sz w:val="24"/>
                <w:u w:val="none" w:color="auto"/>
                <w:lang w:bidi="ar"/>
              </w:rPr>
              <w:t>①</w:t>
            </w:r>
            <w:r>
              <w:rPr>
                <w:kern w:val="0"/>
                <w:sz w:val="24"/>
                <w:u w:val="none" w:color="auto"/>
                <w:lang w:bidi="ar"/>
              </w:rPr>
              <w:t>在土地开挖建设中，应尽量避开雨季；</w:t>
            </w:r>
          </w:p>
          <w:p w14:paraId="7C714D1D">
            <w:pPr>
              <w:widowControl/>
              <w:spacing w:line="360" w:lineRule="auto"/>
              <w:ind w:firstLine="480" w:firstLineChars="200"/>
              <w:jc w:val="left"/>
              <w:rPr>
                <w:sz w:val="24"/>
                <w:u w:val="none" w:color="auto"/>
              </w:rPr>
            </w:pPr>
            <w:r>
              <w:rPr>
                <w:rFonts w:hint="eastAsia" w:ascii="宋体" w:hAnsi="宋体" w:cs="宋体"/>
                <w:kern w:val="0"/>
                <w:sz w:val="24"/>
                <w:u w:val="none" w:color="auto"/>
                <w:lang w:bidi="ar"/>
              </w:rPr>
              <w:t>②</w:t>
            </w:r>
            <w:r>
              <w:rPr>
                <w:kern w:val="0"/>
                <w:sz w:val="24"/>
                <w:u w:val="none" w:color="auto"/>
                <w:lang w:bidi="ar"/>
              </w:rPr>
              <w:t xml:space="preserve">合理弃土：为避免临时堆土场的水土流失，建设单位应采用防尘布覆盖全部弃土。苫盖栓牢、压实，做到刮风不开。苫盖接口紧密，接口处互相叠盖，不留空隙；苫盖拉挺、平整，不得有折叠和凹陷。 </w:t>
            </w:r>
          </w:p>
          <w:p w14:paraId="3CDAC756">
            <w:pPr>
              <w:widowControl/>
              <w:spacing w:line="360" w:lineRule="auto"/>
              <w:ind w:firstLine="480" w:firstLineChars="200"/>
              <w:jc w:val="left"/>
              <w:rPr>
                <w:sz w:val="24"/>
                <w:u w:val="none" w:color="auto"/>
              </w:rPr>
            </w:pPr>
            <w:r>
              <w:rPr>
                <w:rFonts w:hint="eastAsia" w:ascii="宋体" w:hAnsi="宋体" w:cs="宋体"/>
                <w:kern w:val="0"/>
                <w:sz w:val="24"/>
                <w:u w:val="none" w:color="auto"/>
                <w:lang w:bidi="ar"/>
              </w:rPr>
              <w:t>③</w:t>
            </w:r>
            <w:r>
              <w:rPr>
                <w:kern w:val="0"/>
                <w:sz w:val="24"/>
                <w:u w:val="none" w:color="auto"/>
                <w:lang w:bidi="ar"/>
              </w:rPr>
              <w:t xml:space="preserve">材料堆放场：施工场地要设置材料堆放场堆放砂石料等建筑材料，为了防止降雨对材料堆放场的冲蚀，材料堆放场周围用编织土袋进行拦挡，材料顶部用苫布进行覆盖。 </w:t>
            </w:r>
          </w:p>
          <w:p w14:paraId="5E1585A8">
            <w:pPr>
              <w:adjustRightInd w:val="0"/>
              <w:snapToGrid w:val="0"/>
              <w:spacing w:line="360" w:lineRule="auto"/>
              <w:ind w:firstLine="480" w:firstLineChars="200"/>
              <w:jc w:val="left"/>
              <w:rPr>
                <w:rFonts w:ascii="Times New Roman" w:hAnsi="Times New Roman" w:cs="Times New Roman"/>
                <w:color w:val="auto"/>
                <w:sz w:val="24"/>
                <w:u w:val="none" w:color="auto"/>
              </w:rPr>
            </w:pPr>
            <w:r>
              <w:rPr>
                <w:rFonts w:hint="eastAsia" w:ascii="宋体" w:hAnsi="宋体" w:cs="宋体"/>
                <w:kern w:val="0"/>
                <w:sz w:val="24"/>
                <w:u w:val="none" w:color="auto"/>
                <w:lang w:bidi="ar"/>
              </w:rPr>
              <w:t>④</w:t>
            </w:r>
            <w:r>
              <w:rPr>
                <w:kern w:val="0"/>
                <w:sz w:val="24"/>
                <w:u w:val="none" w:color="auto"/>
                <w:lang w:bidi="ar"/>
              </w:rPr>
              <w:t>合理安排施工时间：在施工过程中，合理安排施工顺序，雨季中尽量减少土地开挖面，并争取土料的随挖、随运、随铺、随压。将施工过程中的泥浆经沉淀、晾干后回填，对水质环境影响能控制在较小范围内，且产生水土流失</w:t>
            </w:r>
            <w:r>
              <w:rPr>
                <w:rFonts w:ascii="Times New Roman" w:hAnsi="Times New Roman" w:cs="Times New Roman"/>
                <w:color w:val="auto"/>
                <w:sz w:val="24"/>
                <w:u w:val="none" w:color="auto"/>
              </w:rPr>
              <w:t xml:space="preserve">量较小。 </w:t>
            </w:r>
          </w:p>
          <w:p w14:paraId="15BA1339">
            <w:pPr>
              <w:adjustRightInd w:val="0"/>
              <w:snapToGrid w:val="0"/>
              <w:spacing w:line="360" w:lineRule="auto"/>
              <w:ind w:firstLine="480" w:firstLineChars="200"/>
              <w:jc w:val="left"/>
              <w:rPr>
                <w:rFonts w:ascii="Times New Roman" w:hAnsi="Times New Roman" w:cs="Times New Roman"/>
                <w:color w:val="auto"/>
                <w:sz w:val="24"/>
                <w:u w:val="none" w:color="auto"/>
              </w:rPr>
            </w:pPr>
            <w:r>
              <w:rPr>
                <w:rFonts w:hint="eastAsia" w:ascii="Times New Roman" w:hAnsi="Times New Roman" w:cs="Times New Roman"/>
                <w:color w:val="auto"/>
                <w:sz w:val="24"/>
                <w:u w:val="none" w:color="auto"/>
              </w:rPr>
              <w:t>⑤</w:t>
            </w:r>
            <w:r>
              <w:rPr>
                <w:rFonts w:ascii="Times New Roman" w:hAnsi="Times New Roman" w:cs="Times New Roman"/>
                <w:color w:val="auto"/>
                <w:sz w:val="24"/>
                <w:u w:val="none" w:color="auto"/>
              </w:rPr>
              <w:t>组织管理：建设单位在工程建设施工过程中，必须加强施工队伍组织和管理，避免发生施工区外围植被破坏，以缩小植被生态损害程度。项目施工期各项水土保持设施在主体工程建设中得到落实后，对项目建设区可能产生的水土流失能起到显著的抑制作用，起到防止水土流失、保护生态环境的作用。</w:t>
            </w:r>
          </w:p>
          <w:p w14:paraId="03D49A3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color w:val="auto"/>
                <w:sz w:val="24"/>
                <w:szCs w:val="24"/>
                <w:u w:val="none" w:color="auto"/>
              </w:rPr>
            </w:pPr>
          </w:p>
          <w:p w14:paraId="67C37B49">
            <w:pPr>
              <w:pStyle w:val="31"/>
            </w:pPr>
          </w:p>
          <w:p w14:paraId="76045CC0">
            <w:pPr>
              <w:pStyle w:val="31"/>
            </w:pPr>
          </w:p>
          <w:p w14:paraId="242B6423">
            <w:pPr>
              <w:pStyle w:val="31"/>
            </w:pPr>
          </w:p>
          <w:p w14:paraId="6146E235">
            <w:pPr>
              <w:pStyle w:val="31"/>
            </w:pPr>
          </w:p>
          <w:p w14:paraId="795A6FC3">
            <w:pPr>
              <w:pStyle w:val="31"/>
            </w:pPr>
          </w:p>
        </w:tc>
      </w:tr>
      <w:tr w14:paraId="4D0AB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0" w:hRule="atLeast"/>
          <w:jc w:val="center"/>
        </w:trPr>
        <w:tc>
          <w:tcPr>
            <w:tcW w:w="567" w:type="dxa"/>
            <w:tcMar>
              <w:top w:w="0" w:type="dxa"/>
              <w:left w:w="28" w:type="dxa"/>
              <w:bottom w:w="0" w:type="dxa"/>
              <w:right w:w="28" w:type="dxa"/>
            </w:tcMar>
            <w:vAlign w:val="center"/>
          </w:tcPr>
          <w:p w14:paraId="704F126F">
            <w:pPr>
              <w:adjustRightInd w:val="0"/>
              <w:snapToGrid w:val="0"/>
              <w:spacing w:line="360" w:lineRule="auto"/>
              <w:jc w:val="center"/>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运营</w:t>
            </w:r>
          </w:p>
          <w:p w14:paraId="5559A9A2">
            <w:pPr>
              <w:adjustRightInd w:val="0"/>
              <w:snapToGrid w:val="0"/>
              <w:spacing w:line="360" w:lineRule="auto"/>
              <w:jc w:val="center"/>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期环</w:t>
            </w:r>
          </w:p>
          <w:p w14:paraId="66434A25">
            <w:pPr>
              <w:adjustRightInd w:val="0"/>
              <w:snapToGrid w:val="0"/>
              <w:spacing w:line="360" w:lineRule="auto"/>
              <w:jc w:val="center"/>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境影</w:t>
            </w:r>
          </w:p>
          <w:p w14:paraId="5733201C">
            <w:pPr>
              <w:adjustRightInd w:val="0"/>
              <w:snapToGrid w:val="0"/>
              <w:spacing w:line="360" w:lineRule="auto"/>
              <w:jc w:val="center"/>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响和</w:t>
            </w:r>
          </w:p>
          <w:p w14:paraId="61BD29CD">
            <w:pPr>
              <w:adjustRightInd w:val="0"/>
              <w:snapToGrid w:val="0"/>
              <w:spacing w:line="360" w:lineRule="auto"/>
              <w:jc w:val="center"/>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保护</w:t>
            </w:r>
          </w:p>
          <w:p w14:paraId="035E621D">
            <w:pPr>
              <w:adjustRightInd w:val="0"/>
              <w:snapToGrid w:val="0"/>
              <w:spacing w:line="360" w:lineRule="auto"/>
              <w:jc w:val="center"/>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措施</w:t>
            </w:r>
          </w:p>
        </w:tc>
        <w:tc>
          <w:tcPr>
            <w:tcW w:w="8268" w:type="dxa"/>
            <w:vAlign w:val="center"/>
          </w:tcPr>
          <w:p w14:paraId="2DBC468B">
            <w:pPr>
              <w:pStyle w:val="101"/>
              <w:snapToGrid w:val="0"/>
              <w:ind w:left="0" w:leftChars="0" w:firstLine="0" w:firstLineChars="0"/>
              <w:rPr>
                <w:bCs/>
                <w:color w:val="auto"/>
                <w:highlight w:val="none"/>
                <w:u w:val="none" w:color="auto"/>
              </w:rPr>
            </w:pPr>
            <w:r>
              <w:rPr>
                <w:color w:val="auto"/>
                <w:highlight w:val="none"/>
                <w:u w:val="none" w:color="auto"/>
              </w:rPr>
              <w:t>1、大气污染物</w:t>
            </w:r>
          </w:p>
          <w:p w14:paraId="09D8F8A4">
            <w:pPr>
              <w:pStyle w:val="101"/>
              <w:snapToGrid w:val="0"/>
              <w:ind w:firstLine="482"/>
              <w:rPr>
                <w:color w:val="auto"/>
                <w:highlight w:val="none"/>
                <w:u w:val="none" w:color="auto"/>
              </w:rPr>
            </w:pPr>
            <w:r>
              <w:rPr>
                <w:color w:val="auto"/>
                <w:highlight w:val="none"/>
                <w:u w:val="none" w:color="auto"/>
              </w:rPr>
              <w:t>1.1大气污染源强</w:t>
            </w:r>
          </w:p>
          <w:p w14:paraId="31481123">
            <w:pPr>
              <w:widowControl/>
              <w:spacing w:line="360" w:lineRule="auto"/>
              <w:ind w:firstLine="480" w:firstLineChars="200"/>
              <w:jc w:val="left"/>
              <w:textAlignment w:val="baseline"/>
              <w:rPr>
                <w:rFonts w:ascii="Times New Roman" w:hAnsi="Times New Roman" w:cs="Times New Roman"/>
                <w:color w:val="auto"/>
                <w:sz w:val="24"/>
                <w:szCs w:val="32"/>
                <w:highlight w:val="none"/>
                <w:u w:val="none" w:color="auto"/>
              </w:rPr>
            </w:pPr>
            <w:r>
              <w:rPr>
                <w:rFonts w:ascii="Times New Roman" w:hAnsi="Times New Roman" w:cs="Times New Roman"/>
                <w:color w:val="auto"/>
                <w:sz w:val="24"/>
                <w:highlight w:val="none"/>
                <w:u w:val="none" w:color="auto"/>
              </w:rPr>
              <w:t>本项目排放粉尘主要为筒仓粉尘、原料堆存、卸料扬尘、车辆运输扬尘、汽车尾气等。</w:t>
            </w:r>
          </w:p>
          <w:p w14:paraId="1A9FD242">
            <w:pPr>
              <w:widowControl/>
              <w:spacing w:line="360" w:lineRule="auto"/>
              <w:ind w:firstLine="482" w:firstLineChars="200"/>
              <w:jc w:val="left"/>
              <w:textAlignment w:val="baseline"/>
              <w:rPr>
                <w:rFonts w:ascii="Times New Roman" w:hAnsi="Times New Roman" w:cs="Times New Roman"/>
                <w:b/>
                <w:color w:val="auto"/>
                <w:sz w:val="24"/>
                <w:szCs w:val="32"/>
                <w:highlight w:val="none"/>
                <w:u w:val="none" w:color="auto"/>
              </w:rPr>
            </w:pPr>
            <w:r>
              <w:rPr>
                <w:rFonts w:ascii="Times New Roman" w:hAnsi="Times New Roman" w:cs="Times New Roman"/>
                <w:b/>
                <w:color w:val="auto"/>
                <w:sz w:val="24"/>
                <w:szCs w:val="32"/>
                <w:highlight w:val="none"/>
                <w:u w:val="none" w:color="auto"/>
              </w:rPr>
              <w:t>（1）</w:t>
            </w:r>
            <w:r>
              <w:rPr>
                <w:rFonts w:ascii="Times New Roman" w:hAnsi="Times New Roman" w:cs="Times New Roman"/>
                <w:b/>
                <w:color w:val="auto"/>
                <w:sz w:val="24"/>
                <w:highlight w:val="none"/>
                <w:u w:val="none" w:color="auto"/>
              </w:rPr>
              <w:t>筒仓粉尘</w:t>
            </w:r>
          </w:p>
          <w:p w14:paraId="0B5F7695">
            <w:pPr>
              <w:widowControl/>
              <w:spacing w:line="360" w:lineRule="auto"/>
              <w:ind w:firstLine="480" w:firstLineChars="200"/>
              <w:textAlignment w:val="baseline"/>
              <w:rPr>
                <w:rFonts w:ascii="Times New Roman" w:hAnsi="Times New Roman" w:cs="Times New Roman"/>
                <w:color w:val="auto"/>
                <w:sz w:val="24"/>
                <w:highlight w:val="none"/>
                <w:u w:val="none" w:color="auto"/>
              </w:rPr>
            </w:pPr>
            <w:r>
              <w:rPr>
                <w:rFonts w:ascii="Times New Roman" w:hAnsi="Times New Roman" w:cs="Times New Roman"/>
                <w:color w:val="auto"/>
                <w:sz w:val="24"/>
                <w:highlight w:val="none"/>
                <w:u w:val="none" w:color="auto"/>
              </w:rPr>
              <w:t>本项目设置商品</w:t>
            </w:r>
            <w:r>
              <w:rPr>
                <w:rFonts w:hint="eastAsia" w:ascii="Times New Roman" w:hAnsi="Times New Roman" w:cs="Times New Roman"/>
                <w:color w:val="auto"/>
                <w:sz w:val="24"/>
                <w:highlight w:val="none"/>
                <w:u w:val="none" w:color="auto"/>
                <w:lang w:eastAsia="zh-CN"/>
              </w:rPr>
              <w:t>混凝土</w:t>
            </w:r>
            <w:r>
              <w:rPr>
                <w:rFonts w:hint="eastAsia" w:ascii="Times New Roman" w:hAnsi="Times New Roman" w:cs="Times New Roman"/>
                <w:color w:val="auto"/>
                <w:sz w:val="24"/>
                <w:highlight w:val="none"/>
                <w:u w:val="none" w:color="auto"/>
                <w:lang w:val="en-US" w:eastAsia="zh-CN"/>
              </w:rPr>
              <w:t>2</w:t>
            </w:r>
            <w:r>
              <w:rPr>
                <w:rFonts w:ascii="Times New Roman" w:hAnsi="Times New Roman" w:cs="Times New Roman"/>
                <w:color w:val="auto"/>
                <w:sz w:val="24"/>
                <w:highlight w:val="none"/>
                <w:u w:val="none" w:color="auto"/>
              </w:rPr>
              <w:t>条生产线，</w:t>
            </w:r>
            <w:r>
              <w:rPr>
                <w:rFonts w:hint="eastAsia" w:ascii="Times New Roman" w:hAnsi="Times New Roman" w:cs="Times New Roman"/>
                <w:color w:val="auto"/>
                <w:sz w:val="24"/>
                <w:highlight w:val="none"/>
                <w:u w:val="none" w:color="auto"/>
                <w:lang w:val="en-US" w:eastAsia="zh-CN"/>
              </w:rPr>
              <w:t>每条</w:t>
            </w:r>
            <w:r>
              <w:rPr>
                <w:rFonts w:ascii="Times New Roman" w:hAnsi="Times New Roman" w:cs="Times New Roman"/>
                <w:color w:val="auto"/>
                <w:sz w:val="24"/>
                <w:highlight w:val="none"/>
                <w:u w:val="none" w:color="auto"/>
              </w:rPr>
              <w:t>生产线配套设置5个筒仓（300t的筒仓4个，100t的筒仓1个），项目所需的水泥、粉煤灰、矿粉、膨胀剂等通过槽罐车运输进厂，由槽罐车自带的空压机打入筒仓，此时产生的含尘废气由筒仓顶部自带的仓顶除尘器处理，处理后的含尘废气将在搅拌楼内自然沉降。项目搅拌楼设于封闭式厂房内，搅拌楼无组织粉尘对外环境影响较小。</w:t>
            </w:r>
          </w:p>
          <w:p w14:paraId="23491BBA">
            <w:pPr>
              <w:widowControl/>
              <w:spacing w:line="360" w:lineRule="auto"/>
              <w:ind w:firstLine="480" w:firstLineChars="200"/>
              <w:textAlignment w:val="baseline"/>
              <w:rPr>
                <w:rFonts w:ascii="Times New Roman" w:hAnsi="Times New Roman" w:cs="Times New Roman"/>
                <w:color w:val="auto"/>
                <w:sz w:val="24"/>
                <w:u w:val="none"/>
              </w:rPr>
            </w:pPr>
            <w:r>
              <w:rPr>
                <w:rFonts w:ascii="Times New Roman" w:hAnsi="Times New Roman" w:cs="Times New Roman"/>
                <w:color w:val="auto"/>
                <w:sz w:val="24"/>
                <w:u w:val="none"/>
              </w:rPr>
              <w:t>根据设计资料，各筒仓单罐设仓顶除尘器风量为2000m</w:t>
            </w:r>
            <w:r>
              <w:rPr>
                <w:rFonts w:ascii="Times New Roman" w:hAnsi="Times New Roman" w:cs="Times New Roman"/>
                <w:color w:val="auto"/>
                <w:sz w:val="24"/>
                <w:u w:val="none"/>
                <w:vertAlign w:val="superscript"/>
              </w:rPr>
              <w:t>3</w:t>
            </w:r>
            <w:r>
              <w:rPr>
                <w:rFonts w:ascii="Times New Roman" w:hAnsi="Times New Roman" w:cs="Times New Roman"/>
                <w:color w:val="auto"/>
                <w:sz w:val="24"/>
                <w:u w:val="none"/>
              </w:rPr>
              <w:t>/h，项目为一天</w:t>
            </w:r>
            <w:r>
              <w:rPr>
                <w:rFonts w:hint="eastAsia" w:ascii="Times New Roman" w:hAnsi="Times New Roman" w:cs="Times New Roman"/>
                <w:color w:val="auto"/>
                <w:sz w:val="24"/>
                <w:u w:val="none"/>
                <w:lang w:val="en-US" w:eastAsia="zh-CN"/>
              </w:rPr>
              <w:t>8</w:t>
            </w:r>
            <w:r>
              <w:rPr>
                <w:rFonts w:ascii="Times New Roman" w:hAnsi="Times New Roman" w:cs="Times New Roman"/>
                <w:color w:val="auto"/>
                <w:sz w:val="24"/>
                <w:u w:val="none"/>
              </w:rPr>
              <w:t>小时制，年工作时间</w:t>
            </w:r>
            <w:r>
              <w:rPr>
                <w:rFonts w:hint="eastAsia" w:ascii="Times New Roman" w:hAnsi="Times New Roman" w:cs="Times New Roman"/>
                <w:color w:val="auto"/>
                <w:sz w:val="24"/>
                <w:u w:val="none"/>
              </w:rPr>
              <w:t>2</w:t>
            </w:r>
            <w:r>
              <w:rPr>
                <w:rFonts w:hint="eastAsia" w:ascii="Times New Roman" w:hAnsi="Times New Roman" w:cs="Times New Roman"/>
                <w:color w:val="auto"/>
                <w:sz w:val="24"/>
                <w:u w:val="none"/>
                <w:lang w:val="en-US" w:eastAsia="zh-CN"/>
              </w:rPr>
              <w:t>1</w:t>
            </w:r>
            <w:r>
              <w:rPr>
                <w:rFonts w:ascii="Times New Roman" w:hAnsi="Times New Roman" w:cs="Times New Roman"/>
                <w:color w:val="auto"/>
                <w:sz w:val="24"/>
                <w:u w:val="none"/>
              </w:rPr>
              <w:t>0天，根据《排放源统计调查产排污核算方法和系数手册》</w:t>
            </w:r>
            <w:r>
              <w:rPr>
                <w:rFonts w:hint="eastAsia" w:ascii="Times New Roman" w:hAnsi="Times New Roman" w:cs="Times New Roman"/>
                <w:color w:val="auto"/>
                <w:sz w:val="24"/>
                <w:u w:val="none"/>
              </w:rPr>
              <w:t>（</w:t>
            </w:r>
            <w:r>
              <w:rPr>
                <w:rFonts w:ascii="Times New Roman" w:hAnsi="Times New Roman" w:cs="Times New Roman"/>
                <w:color w:val="auto"/>
                <w:sz w:val="24"/>
                <w:u w:val="none"/>
              </w:rPr>
              <w:t>2021版</w:t>
            </w:r>
            <w:r>
              <w:rPr>
                <w:rFonts w:hint="eastAsia" w:ascii="Times New Roman" w:hAnsi="Times New Roman" w:cs="Times New Roman"/>
                <w:color w:val="auto"/>
                <w:sz w:val="24"/>
                <w:u w:val="none"/>
              </w:rPr>
              <w:t>）</w:t>
            </w:r>
            <w:r>
              <w:rPr>
                <w:rFonts w:ascii="Times New Roman" w:hAnsi="Times New Roman" w:cs="Times New Roman"/>
                <w:color w:val="auto"/>
                <w:sz w:val="24"/>
                <w:u w:val="none"/>
              </w:rPr>
              <w:t>中3021水泥制品制造，其物料输送储存粉尘产生量按0.1</w:t>
            </w:r>
            <w:r>
              <w:rPr>
                <w:rFonts w:hint="eastAsia" w:ascii="Times New Roman" w:hAnsi="Times New Roman" w:cs="Times New Roman"/>
                <w:color w:val="auto"/>
                <w:sz w:val="24"/>
                <w:u w:val="none"/>
              </w:rPr>
              <w:t>2</w:t>
            </w:r>
            <w:r>
              <w:rPr>
                <w:rFonts w:ascii="Times New Roman" w:hAnsi="Times New Roman" w:cs="Times New Roman"/>
                <w:color w:val="auto"/>
                <w:sz w:val="24"/>
                <w:u w:val="none"/>
              </w:rPr>
              <w:t>kg/t-产品计。本项目年产</w:t>
            </w:r>
            <w:r>
              <w:rPr>
                <w:rFonts w:hint="eastAsia" w:ascii="Times New Roman" w:hAnsi="Times New Roman" w:eastAsia="宋体" w:cs="Times New Roman"/>
                <w:color w:val="auto"/>
                <w:sz w:val="24"/>
                <w:szCs w:val="24"/>
                <w:u w:val="none"/>
              </w:rPr>
              <w:t>60</w:t>
            </w:r>
            <w:r>
              <w:rPr>
                <w:rFonts w:ascii="Times New Roman" w:hAnsi="Times New Roman" w:cs="Times New Roman"/>
                <w:color w:val="auto"/>
                <w:sz w:val="24"/>
                <w:u w:val="none"/>
              </w:rPr>
              <w:t>万立方商品混凝土（约</w:t>
            </w:r>
            <w:r>
              <w:rPr>
                <w:rFonts w:hint="eastAsia" w:ascii="Times New Roman" w:hAnsi="Times New Roman" w:cs="Times New Roman"/>
                <w:color w:val="auto"/>
                <w:sz w:val="24"/>
                <w:u w:val="none"/>
              </w:rPr>
              <w:t>144</w:t>
            </w:r>
            <w:r>
              <w:rPr>
                <w:rFonts w:ascii="Times New Roman" w:hAnsi="Times New Roman" w:cs="Times New Roman"/>
                <w:color w:val="auto"/>
                <w:sz w:val="24"/>
                <w:u w:val="none"/>
              </w:rPr>
              <w:t>万吨），则本项目筒仓产生的粉尘为</w:t>
            </w:r>
            <w:r>
              <w:rPr>
                <w:rFonts w:hint="eastAsia" w:ascii="Times New Roman" w:hAnsi="Times New Roman" w:cs="Times New Roman"/>
                <w:color w:val="auto"/>
                <w:sz w:val="24"/>
                <w:u w:val="none"/>
              </w:rPr>
              <w:t>172.8</w:t>
            </w:r>
            <w:r>
              <w:rPr>
                <w:rFonts w:ascii="Times New Roman" w:hAnsi="Times New Roman" w:cs="Times New Roman"/>
                <w:color w:val="auto"/>
                <w:sz w:val="24"/>
                <w:u w:val="none"/>
              </w:rPr>
              <w:t>t</w:t>
            </w:r>
            <w:r>
              <w:rPr>
                <w:rFonts w:hint="eastAsia" w:ascii="Times New Roman" w:hAnsi="Times New Roman" w:cs="Times New Roman"/>
                <w:color w:val="auto"/>
                <w:sz w:val="24"/>
                <w:u w:val="none"/>
              </w:rPr>
              <w:t>/a</w:t>
            </w:r>
            <w:r>
              <w:rPr>
                <w:rFonts w:ascii="Times New Roman" w:hAnsi="Times New Roman" w:cs="Times New Roman"/>
                <w:color w:val="auto"/>
                <w:sz w:val="24"/>
                <w:u w:val="none"/>
              </w:rPr>
              <w:t>。</w:t>
            </w:r>
          </w:p>
          <w:p w14:paraId="0347F757">
            <w:pPr>
              <w:widowControl/>
              <w:spacing w:line="360" w:lineRule="auto"/>
              <w:ind w:firstLine="480" w:firstLineChars="200"/>
              <w:textAlignment w:val="baseline"/>
              <w:rPr>
                <w:rFonts w:ascii="Times New Roman" w:hAnsi="Times New Roman" w:cs="Times New Roman"/>
                <w:color w:val="auto"/>
                <w:sz w:val="24"/>
                <w:u w:val="none" w:color="auto"/>
              </w:rPr>
            </w:pPr>
            <w:r>
              <w:rPr>
                <w:rFonts w:ascii="Times New Roman" w:hAnsi="Times New Roman" w:cs="Times New Roman"/>
                <w:color w:val="auto"/>
                <w:sz w:val="24"/>
                <w:u w:val="none" w:color="auto"/>
              </w:rPr>
              <w:t>根据业主提供资料，项目所购买的搅拌主机的各筒仓顶均自带一个</w:t>
            </w:r>
            <w:r>
              <w:rPr>
                <w:rFonts w:hint="eastAsia" w:ascii="Times New Roman" w:hAnsi="Times New Roman" w:cs="Times New Roman"/>
                <w:color w:val="auto"/>
                <w:sz w:val="24"/>
                <w:u w:val="none" w:color="auto"/>
              </w:rPr>
              <w:t>脉冲布袋除尘器</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eastAsia="zh-CN"/>
              </w:rPr>
              <w:t>一</w:t>
            </w:r>
            <w:r>
              <w:rPr>
                <w:rFonts w:ascii="Times New Roman" w:hAnsi="Times New Roman" w:cs="Times New Roman"/>
                <w:color w:val="auto"/>
                <w:sz w:val="24"/>
                <w:u w:val="none" w:color="auto"/>
              </w:rPr>
              <w:t>套搅拌设计合计</w:t>
            </w:r>
            <w:r>
              <w:rPr>
                <w:rFonts w:hint="eastAsia" w:ascii="Times New Roman" w:hAnsi="Times New Roman" w:cs="Times New Roman"/>
                <w:color w:val="auto"/>
                <w:sz w:val="24"/>
                <w:u w:val="none" w:color="auto"/>
                <w:lang w:val="en-US" w:eastAsia="zh-CN"/>
              </w:rPr>
              <w:t>5</w:t>
            </w:r>
            <w:r>
              <w:rPr>
                <w:rFonts w:ascii="Times New Roman" w:hAnsi="Times New Roman" w:cs="Times New Roman"/>
                <w:color w:val="auto"/>
                <w:sz w:val="24"/>
                <w:u w:val="none" w:color="auto"/>
              </w:rPr>
              <w:t>个筒仓</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2条生产线</w:t>
            </w:r>
            <w:r>
              <w:rPr>
                <w:rFonts w:ascii="Times New Roman" w:hAnsi="Times New Roman" w:cs="Times New Roman"/>
                <w:color w:val="auto"/>
                <w:sz w:val="24"/>
                <w:u w:val="none" w:color="auto"/>
              </w:rPr>
              <w:t>共设</w:t>
            </w:r>
            <w:r>
              <w:rPr>
                <w:rFonts w:hint="eastAsia" w:ascii="Times New Roman" w:hAnsi="Times New Roman" w:cs="Times New Roman"/>
                <w:color w:val="auto"/>
                <w:sz w:val="24"/>
                <w:u w:val="none" w:color="auto"/>
                <w:lang w:val="en-US" w:eastAsia="zh-CN"/>
              </w:rPr>
              <w:t>10</w:t>
            </w:r>
            <w:r>
              <w:rPr>
                <w:rFonts w:ascii="Times New Roman" w:hAnsi="Times New Roman" w:cs="Times New Roman"/>
                <w:color w:val="auto"/>
                <w:sz w:val="24"/>
                <w:u w:val="none" w:color="auto"/>
              </w:rPr>
              <w:t>套</w:t>
            </w:r>
            <w:r>
              <w:rPr>
                <w:rFonts w:hint="eastAsia" w:ascii="Times New Roman" w:hAnsi="Times New Roman" w:cs="Times New Roman"/>
                <w:color w:val="auto"/>
                <w:sz w:val="24"/>
                <w:u w:val="none" w:color="auto"/>
              </w:rPr>
              <w:t>脉冲布袋除尘器</w:t>
            </w:r>
            <w:r>
              <w:rPr>
                <w:rFonts w:ascii="Times New Roman" w:hAnsi="Times New Roman" w:cs="Times New Roman"/>
                <w:color w:val="auto"/>
                <w:sz w:val="24"/>
                <w:u w:val="none" w:color="auto"/>
              </w:rPr>
              <w:t>；除尘器除尘效率可达99.7%，则筒仓粉尘排放量为</w:t>
            </w:r>
            <w:r>
              <w:rPr>
                <w:rFonts w:hint="eastAsia" w:ascii="Times New Roman" w:hAnsi="Times New Roman" w:cs="Times New Roman"/>
                <w:color w:val="auto"/>
                <w:sz w:val="24"/>
                <w:u w:val="none" w:color="auto"/>
                <w:lang w:val="en-US" w:eastAsia="zh-CN"/>
              </w:rPr>
              <w:t>0.52</w:t>
            </w:r>
            <w:r>
              <w:rPr>
                <w:rFonts w:ascii="Times New Roman" w:hAnsi="Times New Roman" w:cs="Times New Roman"/>
                <w:color w:val="auto"/>
                <w:sz w:val="24"/>
                <w:u w:val="none" w:color="auto"/>
              </w:rPr>
              <w:t>t/a，经除尘器处理后的含尘废气将在搅拌楼内自然沉降。项目生产车间设于封闭式厂房内，搅拌楼无组织粉尘对外环境影响较小。</w:t>
            </w:r>
          </w:p>
          <w:p w14:paraId="1912E75C">
            <w:pPr>
              <w:widowControl/>
              <w:spacing w:line="360" w:lineRule="auto"/>
              <w:ind w:firstLine="482" w:firstLineChars="200"/>
              <w:jc w:val="left"/>
              <w:textAlignment w:val="baseline"/>
              <w:rPr>
                <w:rFonts w:ascii="Times New Roman" w:hAnsi="Times New Roman" w:cs="Times New Roman"/>
                <w:b/>
                <w:color w:val="auto"/>
                <w:sz w:val="24"/>
                <w:szCs w:val="32"/>
                <w:u w:val="none" w:color="auto"/>
              </w:rPr>
            </w:pPr>
            <w:r>
              <w:rPr>
                <w:rFonts w:ascii="Times New Roman" w:hAnsi="Times New Roman" w:cs="Times New Roman"/>
                <w:b/>
                <w:color w:val="auto"/>
                <w:sz w:val="24"/>
                <w:szCs w:val="32"/>
                <w:u w:val="none" w:color="auto"/>
              </w:rPr>
              <w:t>（2）</w:t>
            </w:r>
            <w:r>
              <w:rPr>
                <w:rFonts w:ascii="Times New Roman" w:hAnsi="Times New Roman" w:cs="Times New Roman"/>
                <w:b/>
                <w:color w:val="auto"/>
                <w:sz w:val="24"/>
                <w:u w:val="none" w:color="auto"/>
              </w:rPr>
              <w:t>投料及搅拌粉尘</w:t>
            </w:r>
          </w:p>
          <w:p w14:paraId="01AA4414">
            <w:pPr>
              <w:widowControl/>
              <w:spacing w:line="360" w:lineRule="auto"/>
              <w:ind w:firstLine="480" w:firstLineChars="200"/>
              <w:jc w:val="left"/>
              <w:textAlignment w:val="baseline"/>
              <w:rPr>
                <w:rFonts w:ascii="Times New Roman" w:hAnsi="Times New Roman" w:cs="Times New Roman"/>
                <w:color w:val="auto"/>
                <w:sz w:val="24"/>
                <w:u w:val="none" w:color="auto"/>
              </w:rPr>
            </w:pPr>
            <w:r>
              <w:rPr>
                <w:rFonts w:ascii="Times New Roman" w:hAnsi="Times New Roman" w:cs="Times New Roman"/>
                <w:color w:val="auto"/>
                <w:sz w:val="24"/>
                <w:u w:val="none" w:color="auto"/>
              </w:rPr>
              <w:t>商品混凝土生产过程中，骨料通过料斗落入料斗下方的皮带输送机上，由水平皮带输送机将骨料输送到斜胶带，输送皮带采取封闭措施。本项目进料口设于封闭的砂石料场内，且在生产线的配料机及搅拌机上部配套安装集气罩同时配套有皮带遮蔽帘，用于收集该过程中产生的粉尘，投料和搅拌过程中产生的粉尘经收集后经搅拌主机配套的</w:t>
            </w:r>
            <w:r>
              <w:rPr>
                <w:rFonts w:hint="eastAsia" w:ascii="Times New Roman" w:hAnsi="Times New Roman" w:cs="Times New Roman"/>
                <w:color w:val="auto"/>
                <w:sz w:val="24"/>
                <w:u w:val="none" w:color="auto"/>
                <w:lang w:eastAsia="zh-CN"/>
              </w:rPr>
              <w:t>脉冲布袋除尘器</w:t>
            </w:r>
            <w:r>
              <w:rPr>
                <w:rFonts w:ascii="Times New Roman" w:hAnsi="Times New Roman" w:cs="Times New Roman"/>
                <w:color w:val="auto"/>
                <w:sz w:val="24"/>
                <w:u w:val="none" w:color="auto"/>
              </w:rPr>
              <w:t>处理，经除尘器处理后的含尘废气将在搅拌楼内自然沉降。项目生产车间设于封闭式厂房内，生产车间无组织粉尘对外环境影响较小。</w:t>
            </w:r>
          </w:p>
          <w:p w14:paraId="6C9FCBB4">
            <w:pPr>
              <w:widowControl/>
              <w:spacing w:line="360" w:lineRule="auto"/>
              <w:ind w:firstLine="480" w:firstLineChars="200"/>
              <w:textAlignment w:val="baseline"/>
              <w:rPr>
                <w:rFonts w:ascii="Times New Roman" w:hAnsi="Times New Roman" w:cs="Times New Roman"/>
                <w:color w:val="auto"/>
                <w:sz w:val="24"/>
                <w:u w:val="none"/>
              </w:rPr>
            </w:pPr>
            <w:r>
              <w:rPr>
                <w:rFonts w:ascii="Times New Roman" w:hAnsi="Times New Roman" w:cs="Times New Roman"/>
                <w:color w:val="auto"/>
                <w:sz w:val="24"/>
                <w:u w:val="none"/>
              </w:rPr>
              <w:t>根据《排放源统计调查产排污核算方法和系数手册》</w:t>
            </w:r>
            <w:r>
              <w:rPr>
                <w:rFonts w:hint="eastAsia" w:ascii="Times New Roman" w:hAnsi="Times New Roman" w:cs="Times New Roman"/>
                <w:color w:val="auto"/>
                <w:sz w:val="24"/>
                <w:u w:val="none"/>
              </w:rPr>
              <w:t>（</w:t>
            </w:r>
            <w:r>
              <w:rPr>
                <w:rFonts w:ascii="Times New Roman" w:hAnsi="Times New Roman" w:cs="Times New Roman"/>
                <w:color w:val="auto"/>
                <w:sz w:val="24"/>
                <w:u w:val="none"/>
              </w:rPr>
              <w:t>2021版</w:t>
            </w:r>
            <w:r>
              <w:rPr>
                <w:rFonts w:hint="eastAsia" w:ascii="Times New Roman" w:hAnsi="Times New Roman" w:cs="Times New Roman"/>
                <w:color w:val="auto"/>
                <w:sz w:val="24"/>
                <w:u w:val="none"/>
              </w:rPr>
              <w:t>）</w:t>
            </w:r>
            <w:r>
              <w:rPr>
                <w:rFonts w:ascii="Times New Roman" w:hAnsi="Times New Roman" w:cs="Times New Roman"/>
                <w:bCs/>
                <w:color w:val="auto"/>
                <w:sz w:val="24"/>
                <w:u w:val="none"/>
              </w:rPr>
              <w:t>中3021水泥制品制造，其物料混合搅拌粉尘产生量按0.1</w:t>
            </w:r>
            <w:r>
              <w:rPr>
                <w:rFonts w:hint="eastAsia" w:ascii="Times New Roman" w:hAnsi="Times New Roman" w:cs="Times New Roman"/>
                <w:bCs/>
                <w:color w:val="auto"/>
                <w:sz w:val="24"/>
                <w:u w:val="none"/>
              </w:rPr>
              <w:t>3</w:t>
            </w:r>
            <w:r>
              <w:rPr>
                <w:rFonts w:ascii="Times New Roman" w:hAnsi="Times New Roman" w:cs="Times New Roman"/>
                <w:bCs/>
                <w:color w:val="auto"/>
                <w:sz w:val="24"/>
                <w:u w:val="none"/>
              </w:rPr>
              <w:t>kg/t-产品计。</w:t>
            </w:r>
            <w:r>
              <w:rPr>
                <w:rFonts w:ascii="Times New Roman" w:hAnsi="Times New Roman" w:cs="Times New Roman"/>
                <w:color w:val="auto"/>
                <w:sz w:val="24"/>
                <w:u w:val="none"/>
              </w:rPr>
              <w:t>本项目年产</w:t>
            </w:r>
            <w:r>
              <w:rPr>
                <w:rFonts w:hint="eastAsia" w:ascii="Times New Roman" w:hAnsi="Times New Roman" w:eastAsia="宋体" w:cs="Times New Roman"/>
                <w:color w:val="auto"/>
                <w:sz w:val="24"/>
                <w:szCs w:val="24"/>
                <w:u w:val="none"/>
              </w:rPr>
              <w:t>60</w:t>
            </w:r>
            <w:r>
              <w:rPr>
                <w:rFonts w:ascii="Times New Roman" w:hAnsi="Times New Roman" w:cs="Times New Roman"/>
                <w:color w:val="auto"/>
                <w:sz w:val="24"/>
                <w:u w:val="none"/>
              </w:rPr>
              <w:t>万立方商品混凝土（约</w:t>
            </w:r>
            <w:r>
              <w:rPr>
                <w:rFonts w:hint="eastAsia" w:ascii="Times New Roman" w:hAnsi="Times New Roman" w:cs="Times New Roman"/>
                <w:color w:val="auto"/>
                <w:sz w:val="24"/>
                <w:u w:val="none"/>
              </w:rPr>
              <w:t>144</w:t>
            </w:r>
            <w:r>
              <w:rPr>
                <w:rFonts w:ascii="Times New Roman" w:hAnsi="Times New Roman" w:cs="Times New Roman"/>
                <w:color w:val="auto"/>
                <w:sz w:val="24"/>
                <w:u w:val="none"/>
              </w:rPr>
              <w:t>万吨），则本项目投料及搅拌粉尘量为</w:t>
            </w:r>
            <w:r>
              <w:rPr>
                <w:rFonts w:hint="eastAsia" w:ascii="Times New Roman" w:hAnsi="Times New Roman" w:cs="Times New Roman"/>
                <w:color w:val="auto"/>
                <w:sz w:val="24"/>
                <w:u w:val="none"/>
              </w:rPr>
              <w:t>187.2</w:t>
            </w:r>
            <w:r>
              <w:rPr>
                <w:rFonts w:ascii="Times New Roman" w:hAnsi="Times New Roman" w:cs="Times New Roman"/>
                <w:color w:val="auto"/>
                <w:sz w:val="24"/>
                <w:u w:val="none"/>
              </w:rPr>
              <w:t>t/a，通过自带的</w:t>
            </w:r>
            <w:r>
              <w:rPr>
                <w:color w:val="auto"/>
                <w:u w:val="none"/>
              </w:rPr>
              <w:fldChar w:fldCharType="begin"/>
            </w:r>
            <w:r>
              <w:rPr>
                <w:color w:val="auto"/>
                <w:u w:val="none"/>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auto"/>
                <w:u w:val="none"/>
              </w:rPr>
              <w:fldChar w:fldCharType="separate"/>
            </w:r>
            <w:r>
              <w:rPr>
                <w:rFonts w:ascii="Times New Roman" w:hAnsi="Times New Roman" w:cs="Times New Roman"/>
                <w:color w:val="auto"/>
                <w:sz w:val="24"/>
                <w:u w:val="none"/>
              </w:rPr>
              <w:t>脉冲布袋除尘器</w:t>
            </w:r>
            <w:r>
              <w:rPr>
                <w:rFonts w:ascii="Times New Roman" w:hAnsi="Times New Roman" w:cs="Times New Roman"/>
                <w:color w:val="auto"/>
                <w:sz w:val="24"/>
                <w:u w:val="none"/>
              </w:rPr>
              <w:fldChar w:fldCharType="end"/>
            </w:r>
            <w:r>
              <w:rPr>
                <w:rFonts w:ascii="Times New Roman" w:hAnsi="Times New Roman" w:cs="Times New Roman"/>
                <w:color w:val="auto"/>
                <w:sz w:val="24"/>
                <w:u w:val="none"/>
              </w:rPr>
              <w:t>处理后的排放量为</w:t>
            </w:r>
            <w:r>
              <w:rPr>
                <w:rFonts w:hint="eastAsia" w:ascii="Times New Roman" w:hAnsi="Times New Roman" w:cs="Times New Roman"/>
                <w:color w:val="auto"/>
                <w:sz w:val="24"/>
                <w:u w:val="none"/>
              </w:rPr>
              <w:t>0.56</w:t>
            </w:r>
            <w:r>
              <w:rPr>
                <w:rFonts w:ascii="Times New Roman" w:hAnsi="Times New Roman" w:cs="Times New Roman"/>
                <w:color w:val="auto"/>
                <w:sz w:val="24"/>
                <w:u w:val="none"/>
              </w:rPr>
              <w:t>t/a（去除效率取99.7%），在搅拌楼内自然沉降。</w:t>
            </w:r>
          </w:p>
          <w:p w14:paraId="143143ED">
            <w:pPr>
              <w:widowControl/>
              <w:numPr>
                <w:ilvl w:val="0"/>
                <w:numId w:val="0"/>
              </w:numPr>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kern w:val="2"/>
                <w:sz w:val="24"/>
                <w:szCs w:val="24"/>
                <w:u w:val="none" w:color="auto"/>
                <w:lang w:val="en-US" w:eastAsia="zh-CN" w:bidi="ar-SA"/>
              </w:rPr>
              <w:t>（</w:t>
            </w:r>
            <w:r>
              <w:rPr>
                <w:rFonts w:hint="eastAsia" w:ascii="Times New Roman" w:hAnsi="Times New Roman" w:cs="Times New Roman"/>
                <w:color w:val="auto"/>
                <w:kern w:val="2"/>
                <w:sz w:val="24"/>
                <w:szCs w:val="24"/>
                <w:u w:val="none" w:color="auto"/>
                <w:lang w:val="en-US" w:eastAsia="zh-CN" w:bidi="ar-SA"/>
              </w:rPr>
              <w:t>3</w:t>
            </w:r>
            <w:r>
              <w:rPr>
                <w:rFonts w:hint="default" w:ascii="Times New Roman" w:hAnsi="Times New Roman" w:cs="Times New Roman"/>
                <w:color w:val="auto"/>
                <w:kern w:val="2"/>
                <w:sz w:val="24"/>
                <w:szCs w:val="24"/>
                <w:u w:val="none" w:color="auto"/>
                <w:lang w:val="en-US" w:eastAsia="zh-CN" w:bidi="ar-SA"/>
              </w:rPr>
              <w:t>）原料</w:t>
            </w:r>
            <w:r>
              <w:rPr>
                <w:rFonts w:hint="default" w:ascii="Times New Roman" w:hAnsi="Times New Roman" w:cs="Times New Roman"/>
                <w:color w:val="auto"/>
                <w:sz w:val="24"/>
                <w:u w:val="none" w:color="auto"/>
                <w:lang w:val="en-US" w:eastAsia="zh-CN"/>
              </w:rPr>
              <w:t>堆存</w:t>
            </w:r>
            <w:r>
              <w:rPr>
                <w:rFonts w:hint="default" w:ascii="Times New Roman" w:hAnsi="Times New Roman" w:cs="Times New Roman"/>
                <w:color w:val="auto"/>
                <w:sz w:val="24"/>
                <w:u w:val="none" w:color="auto"/>
              </w:rPr>
              <w:t>扬尘</w:t>
            </w:r>
          </w:p>
          <w:p w14:paraId="06FB00A6">
            <w:pPr>
              <w:snapToGrid w:val="0"/>
              <w:spacing w:line="360" w:lineRule="auto"/>
              <w:ind w:firstLine="480" w:firstLineChars="200"/>
              <w:jc w:val="both"/>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u w:val="none" w:color="auto"/>
              </w:rPr>
              <w:t>根据《排放源统计调查产排污核算方法和系数手册》</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生态</w:t>
            </w:r>
            <w:r>
              <w:rPr>
                <w:rFonts w:hint="default" w:ascii="Times New Roman" w:hAnsi="Times New Roman" w:cs="Times New Roman"/>
                <w:color w:val="auto"/>
                <w:sz w:val="24"/>
                <w:u w:val="none" w:color="auto"/>
                <w:lang w:eastAsia="zh-CN"/>
              </w:rPr>
              <w:t>环境部公告2021年 第24号）</w:t>
            </w:r>
            <w:r>
              <w:rPr>
                <w:rFonts w:hint="default" w:ascii="Times New Roman" w:hAnsi="Times New Roman" w:cs="Times New Roman"/>
                <w:color w:val="auto"/>
                <w:sz w:val="24"/>
                <w:u w:val="none" w:color="auto"/>
                <w:lang w:val="en-US" w:eastAsia="zh-CN"/>
              </w:rPr>
              <w:t>中</w:t>
            </w:r>
            <w:r>
              <w:rPr>
                <w:rFonts w:hint="default" w:ascii="Times New Roman" w:hAnsi="Times New Roman" w:cs="Times New Roman"/>
                <w:color w:val="auto"/>
                <w:sz w:val="24"/>
                <w:u w:val="none" w:color="auto"/>
              </w:rPr>
              <w:t>附</w:t>
            </w:r>
            <w:r>
              <w:rPr>
                <w:rFonts w:hint="default" w:ascii="Times New Roman" w:hAnsi="Times New Roman" w:cs="Times New Roman"/>
                <w:color w:val="auto"/>
                <w:sz w:val="24"/>
                <w:u w:val="none" w:color="auto"/>
                <w:lang w:val="en-US" w:eastAsia="zh-CN"/>
              </w:rPr>
              <w:t>表</w:t>
            </w:r>
            <w:r>
              <w:rPr>
                <w:rFonts w:hint="default" w:ascii="Times New Roman" w:hAnsi="Times New Roman" w:cs="Times New Roman"/>
                <w:color w:val="auto"/>
                <w:sz w:val="24"/>
                <w:u w:val="none" w:color="auto"/>
              </w:rPr>
              <w:t>2《工业源固体物料堆场颗粒物核算系数手册》</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计算本项目原料堆存扬尘产排情况。</w:t>
            </w:r>
          </w:p>
          <w:p w14:paraId="15FA2751">
            <w:pPr>
              <w:snapToGrid w:val="0"/>
              <w:spacing w:line="360" w:lineRule="auto"/>
              <w:ind w:firstLine="480" w:firstLineChars="200"/>
              <w:jc w:val="both"/>
              <w:rPr>
                <w:rFonts w:hint="default" w:ascii="Times New Roman" w:hAnsi="Times New Roman" w:cs="Times New Roman"/>
                <w:color w:val="auto"/>
                <w:sz w:val="24"/>
                <w:u w:val="none" w:color="auto"/>
              </w:rPr>
            </w:pPr>
            <w:r>
              <w:rPr>
                <w:rFonts w:hint="default" w:ascii="Times New Roman" w:hAnsi="Times New Roman" w:eastAsia="宋体" w:cs="Times New Roman"/>
                <w:b w:val="0"/>
                <w:bCs w:val="0"/>
                <w:color w:val="auto"/>
                <w:sz w:val="24"/>
                <w:u w:val="none" w:color="auto"/>
                <w:lang w:val="en-US" w:eastAsia="zh-CN"/>
              </w:rPr>
              <w:t>①</w:t>
            </w:r>
            <w:r>
              <w:rPr>
                <w:rFonts w:hint="default" w:ascii="Times New Roman" w:hAnsi="Times New Roman" w:cs="Times New Roman"/>
                <w:color w:val="auto"/>
                <w:sz w:val="24"/>
                <w:u w:val="none" w:color="auto"/>
                <w:lang w:val="en-US" w:eastAsia="zh-CN"/>
              </w:rPr>
              <w:t>原料堆存扬尘</w:t>
            </w:r>
            <w:r>
              <w:rPr>
                <w:rFonts w:hint="default" w:ascii="Times New Roman" w:hAnsi="Times New Roman" w:cs="Times New Roman"/>
                <w:b w:val="0"/>
                <w:bCs w:val="0"/>
                <w:color w:val="auto"/>
                <w:sz w:val="24"/>
                <w:u w:val="none" w:color="auto"/>
                <w:lang w:eastAsia="zh-CN"/>
              </w:rPr>
              <w:t>包括</w:t>
            </w:r>
            <w:r>
              <w:rPr>
                <w:rFonts w:hint="default" w:ascii="Times New Roman" w:hAnsi="Times New Roman" w:cs="Times New Roman"/>
                <w:b/>
                <w:bCs/>
                <w:color w:val="auto"/>
                <w:sz w:val="24"/>
                <w:u w:val="none" w:color="auto"/>
                <w:lang w:eastAsia="zh-CN"/>
              </w:rPr>
              <w:t>装卸</w:t>
            </w:r>
            <w:r>
              <w:rPr>
                <w:rFonts w:hint="default" w:ascii="Times New Roman" w:hAnsi="Times New Roman" w:cs="Times New Roman"/>
                <w:b/>
                <w:bCs/>
                <w:color w:val="auto"/>
                <w:sz w:val="24"/>
                <w:u w:val="none" w:color="auto"/>
                <w:lang w:val="en-US" w:eastAsia="zh-CN"/>
              </w:rPr>
              <w:t>扬</w:t>
            </w:r>
            <w:r>
              <w:rPr>
                <w:rFonts w:hint="default" w:ascii="Times New Roman" w:hAnsi="Times New Roman" w:cs="Times New Roman"/>
                <w:b/>
                <w:bCs/>
                <w:color w:val="auto"/>
                <w:sz w:val="24"/>
                <w:u w:val="none" w:color="auto"/>
                <w:lang w:eastAsia="zh-CN"/>
              </w:rPr>
              <w:t>尘</w:t>
            </w:r>
            <w:r>
              <w:rPr>
                <w:rFonts w:hint="default" w:ascii="Times New Roman" w:hAnsi="Times New Roman" w:cs="Times New Roman"/>
                <w:b w:val="0"/>
                <w:bCs w:val="0"/>
                <w:color w:val="auto"/>
                <w:sz w:val="24"/>
                <w:u w:val="none" w:color="auto"/>
                <w:lang w:eastAsia="zh-CN"/>
              </w:rPr>
              <w:t>和</w:t>
            </w:r>
            <w:r>
              <w:rPr>
                <w:rFonts w:hint="default" w:ascii="Times New Roman" w:hAnsi="Times New Roman" w:cs="Times New Roman"/>
                <w:b/>
                <w:bCs/>
                <w:color w:val="auto"/>
                <w:sz w:val="24"/>
                <w:u w:val="none" w:color="auto"/>
                <w:lang w:eastAsia="zh-CN"/>
              </w:rPr>
              <w:t>风蚀扬尘</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其</w:t>
            </w:r>
            <w:r>
              <w:rPr>
                <w:rFonts w:hint="default" w:ascii="Times New Roman" w:hAnsi="Times New Roman" w:cs="Times New Roman"/>
                <w:color w:val="auto"/>
                <w:sz w:val="24"/>
                <w:u w:val="none" w:color="auto"/>
                <w:lang w:eastAsia="zh-CN"/>
              </w:rPr>
              <w:t>产生量核算公式如下：</w:t>
            </w:r>
          </w:p>
          <w:p w14:paraId="2545E21F">
            <w:pPr>
              <w:tabs>
                <w:tab w:val="left" w:pos="5010"/>
              </w:tabs>
              <w:snapToGrid w:val="0"/>
              <w:spacing w:line="360" w:lineRule="auto"/>
              <w:jc w:val="center"/>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position w:val="-14"/>
                <w:sz w:val="24"/>
                <w:u w:val="none" w:color="auto"/>
                <w:lang w:eastAsia="zh-CN"/>
              </w:rPr>
              <w:object>
                <v:shape id="_x0000_i1028" o:spt="75" type="#_x0000_t75" style="height:22.7pt;width:280.35pt;" o:ole="t" filled="f" o:preferrelative="t" stroked="f" coordsize="21600,21600">
                  <v:path/>
                  <v:fill on="f" focussize="0,0"/>
                  <v:stroke on="f"/>
                  <v:imagedata r:id="rId14" o:title=""/>
                  <o:lock v:ext="edit" aspectratio="t"/>
                  <w10:wrap type="none"/>
                  <w10:anchorlock/>
                </v:shape>
                <o:OLEObject Type="Embed" ProgID="Equation.KSEE3" ShapeID="_x0000_i1028" DrawAspect="Content" ObjectID="_1468075728" r:id="rId13">
                  <o:LockedField>false</o:LockedField>
                </o:OLEObject>
              </w:object>
            </w:r>
          </w:p>
          <w:p w14:paraId="5CC10D0C">
            <w:pPr>
              <w:pStyle w:val="31"/>
              <w:ind w:firstLine="48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式中：P</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u w:val="none" w:color="auto"/>
              </w:rPr>
              <w:t>颗粒物产生量</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eastAsia="宋体" w:cs="Times New Roman"/>
                <w:color w:val="auto"/>
                <w:u w:val="none" w:color="auto"/>
              </w:rPr>
              <w:t>；</w:t>
            </w:r>
          </w:p>
          <w:p w14:paraId="0E660EEA">
            <w:pPr>
              <w:pStyle w:val="31"/>
              <w:ind w:firstLine="1200" w:firstLineChars="5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ZC</w:t>
            </w:r>
            <w:r>
              <w:rPr>
                <w:rFonts w:hint="default" w:ascii="Times New Roman" w:hAnsi="Times New Roman" w:eastAsia="宋体" w:cs="Times New Roman"/>
                <w:color w:val="auto"/>
                <w:u w:val="none" w:color="auto"/>
                <w:vertAlign w:val="subscript"/>
              </w:rPr>
              <w:t>y</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u w:val="none" w:color="auto"/>
              </w:rPr>
              <w:t>装卸扬尘产生量</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eastAsia="宋体" w:cs="Times New Roman"/>
                <w:color w:val="auto"/>
                <w:u w:val="none" w:color="auto"/>
              </w:rPr>
              <w:t>；</w:t>
            </w:r>
          </w:p>
          <w:p w14:paraId="207F183E">
            <w:pPr>
              <w:pStyle w:val="31"/>
              <w:ind w:firstLine="1200" w:firstLineChars="5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FC</w:t>
            </w:r>
            <w:r>
              <w:rPr>
                <w:rFonts w:hint="default" w:ascii="Times New Roman" w:hAnsi="Times New Roman" w:eastAsia="宋体" w:cs="Times New Roman"/>
                <w:color w:val="auto"/>
                <w:u w:val="none" w:color="auto"/>
                <w:vertAlign w:val="subscript"/>
              </w:rPr>
              <w:t>y</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u w:val="none" w:color="auto"/>
              </w:rPr>
              <w:t>风蚀扬尘产生量</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eastAsia="宋体" w:cs="Times New Roman"/>
                <w:color w:val="auto"/>
                <w:u w:val="none" w:color="auto"/>
              </w:rPr>
              <w:t>；</w:t>
            </w:r>
          </w:p>
          <w:p w14:paraId="0527EB4F">
            <w:pPr>
              <w:pStyle w:val="31"/>
              <w:ind w:firstLine="1200" w:firstLineChars="5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N</w:t>
            </w:r>
            <w:r>
              <w:rPr>
                <w:rFonts w:hint="default" w:ascii="Times New Roman" w:hAnsi="Times New Roman" w:eastAsia="宋体" w:cs="Times New Roman"/>
                <w:color w:val="auto"/>
                <w:u w:val="none" w:color="auto"/>
                <w:vertAlign w:val="subscript"/>
                <w:lang w:val="en-US" w:eastAsia="zh-CN"/>
              </w:rPr>
              <w:t>C</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u w:val="none" w:color="auto"/>
              </w:rPr>
              <w:t>年物料运载车次</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eastAsia="宋体" w:cs="Times New Roman"/>
                <w:color w:val="auto"/>
                <w:u w:val="none" w:color="auto"/>
              </w:rPr>
              <w:t>；</w:t>
            </w:r>
          </w:p>
          <w:p w14:paraId="121C20EE">
            <w:pPr>
              <w:pStyle w:val="31"/>
              <w:ind w:firstLine="1200" w:firstLineChars="5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D</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u w:val="none" w:color="auto"/>
              </w:rPr>
              <w:t>单车平均运载量</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eastAsia="宋体" w:cs="Times New Roman"/>
                <w:color w:val="auto"/>
                <w:sz w:val="24"/>
                <w:u w:val="none" w:color="auto"/>
                <w:lang w:val="en-US" w:eastAsia="zh-CN"/>
              </w:rPr>
              <w:t>车</w:t>
            </w:r>
            <w:r>
              <w:rPr>
                <w:rFonts w:hint="default" w:ascii="Times New Roman" w:hAnsi="Times New Roman" w:eastAsia="宋体" w:cs="Times New Roman"/>
                <w:color w:val="auto"/>
                <w:u w:val="none" w:color="auto"/>
              </w:rPr>
              <w:t>；</w:t>
            </w:r>
          </w:p>
          <w:p w14:paraId="7BB2D5D0">
            <w:pPr>
              <w:tabs>
                <w:tab w:val="left" w:pos="5010"/>
              </w:tabs>
              <w:snapToGrid w:val="0"/>
              <w:spacing w:line="360" w:lineRule="auto"/>
              <w:ind w:firstLine="1200" w:firstLineChars="500"/>
              <w:jc w:val="left"/>
              <w:rPr>
                <w:rFonts w:hint="default" w:ascii="Times New Roman" w:hAnsi="Times New Roman" w:eastAsia="宋体"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w:t>
            </w:r>
            <w:r>
              <w:rPr>
                <w:rFonts w:hint="default" w:ascii="Times New Roman" w:hAnsi="Times New Roman" w:cs="Times New Roman"/>
                <w:color w:val="auto"/>
                <w:sz w:val="24"/>
                <w:u w:val="none" w:color="auto"/>
              </w:rPr>
              <w:t>a/b</w:t>
            </w:r>
            <w:r>
              <w:rPr>
                <w:rFonts w:hint="default" w:ascii="Times New Roman" w:hAnsi="Times New Roman" w:cs="Times New Roman"/>
                <w:color w:val="auto"/>
                <w:sz w:val="24"/>
                <w:u w:val="none" w:color="auto"/>
                <w:lang w:val="en-US" w:eastAsia="zh-CN"/>
              </w:rPr>
              <w:t>)</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装卸扬尘概化系数</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kg/t，其中</w:t>
            </w:r>
            <w:r>
              <w:rPr>
                <w:rFonts w:hint="default" w:ascii="Times New Roman" w:hAnsi="Times New Roman" w:cs="Times New Roman"/>
                <w:color w:val="auto"/>
                <w:sz w:val="24"/>
                <w:u w:val="none" w:color="auto"/>
              </w:rPr>
              <w:t>a 指各省风速概化系数（湖南省0.0008），b指物料含水率概化系数（参照</w:t>
            </w:r>
            <w:r>
              <w:rPr>
                <w:rFonts w:hint="eastAsia" w:ascii="Times New Roman" w:hAnsi="Times New Roman" w:cs="Times New Roman"/>
                <w:color w:val="auto"/>
                <w:sz w:val="24"/>
                <w:u w:val="none" w:color="auto"/>
                <w:lang w:val="en-US" w:eastAsia="zh-CN"/>
              </w:rPr>
              <w:t>各种石灰石产品</w:t>
            </w:r>
            <w:r>
              <w:rPr>
                <w:rFonts w:hint="default" w:ascii="Times New Roman" w:hAnsi="Times New Roman" w:cs="Times New Roman"/>
                <w:color w:val="auto"/>
                <w:sz w:val="24"/>
                <w:u w:val="none" w:color="auto"/>
              </w:rPr>
              <w:t>取值0.00</w:t>
            </w:r>
            <w:r>
              <w:rPr>
                <w:rFonts w:hint="eastAsia" w:ascii="Times New Roman" w:hAnsi="Times New Roman" w:cs="Times New Roman"/>
                <w:color w:val="auto"/>
                <w:sz w:val="24"/>
                <w:u w:val="none" w:color="auto"/>
                <w:lang w:val="en-US" w:eastAsia="zh-CN"/>
              </w:rPr>
              <w:t>17</w:t>
            </w:r>
            <w:r>
              <w:rPr>
                <w:rFonts w:hint="default" w:ascii="Times New Roman" w:hAnsi="Times New Roman" w:cs="Times New Roman"/>
                <w:color w:val="auto"/>
                <w:sz w:val="24"/>
                <w:u w:val="none" w:color="auto"/>
              </w:rPr>
              <w:t>）</w:t>
            </w:r>
            <w:r>
              <w:rPr>
                <w:rFonts w:hint="default" w:ascii="Times New Roman" w:hAnsi="Times New Roman" w:cs="Times New Roman"/>
                <w:color w:val="auto"/>
                <w:sz w:val="24"/>
                <w:u w:val="none" w:color="auto"/>
                <w:lang w:val="en-US" w:eastAsia="zh-CN"/>
              </w:rPr>
              <w:t>；</w:t>
            </w:r>
          </w:p>
          <w:p w14:paraId="7740174B">
            <w:pPr>
              <w:tabs>
                <w:tab w:val="left" w:pos="5010"/>
              </w:tabs>
              <w:snapToGrid w:val="0"/>
              <w:spacing w:line="360" w:lineRule="auto"/>
              <w:ind w:firstLine="1200" w:firstLineChars="500"/>
              <w:jc w:val="left"/>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E</w:t>
            </w:r>
            <w:r>
              <w:rPr>
                <w:rFonts w:hint="default" w:ascii="Times New Roman" w:hAnsi="Times New Roman" w:cs="Times New Roman"/>
                <w:color w:val="auto"/>
                <w:sz w:val="24"/>
                <w:u w:val="none" w:color="auto"/>
                <w:vertAlign w:val="subscript"/>
              </w:rPr>
              <w:t>f</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堆场风蚀扬尘概化系数</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kg/m</w:t>
            </w:r>
            <w:r>
              <w:rPr>
                <w:rFonts w:hint="default" w:ascii="Times New Roman" w:hAnsi="Times New Roman" w:cs="Times New Roman"/>
                <w:color w:val="auto"/>
                <w:sz w:val="24"/>
                <w:u w:val="none" w:color="auto"/>
                <w:vertAlign w:val="superscript"/>
                <w:lang w:val="en-US" w:eastAsia="zh-CN"/>
              </w:rPr>
              <w:t>2</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据附录3，取</w:t>
            </w:r>
            <w:r>
              <w:rPr>
                <w:rFonts w:hint="eastAsia" w:ascii="Times New Roman" w:hAnsi="Times New Roman" w:cs="Times New Roman"/>
                <w:color w:val="auto"/>
                <w:sz w:val="24"/>
                <w:u w:val="none" w:color="auto"/>
                <w:lang w:val="en-US" w:eastAsia="zh-CN"/>
              </w:rPr>
              <w:t>3.6062</w:t>
            </w:r>
            <w:r>
              <w:rPr>
                <w:rFonts w:hint="default" w:ascii="Times New Roman" w:hAnsi="Times New Roman" w:cs="Times New Roman"/>
                <w:color w:val="auto"/>
                <w:sz w:val="24"/>
                <w:u w:val="none" w:color="auto"/>
              </w:rPr>
              <w:t>；</w:t>
            </w:r>
          </w:p>
          <w:p w14:paraId="78C85991">
            <w:pPr>
              <w:tabs>
                <w:tab w:val="left" w:pos="5010"/>
              </w:tabs>
              <w:snapToGrid w:val="0"/>
              <w:spacing w:line="360" w:lineRule="auto"/>
              <w:ind w:firstLine="1200" w:firstLineChars="500"/>
              <w:jc w:val="left"/>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S</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堆场占地面积</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m</w:t>
            </w:r>
            <w:r>
              <w:rPr>
                <w:rFonts w:hint="default" w:ascii="Times New Roman" w:hAnsi="Times New Roman" w:cs="Times New Roman"/>
                <w:color w:val="auto"/>
                <w:sz w:val="24"/>
                <w:u w:val="none" w:color="auto"/>
                <w:vertAlign w:val="superscript"/>
              </w:rPr>
              <w:t>2</w:t>
            </w:r>
            <w:r>
              <w:rPr>
                <w:rFonts w:hint="default"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砂石料场10214.08</w:t>
            </w:r>
            <w:r>
              <w:rPr>
                <w:rFonts w:hint="default" w:ascii="Times New Roman" w:hAnsi="Times New Roman" w:cs="Times New Roman"/>
                <w:color w:val="auto"/>
                <w:sz w:val="24"/>
                <w:u w:val="none" w:color="auto"/>
                <w:lang w:val="en-US" w:eastAsia="zh-CN"/>
              </w:rPr>
              <w:t>m</w:t>
            </w:r>
            <w:r>
              <w:rPr>
                <w:rFonts w:hint="default" w:ascii="Times New Roman" w:hAnsi="Times New Roman" w:cs="Times New Roman"/>
                <w:color w:val="auto"/>
                <w:sz w:val="24"/>
                <w:u w:val="none" w:color="auto"/>
                <w:vertAlign w:val="superscript"/>
                <w:lang w:val="en-US" w:eastAsia="zh-CN"/>
              </w:rPr>
              <w:t>2</w:t>
            </w:r>
            <w:r>
              <w:rPr>
                <w:rFonts w:hint="default" w:ascii="Times New Roman" w:hAnsi="Times New Roman" w:cs="Times New Roman"/>
                <w:color w:val="auto"/>
                <w:sz w:val="24"/>
                <w:u w:val="none" w:color="auto"/>
              </w:rPr>
              <w:t>。</w:t>
            </w:r>
          </w:p>
          <w:p w14:paraId="65BB53A0">
            <w:pPr>
              <w:tabs>
                <w:tab w:val="left" w:pos="5010"/>
              </w:tabs>
              <w:snapToGrid w:val="0"/>
              <w:spacing w:line="360" w:lineRule="auto"/>
              <w:ind w:firstLine="480" w:firstLineChars="200"/>
              <w:jc w:val="both"/>
              <w:rPr>
                <w:rFonts w:hint="default" w:ascii="Times New Roman" w:hAnsi="Times New Roman" w:cs="Times New Roman"/>
                <w:color w:val="auto"/>
                <w:sz w:val="24"/>
                <w:u w:val="none" w:color="auto"/>
              </w:rPr>
            </w:pPr>
            <w:r>
              <w:rPr>
                <w:rFonts w:hint="default" w:ascii="Times New Roman" w:hAnsi="Times New Roman" w:cs="Times New Roman"/>
                <w:color w:val="auto"/>
                <w:sz w:val="24"/>
                <w:highlight w:val="none"/>
                <w:u w:val="none" w:color="auto"/>
              </w:rPr>
              <w:t>项目原料</w:t>
            </w:r>
            <w:r>
              <w:rPr>
                <w:rFonts w:hint="eastAsia" w:ascii="Times New Roman" w:hAnsi="Times New Roman" w:cs="Times New Roman"/>
                <w:color w:val="auto"/>
                <w:sz w:val="24"/>
                <w:highlight w:val="none"/>
                <w:u w:val="none" w:color="auto"/>
                <w:lang w:val="en-US" w:eastAsia="zh-CN"/>
              </w:rPr>
              <w:t>砂、碎石</w:t>
            </w:r>
            <w:r>
              <w:rPr>
                <w:rFonts w:hint="default" w:ascii="Times New Roman" w:hAnsi="Times New Roman" w:cs="Times New Roman"/>
                <w:color w:val="auto"/>
                <w:sz w:val="24"/>
                <w:highlight w:val="none"/>
                <w:u w:val="none" w:color="auto"/>
              </w:rPr>
              <w:t>装卸量</w:t>
            </w:r>
            <w:r>
              <w:rPr>
                <w:rFonts w:hint="default" w:ascii="Times New Roman" w:hAnsi="Times New Roman" w:cs="Times New Roman"/>
                <w:color w:val="auto"/>
                <w:sz w:val="24"/>
                <w:highlight w:val="none"/>
                <w:u w:val="none" w:color="auto"/>
                <w:lang w:val="en-US" w:eastAsia="zh-CN"/>
              </w:rPr>
              <w:t>约</w:t>
            </w:r>
            <w:r>
              <w:rPr>
                <w:rFonts w:hint="default" w:ascii="Times New Roman" w:hAnsi="Times New Roman" w:cs="Times New Roman"/>
                <w:color w:val="auto"/>
                <w:sz w:val="24"/>
                <w:highlight w:val="none"/>
                <w:u w:val="none" w:color="auto"/>
              </w:rPr>
              <w:t>为</w:t>
            </w:r>
            <w:r>
              <w:rPr>
                <w:rFonts w:hint="eastAsia" w:ascii="Times New Roman" w:hAnsi="Times New Roman" w:cs="Times New Roman"/>
                <w:color w:val="auto"/>
                <w:sz w:val="24"/>
                <w:highlight w:val="none"/>
                <w:u w:val="none" w:color="auto"/>
                <w:lang w:val="en-US" w:eastAsia="zh-CN"/>
              </w:rPr>
              <w:t>1087200</w:t>
            </w:r>
            <w:r>
              <w:rPr>
                <w:rFonts w:hint="default" w:ascii="Times New Roman" w:hAnsi="Times New Roman" w:cs="Times New Roman"/>
                <w:color w:val="auto"/>
                <w:sz w:val="24"/>
                <w:highlight w:val="none"/>
                <w:u w:val="none" w:color="auto"/>
              </w:rPr>
              <w:t>吨，</w:t>
            </w:r>
            <w:r>
              <w:rPr>
                <w:rFonts w:hint="default" w:ascii="Times New Roman" w:hAnsi="Times New Roman" w:cs="Times New Roman"/>
                <w:color w:val="auto"/>
                <w:sz w:val="24"/>
                <w:u w:val="none" w:color="auto"/>
              </w:rPr>
              <w:t>车</w:t>
            </w:r>
            <w:r>
              <w:rPr>
                <w:rFonts w:hint="eastAsia" w:ascii="Times New Roman" w:hAnsi="Times New Roman" w:cs="Times New Roman"/>
                <w:color w:val="auto"/>
                <w:sz w:val="24"/>
                <w:u w:val="none" w:color="auto"/>
                <w:lang w:val="en-US" w:eastAsia="zh-CN"/>
              </w:rPr>
              <w:t>辆单次</w:t>
            </w:r>
            <w:r>
              <w:rPr>
                <w:rFonts w:hint="default" w:ascii="Times New Roman" w:hAnsi="Times New Roman" w:cs="Times New Roman"/>
                <w:color w:val="auto"/>
                <w:sz w:val="24"/>
                <w:u w:val="none" w:color="auto"/>
              </w:rPr>
              <w:t>载重约为</w:t>
            </w:r>
            <w:r>
              <w:rPr>
                <w:rFonts w:hint="eastAsia" w:ascii="Times New Roman" w:hAnsi="Times New Roman" w:cs="Times New Roman"/>
                <w:color w:val="auto"/>
                <w:sz w:val="24"/>
                <w:u w:val="none" w:color="auto"/>
                <w:lang w:val="en-US" w:eastAsia="zh-CN"/>
              </w:rPr>
              <w:t>30</w:t>
            </w:r>
            <w:r>
              <w:rPr>
                <w:rFonts w:hint="default" w:ascii="Times New Roman" w:hAnsi="Times New Roman" w:cs="Times New Roman"/>
                <w:color w:val="auto"/>
                <w:sz w:val="24"/>
                <w:u w:val="none" w:color="auto"/>
              </w:rPr>
              <w:t>t，则运载车次</w:t>
            </w:r>
            <w:r>
              <w:rPr>
                <w:rFonts w:hint="default" w:ascii="Times New Roman" w:hAnsi="Times New Roman" w:cs="Times New Roman"/>
                <w:color w:val="auto"/>
                <w:sz w:val="24"/>
                <w:u w:val="none" w:color="auto"/>
                <w:lang w:val="en-US" w:eastAsia="zh-CN"/>
              </w:rPr>
              <w:t>约</w:t>
            </w:r>
            <w:r>
              <w:rPr>
                <w:rFonts w:hint="default" w:ascii="Times New Roman" w:hAnsi="Times New Roman" w:cs="Times New Roman"/>
                <w:color w:val="auto"/>
                <w:sz w:val="24"/>
                <w:u w:val="none" w:color="auto"/>
              </w:rPr>
              <w:t>为</w:t>
            </w:r>
            <w:r>
              <w:rPr>
                <w:rFonts w:hint="eastAsia" w:ascii="Times New Roman" w:hAnsi="Times New Roman" w:cs="Times New Roman"/>
                <w:color w:val="auto"/>
                <w:sz w:val="24"/>
                <w:u w:val="none" w:color="auto"/>
                <w:lang w:val="en-US" w:eastAsia="zh-CN"/>
              </w:rPr>
              <w:t>36240</w:t>
            </w:r>
            <w:r>
              <w:rPr>
                <w:rFonts w:hint="default" w:ascii="Times New Roman" w:hAnsi="Times New Roman" w:cs="Times New Roman"/>
                <w:color w:val="auto"/>
                <w:sz w:val="24"/>
                <w:u w:val="none" w:color="auto"/>
              </w:rPr>
              <w:t>次</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原料堆存扬尘</w:t>
            </w:r>
            <w:r>
              <w:rPr>
                <w:rFonts w:hint="default" w:ascii="Times New Roman" w:hAnsi="Times New Roman" w:cs="Times New Roman"/>
                <w:color w:val="auto"/>
                <w:sz w:val="24"/>
                <w:u w:val="none" w:color="auto"/>
              </w:rPr>
              <w:t>产尘量约为</w:t>
            </w:r>
            <w:r>
              <w:rPr>
                <w:rFonts w:hint="eastAsia" w:ascii="Times New Roman" w:hAnsi="Times New Roman" w:cs="Times New Roman"/>
                <w:color w:val="auto"/>
                <w:sz w:val="24"/>
                <w:u w:val="none" w:color="auto"/>
                <w:lang w:val="en-US" w:eastAsia="zh-CN"/>
              </w:rPr>
              <w:t>585.3</w:t>
            </w:r>
            <w:r>
              <w:rPr>
                <w:rFonts w:hint="default" w:ascii="Times New Roman" w:hAnsi="Times New Roman" w:cs="Times New Roman"/>
                <w:color w:val="auto"/>
                <w:sz w:val="24"/>
                <w:u w:val="none" w:color="auto"/>
              </w:rPr>
              <w:t>t/a。</w:t>
            </w:r>
          </w:p>
          <w:p w14:paraId="1B305565">
            <w:pPr>
              <w:snapToGrid w:val="0"/>
              <w:spacing w:line="360" w:lineRule="auto"/>
              <w:ind w:firstLine="480" w:firstLineChars="200"/>
              <w:jc w:val="left"/>
              <w:rPr>
                <w:rFonts w:hint="default" w:ascii="Times New Roman" w:hAnsi="Times New Roman" w:cs="Times New Roman"/>
                <w:color w:val="auto"/>
                <w:sz w:val="24"/>
                <w:u w:val="none" w:color="auto"/>
              </w:rPr>
            </w:pPr>
            <w:r>
              <w:rPr>
                <w:rFonts w:hint="default" w:ascii="Times New Roman" w:hAnsi="Times New Roman" w:eastAsia="宋体" w:cs="Times New Roman"/>
                <w:b w:val="0"/>
                <w:bCs w:val="0"/>
                <w:color w:val="auto"/>
                <w:sz w:val="24"/>
                <w:u w:val="none" w:color="auto"/>
                <w:lang w:val="en-US" w:eastAsia="zh-CN"/>
              </w:rPr>
              <w:t>②</w:t>
            </w:r>
            <w:r>
              <w:rPr>
                <w:rFonts w:hint="default" w:ascii="Times New Roman" w:hAnsi="Times New Roman" w:cs="Times New Roman"/>
                <w:color w:val="auto"/>
                <w:sz w:val="24"/>
                <w:u w:val="none" w:color="auto"/>
                <w:lang w:val="en-US" w:eastAsia="zh-CN"/>
              </w:rPr>
              <w:t>原料堆存扬尘</w:t>
            </w:r>
            <w:r>
              <w:rPr>
                <w:rFonts w:hint="default" w:ascii="Times New Roman" w:hAnsi="Times New Roman" w:cs="Times New Roman"/>
                <w:color w:val="auto"/>
                <w:sz w:val="24"/>
                <w:u w:val="none" w:color="auto"/>
              </w:rPr>
              <w:t>排放量核算公式如下：</w:t>
            </w:r>
          </w:p>
          <w:p w14:paraId="58E9F65B">
            <w:pPr>
              <w:tabs>
                <w:tab w:val="left" w:pos="5010"/>
              </w:tabs>
              <w:snapToGrid w:val="0"/>
              <w:spacing w:line="360" w:lineRule="auto"/>
              <w:jc w:val="center"/>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position w:val="-12"/>
                <w:sz w:val="24"/>
                <w:u w:val="none" w:color="auto"/>
                <w:lang w:eastAsia="zh-CN"/>
              </w:rPr>
              <w:object>
                <v:shape id="_x0000_i1029" o:spt="75" type="#_x0000_t75" style="height:19.85pt;width:137.9pt;" o:ole="t" filled="f" o:preferrelative="t" stroked="f" coordsize="21600,21600">
                  <v:path/>
                  <v:fill on="f" focussize="0,0"/>
                  <v:stroke on="f"/>
                  <v:imagedata r:id="rId16" o:title=""/>
                  <o:lock v:ext="edit" aspectratio="t"/>
                  <w10:wrap type="none"/>
                  <w10:anchorlock/>
                </v:shape>
                <o:OLEObject Type="Embed" ProgID="Equation.KSEE3" ShapeID="_x0000_i1029" DrawAspect="Content" ObjectID="_1468075729" r:id="rId15">
                  <o:LockedField>false</o:LockedField>
                </o:OLEObject>
              </w:object>
            </w:r>
          </w:p>
          <w:p w14:paraId="26A66DB4">
            <w:pPr>
              <w:tabs>
                <w:tab w:val="left" w:pos="5010"/>
              </w:tabs>
              <w:snapToGrid w:val="0"/>
              <w:spacing w:line="360" w:lineRule="auto"/>
              <w:ind w:firstLine="480" w:firstLineChars="200"/>
              <w:jc w:val="left"/>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式中：P</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颗粒物产生量</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cs="Times New Roman"/>
                <w:color w:val="auto"/>
                <w:sz w:val="24"/>
                <w:u w:val="none" w:color="auto"/>
              </w:rPr>
              <w:t>；</w:t>
            </w:r>
          </w:p>
          <w:p w14:paraId="74CCE22D">
            <w:pPr>
              <w:tabs>
                <w:tab w:val="left" w:pos="5010"/>
              </w:tabs>
              <w:snapToGrid w:val="0"/>
              <w:spacing w:line="360" w:lineRule="auto"/>
              <w:ind w:firstLine="1200" w:firstLineChars="500"/>
              <w:jc w:val="left"/>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U</w:t>
            </w:r>
            <w:r>
              <w:rPr>
                <w:rFonts w:hint="default" w:ascii="Times New Roman" w:hAnsi="Times New Roman" w:cs="Times New Roman"/>
                <w:color w:val="auto"/>
                <w:sz w:val="24"/>
                <w:u w:val="none" w:color="auto"/>
                <w:vertAlign w:val="subscript"/>
                <w:lang w:val="en-US" w:eastAsia="zh-CN"/>
              </w:rPr>
              <w:t>C</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颗粒物排放量</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t</w:t>
            </w:r>
            <w:r>
              <w:rPr>
                <w:rFonts w:hint="default" w:ascii="Times New Roman" w:hAnsi="Times New Roman" w:cs="Times New Roman"/>
                <w:color w:val="auto"/>
                <w:sz w:val="24"/>
                <w:u w:val="none" w:color="auto"/>
              </w:rPr>
              <w:t>；</w:t>
            </w:r>
          </w:p>
          <w:p w14:paraId="1490662F">
            <w:pPr>
              <w:tabs>
                <w:tab w:val="left" w:pos="5010"/>
              </w:tabs>
              <w:snapToGrid w:val="0"/>
              <w:spacing w:line="360" w:lineRule="auto"/>
              <w:ind w:firstLine="1200" w:firstLineChars="500"/>
              <w:jc w:val="left"/>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C</w:t>
            </w:r>
            <w:r>
              <w:rPr>
                <w:rFonts w:hint="default" w:ascii="Times New Roman" w:hAnsi="Times New Roman" w:cs="Times New Roman"/>
                <w:color w:val="auto"/>
                <w:sz w:val="24"/>
                <w:u w:val="none" w:color="auto"/>
                <w:vertAlign w:val="subscript"/>
              </w:rPr>
              <w:t>m</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颗粒物控制措施控制效率</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%，据附录4，</w:t>
            </w:r>
            <w:r>
              <w:rPr>
                <w:rFonts w:hint="default" w:ascii="Times New Roman" w:hAnsi="Times New Roman" w:cs="Times New Roman"/>
                <w:color w:val="auto"/>
                <w:sz w:val="24"/>
                <w:u w:val="none" w:color="auto"/>
              </w:rPr>
              <w:t>洒水</w:t>
            </w:r>
            <w:r>
              <w:rPr>
                <w:rFonts w:hint="default"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围挡、</w:t>
            </w:r>
            <w:r>
              <w:rPr>
                <w:rFonts w:hint="default" w:ascii="Times New Roman" w:hAnsi="Times New Roman" w:cs="Times New Roman"/>
                <w:color w:val="auto"/>
                <w:sz w:val="24"/>
                <w:u w:val="none" w:color="auto"/>
                <w:lang w:val="en-US" w:eastAsia="zh-CN"/>
              </w:rPr>
              <w:t>出入车辆冲洗控制效率分别为74%、</w:t>
            </w:r>
            <w:r>
              <w:rPr>
                <w:rFonts w:hint="eastAsia" w:ascii="Times New Roman" w:hAnsi="Times New Roman" w:cs="Times New Roman"/>
                <w:color w:val="auto"/>
                <w:sz w:val="24"/>
                <w:u w:val="none" w:color="auto"/>
                <w:lang w:val="en-US" w:eastAsia="zh-CN"/>
              </w:rPr>
              <w:t>60%、</w:t>
            </w:r>
            <w:r>
              <w:rPr>
                <w:rFonts w:hint="default" w:ascii="Times New Roman" w:hAnsi="Times New Roman" w:cs="Times New Roman"/>
                <w:color w:val="auto"/>
                <w:sz w:val="24"/>
                <w:u w:val="none" w:color="auto"/>
                <w:lang w:val="en-US" w:eastAsia="zh-CN"/>
              </w:rPr>
              <w:t>78%，则综合控制效率可达1-（1-74%）×（1-</w:t>
            </w:r>
            <w:r>
              <w:rPr>
                <w:rFonts w:hint="eastAsia" w:ascii="Times New Roman" w:hAnsi="Times New Roman" w:cs="Times New Roman"/>
                <w:color w:val="auto"/>
                <w:sz w:val="24"/>
                <w:u w:val="none" w:color="auto"/>
                <w:lang w:val="en-US" w:eastAsia="zh-CN"/>
              </w:rPr>
              <w:t>60</w:t>
            </w:r>
            <w:r>
              <w:rPr>
                <w:rFonts w:hint="default" w:ascii="Times New Roman" w:hAnsi="Times New Roman" w:cs="Times New Roman"/>
                <w:color w:val="auto"/>
                <w:sz w:val="24"/>
                <w:u w:val="none" w:color="auto"/>
                <w:lang w:val="en-US" w:eastAsia="zh-CN"/>
              </w:rPr>
              <w:t>%）×（1-78%）</w:t>
            </w:r>
            <w:r>
              <w:rPr>
                <w:rFonts w:hint="default" w:ascii="Arial" w:hAnsi="Arial" w:cs="Arial"/>
                <w:color w:val="auto"/>
                <w:sz w:val="24"/>
                <w:u w:val="none" w:color="auto"/>
                <w:lang w:val="en-US" w:eastAsia="zh-CN"/>
              </w:rPr>
              <w:t>≈</w:t>
            </w:r>
            <w:r>
              <w:rPr>
                <w:rFonts w:hint="default" w:ascii="Times New Roman" w:hAnsi="Times New Roman" w:cs="Times New Roman"/>
                <w:color w:val="auto"/>
                <w:sz w:val="24"/>
                <w:u w:val="none" w:color="auto"/>
                <w:lang w:val="en-US" w:eastAsia="zh-CN"/>
              </w:rPr>
              <w:t>9</w:t>
            </w:r>
            <w:r>
              <w:rPr>
                <w:rFonts w:hint="eastAsia" w:ascii="Times New Roman" w:hAnsi="Times New Roman" w:cs="Times New Roman"/>
                <w:color w:val="auto"/>
                <w:sz w:val="24"/>
                <w:u w:val="none" w:color="auto"/>
                <w:lang w:val="en-US" w:eastAsia="zh-CN"/>
              </w:rPr>
              <w:t>7.5</w:t>
            </w:r>
            <w:r>
              <w:rPr>
                <w:rFonts w:hint="default" w:ascii="Times New Roman" w:hAnsi="Times New Roman" w:cs="Times New Roman"/>
                <w:color w:val="auto"/>
                <w:sz w:val="24"/>
                <w:u w:val="none" w:color="auto"/>
                <w:lang w:val="en-US" w:eastAsia="zh-CN"/>
              </w:rPr>
              <w:t>%</w:t>
            </w:r>
            <w:r>
              <w:rPr>
                <w:rFonts w:hint="default" w:ascii="Times New Roman" w:hAnsi="Times New Roman" w:cs="Times New Roman"/>
                <w:color w:val="auto"/>
                <w:sz w:val="24"/>
                <w:u w:val="none" w:color="auto"/>
              </w:rPr>
              <w:t>；</w:t>
            </w:r>
          </w:p>
          <w:p w14:paraId="4E1ED84F">
            <w:pPr>
              <w:tabs>
                <w:tab w:val="left" w:pos="5010"/>
              </w:tabs>
              <w:snapToGrid w:val="0"/>
              <w:spacing w:line="360" w:lineRule="auto"/>
              <w:ind w:firstLine="1200" w:firstLineChars="500"/>
              <w:jc w:val="left"/>
              <w:rPr>
                <w:rFonts w:hint="default" w:ascii="Times New Roman" w:hAnsi="Times New Roman" w:eastAsia="宋体" w:cs="Times New Roman"/>
                <w:color w:val="auto"/>
                <w:sz w:val="24"/>
                <w:u w:val="none" w:color="auto"/>
                <w:lang w:val="en-US" w:eastAsia="zh-CN"/>
              </w:rPr>
            </w:pPr>
            <w:r>
              <w:rPr>
                <w:rFonts w:hint="default" w:ascii="Times New Roman" w:hAnsi="Times New Roman" w:cs="Times New Roman"/>
                <w:color w:val="auto"/>
                <w:sz w:val="24"/>
                <w:u w:val="none" w:color="auto"/>
              </w:rPr>
              <w:t>T</w:t>
            </w:r>
            <w:r>
              <w:rPr>
                <w:rFonts w:hint="default" w:ascii="Times New Roman" w:hAnsi="Times New Roman" w:cs="Times New Roman"/>
                <w:color w:val="auto"/>
                <w:sz w:val="24"/>
                <w:u w:val="none" w:color="auto"/>
                <w:vertAlign w:val="subscript"/>
              </w:rPr>
              <w:t>m</w:t>
            </w:r>
            <w:r>
              <w:rPr>
                <w:rFonts w:hint="default" w:ascii="Times New Roman" w:hAnsi="Times New Roman" w:eastAsia="宋体" w:cs="Times New Roman"/>
                <w:color w:val="auto"/>
                <w:sz w:val="24"/>
                <w:szCs w:val="24"/>
                <w:u w:val="none" w:color="auto"/>
              </w:rPr>
              <w:t>——</w:t>
            </w:r>
            <w:r>
              <w:rPr>
                <w:rFonts w:hint="default" w:ascii="Times New Roman" w:hAnsi="Times New Roman" w:cs="Times New Roman"/>
                <w:color w:val="auto"/>
                <w:sz w:val="24"/>
                <w:u w:val="none" w:color="auto"/>
              </w:rPr>
              <w:t>堆场类型控制效率</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w:t>
            </w:r>
            <w:r>
              <w:rPr>
                <w:rFonts w:hint="eastAsia" w:ascii="Times New Roman" w:hAnsi="Times New Roman" w:cs="Times New Roman"/>
                <w:color w:val="auto"/>
                <w:sz w:val="24"/>
                <w:u w:val="none" w:color="auto"/>
                <w:lang w:val="en-US" w:eastAsia="zh-CN"/>
              </w:rPr>
              <w:t>。料场虽作全封闭，但装卸次数较大，料场出口开关频繁，故控制效率参照</w:t>
            </w:r>
            <w:r>
              <w:rPr>
                <w:rFonts w:hint="default" w:ascii="Times New Roman" w:hAnsi="Times New Roman" w:cs="Times New Roman"/>
                <w:color w:val="auto"/>
                <w:sz w:val="24"/>
                <w:u w:val="none" w:color="auto"/>
                <w:lang w:val="en-US" w:eastAsia="zh-CN"/>
              </w:rPr>
              <w:t>附录5，</w:t>
            </w:r>
            <w:r>
              <w:rPr>
                <w:rFonts w:hint="eastAsia" w:ascii="Times New Roman" w:hAnsi="Times New Roman" w:cs="Times New Roman"/>
                <w:color w:val="auto"/>
                <w:sz w:val="24"/>
                <w:u w:val="none" w:color="auto"/>
                <w:lang w:val="en-US" w:eastAsia="zh-CN"/>
              </w:rPr>
              <w:t>取60</w:t>
            </w:r>
            <w:r>
              <w:rPr>
                <w:rFonts w:hint="default" w:ascii="Times New Roman" w:hAnsi="Times New Roman" w:cs="Times New Roman"/>
                <w:color w:val="auto"/>
                <w:sz w:val="24"/>
                <w:u w:val="none" w:color="auto"/>
              </w:rPr>
              <w:t>%</w:t>
            </w:r>
            <w:r>
              <w:rPr>
                <w:rFonts w:hint="default" w:ascii="Times New Roman" w:hAnsi="Times New Roman" w:cs="Times New Roman"/>
                <w:color w:val="auto"/>
                <w:sz w:val="24"/>
                <w:u w:val="none" w:color="auto"/>
                <w:lang w:eastAsia="zh-CN"/>
              </w:rPr>
              <w:t>。</w:t>
            </w:r>
          </w:p>
          <w:p w14:paraId="6F6765C8">
            <w:pPr>
              <w:tabs>
                <w:tab w:val="left" w:pos="5010"/>
              </w:tabs>
              <w:snapToGrid w:val="0"/>
              <w:spacing w:line="360" w:lineRule="auto"/>
              <w:ind w:firstLine="480" w:firstLineChars="200"/>
              <w:jc w:val="left"/>
              <w:rPr>
                <w:rFonts w:hint="default" w:ascii="Times New Roman" w:hAnsi="Times New Roman" w:cs="Times New Roman"/>
                <w:bCs/>
                <w:color w:val="auto"/>
                <w:kern w:val="28"/>
                <w:sz w:val="24"/>
                <w:u w:val="none" w:color="auto"/>
              </w:rPr>
            </w:pPr>
            <w:r>
              <w:rPr>
                <w:rFonts w:hint="default" w:ascii="Times New Roman" w:hAnsi="Times New Roman" w:cs="Times New Roman"/>
                <w:color w:val="auto"/>
                <w:sz w:val="24"/>
                <w:u w:val="none" w:color="auto"/>
                <w:lang w:val="en-US" w:eastAsia="zh-CN"/>
              </w:rPr>
              <w:t>计算得原料堆存扬尘</w:t>
            </w:r>
            <w:r>
              <w:rPr>
                <w:rFonts w:hint="default" w:ascii="Times New Roman" w:hAnsi="Times New Roman" w:cs="Times New Roman"/>
                <w:color w:val="auto"/>
                <w:sz w:val="24"/>
                <w:u w:val="none" w:color="auto"/>
              </w:rPr>
              <w:t>排放量为</w:t>
            </w:r>
            <w:r>
              <w:rPr>
                <w:rFonts w:hint="eastAsia" w:ascii="Times New Roman" w:hAnsi="Times New Roman" w:cs="Times New Roman"/>
                <w:color w:val="auto"/>
                <w:sz w:val="24"/>
                <w:u w:val="none" w:color="auto"/>
                <w:lang w:val="en-US" w:eastAsia="zh-CN"/>
              </w:rPr>
              <w:t>5.85</w:t>
            </w:r>
            <w:r>
              <w:rPr>
                <w:rFonts w:hint="default" w:ascii="Times New Roman" w:hAnsi="Times New Roman" w:cs="Times New Roman"/>
                <w:color w:val="auto"/>
                <w:sz w:val="24"/>
                <w:u w:val="none" w:color="auto"/>
                <w:lang w:val="en-US" w:eastAsia="zh-CN"/>
              </w:rPr>
              <w:t xml:space="preserve"> </w:t>
            </w:r>
            <w:r>
              <w:rPr>
                <w:rFonts w:hint="default" w:ascii="Times New Roman" w:hAnsi="Times New Roman" w:cs="Times New Roman"/>
                <w:color w:val="auto"/>
                <w:sz w:val="24"/>
                <w:u w:val="none" w:color="auto"/>
              </w:rPr>
              <w:t>t/a。</w:t>
            </w:r>
          </w:p>
          <w:p w14:paraId="64263FE1">
            <w:pPr>
              <w:widowControl/>
              <w:spacing w:line="360" w:lineRule="auto"/>
              <w:ind w:firstLine="482" w:firstLineChars="200"/>
              <w:jc w:val="left"/>
              <w:textAlignment w:val="baseline"/>
              <w:rPr>
                <w:rFonts w:ascii="Times New Roman" w:hAnsi="Times New Roman" w:cs="Times New Roman"/>
                <w:b/>
                <w:color w:val="auto"/>
                <w:sz w:val="24"/>
                <w:szCs w:val="32"/>
                <w:u w:val="none" w:color="auto"/>
              </w:rPr>
            </w:pPr>
            <w:r>
              <w:rPr>
                <w:rFonts w:ascii="Times New Roman" w:hAnsi="Times New Roman" w:cs="Times New Roman"/>
                <w:b/>
                <w:color w:val="auto"/>
                <w:sz w:val="24"/>
                <w:szCs w:val="32"/>
                <w:u w:val="none" w:color="auto"/>
              </w:rPr>
              <w:t>（</w:t>
            </w:r>
            <w:r>
              <w:rPr>
                <w:rFonts w:hint="eastAsia" w:ascii="Times New Roman" w:hAnsi="Times New Roman" w:cs="Times New Roman"/>
                <w:b/>
                <w:color w:val="auto"/>
                <w:sz w:val="24"/>
                <w:szCs w:val="32"/>
                <w:u w:val="none" w:color="auto"/>
                <w:lang w:val="en-US" w:eastAsia="zh-CN"/>
              </w:rPr>
              <w:t>4</w:t>
            </w:r>
            <w:r>
              <w:rPr>
                <w:rFonts w:ascii="Times New Roman" w:hAnsi="Times New Roman" w:cs="Times New Roman"/>
                <w:b/>
                <w:color w:val="auto"/>
                <w:sz w:val="24"/>
                <w:szCs w:val="32"/>
                <w:u w:val="none" w:color="auto"/>
              </w:rPr>
              <w:t>）车辆运输扬尘</w:t>
            </w:r>
          </w:p>
          <w:p w14:paraId="1DA5CC80">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本工程原材料</w:t>
            </w:r>
            <w:r>
              <w:rPr>
                <w:rFonts w:hint="eastAsia" w:ascii="Times New Roman" w:hAnsi="Times New Roman" w:cs="Times New Roman"/>
                <w:color w:val="auto"/>
                <w:sz w:val="24"/>
                <w:szCs w:val="32"/>
                <w:u w:val="none" w:color="auto"/>
                <w:lang w:eastAsia="zh-CN"/>
              </w:rPr>
              <w:t>、</w:t>
            </w:r>
            <w:r>
              <w:rPr>
                <w:rFonts w:hint="eastAsia" w:ascii="Times New Roman" w:hAnsi="Times New Roman" w:cs="Times New Roman"/>
                <w:color w:val="auto"/>
                <w:sz w:val="24"/>
                <w:szCs w:val="32"/>
                <w:u w:val="none" w:color="auto"/>
                <w:lang w:val="en-US" w:eastAsia="zh-CN"/>
              </w:rPr>
              <w:t>产品均</w:t>
            </w:r>
            <w:r>
              <w:rPr>
                <w:rFonts w:ascii="Times New Roman" w:hAnsi="Times New Roman" w:cs="Times New Roman"/>
                <w:color w:val="auto"/>
                <w:sz w:val="24"/>
                <w:szCs w:val="32"/>
                <w:u w:val="none" w:color="auto"/>
              </w:rPr>
              <w:t>采用汽车运输。车辆行驶产生的扬尘，在道路完全干燥的情况下，可按下列经验公式计算：</w:t>
            </w:r>
          </w:p>
          <w:p w14:paraId="12641B4C">
            <w:pPr>
              <w:keepNext w:val="0"/>
              <w:keepLines w:val="0"/>
              <w:widowControl w:val="0"/>
              <w:suppressLineNumbers w:val="0"/>
              <w:autoSpaceDE w:val="0"/>
              <w:autoSpaceDN/>
              <w:spacing w:before="0" w:beforeAutospacing="0" w:after="0" w:afterAutospacing="0" w:line="360" w:lineRule="auto"/>
              <w:ind w:right="0"/>
              <w:jc w:val="center"/>
              <w:rPr>
                <w:rFonts w:hint="default" w:ascii="Times New Roman" w:hAnsi="Times New Roman" w:cs="Times New Roman"/>
                <w:color w:val="auto"/>
                <w:kern w:val="2"/>
                <w:sz w:val="21"/>
                <w:szCs w:val="21"/>
                <w:u w:val="none" w:color="auto"/>
              </w:rPr>
            </w:pPr>
            <w:r>
              <w:rPr>
                <w:rFonts w:hint="default" w:ascii="Times New Roman" w:hAnsi="Times New Roman" w:eastAsia="宋体" w:cs="Times New Roman"/>
                <w:color w:val="auto"/>
                <w:position w:val="-28"/>
                <w:u w:val="none" w:color="auto"/>
                <w:lang w:eastAsia="zh-CN"/>
              </w:rPr>
              <w:object>
                <v:shape id="_x0000_i1030" o:spt="75" type="#_x0000_t75" style="height:34pt;width:159.9pt;" o:ole="t" filled="f" o:preferrelative="t" stroked="f" coordsize="21600,21600">
                  <v:path/>
                  <v:fill on="f" focussize="0,0"/>
                  <v:stroke on="f"/>
                  <v:imagedata r:id="rId18" o:title=""/>
                  <o:lock v:ext="edit" aspectratio="t"/>
                  <w10:wrap type="none"/>
                  <w10:anchorlock/>
                </v:shape>
                <o:OLEObject Type="Embed" ProgID="Equation.KSEE3" ShapeID="_x0000_i1030" DrawAspect="Content" ObjectID="_1468075730" r:id="rId17">
                  <o:LockedField>false</o:LockedField>
                </o:OLEObject>
              </w:object>
            </w:r>
          </w:p>
          <w:p w14:paraId="23016ED6">
            <w:pPr>
              <w:keepNext w:val="0"/>
              <w:keepLines w:val="0"/>
              <w:widowControl w:val="0"/>
              <w:suppressLineNumbers w:val="0"/>
              <w:autoSpaceDE w:val="0"/>
              <w:autoSpaceDN/>
              <w:spacing w:before="0" w:beforeAutospacing="0" w:after="0" w:afterAutospacing="0" w:line="360" w:lineRule="auto"/>
              <w:ind w:left="0" w:right="0" w:firstLine="420" w:firstLineChars="200"/>
              <w:jc w:val="center"/>
              <w:rPr>
                <w:rFonts w:hint="default" w:ascii="Times New Roman" w:hAnsi="Times New Roman" w:cs="Times New Roman"/>
                <w:color w:val="auto"/>
                <w:kern w:val="2"/>
                <w:sz w:val="21"/>
                <w:szCs w:val="21"/>
                <w:u w:val="none" w:color="auto"/>
              </w:rPr>
            </w:pPr>
            <w:r>
              <w:rPr>
                <w:rFonts w:hint="default" w:ascii="Times New Roman" w:hAnsi="Times New Roman" w:eastAsia="宋体" w:cs="Times New Roman"/>
                <w:color w:val="auto"/>
                <w:position w:val="-28"/>
                <w:u w:val="none" w:color="auto"/>
                <w:lang w:eastAsia="zh-CN"/>
              </w:rPr>
              <w:object>
                <v:shape id="_x0000_i1031" o:spt="75" type="#_x0000_t75" style="height:34pt;width:90.1pt;" o:ole="t" filled="f" o:preferrelative="t" stroked="f" coordsize="21600,21600">
                  <v:path/>
                  <v:fill on="f" focussize="0,0"/>
                  <v:stroke on="f"/>
                  <v:imagedata r:id="rId20" o:title=""/>
                  <o:lock v:ext="edit" aspectratio="t"/>
                  <w10:wrap type="none"/>
                  <w10:anchorlock/>
                </v:shape>
                <o:OLEObject Type="Embed" ProgID="Equation.KSEE3" ShapeID="_x0000_i1031" DrawAspect="Content" ObjectID="_1468075731" r:id="rId19">
                  <o:LockedField>false</o:LockedField>
                </o:OLEObject>
              </w:object>
            </w:r>
          </w:p>
          <w:p w14:paraId="53B3BF41">
            <w:pPr>
              <w:pStyle w:val="16"/>
              <w:spacing w:line="360" w:lineRule="auto"/>
              <w:ind w:firstLine="480" w:firstLineChars="200"/>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式中：</w:t>
            </w:r>
            <w:r>
              <w:rPr>
                <w:rFonts w:hint="default" w:ascii="Times New Roman" w:hAnsi="Times New Roman" w:eastAsia="宋体" w:cs="Times New Roman"/>
                <w:color w:val="auto"/>
                <w:kern w:val="2"/>
                <w:sz w:val="24"/>
                <w:szCs w:val="24"/>
                <w:u w:val="none" w:color="auto"/>
                <w:lang w:val="en-US" w:eastAsia="zh-CN" w:bidi="ar"/>
              </w:rPr>
              <w:t>Q</w:t>
            </w:r>
            <w:r>
              <w:rPr>
                <w:rFonts w:hint="default" w:ascii="Times New Roman" w:hAnsi="Times New Roman" w:eastAsia="宋体" w:cs="Times New Roman"/>
                <w:color w:val="auto"/>
                <w:kern w:val="2"/>
                <w:sz w:val="24"/>
                <w:szCs w:val="24"/>
                <w:u w:val="none" w:color="auto"/>
                <w:vertAlign w:val="subscript"/>
                <w:lang w:val="en-US" w:eastAsia="zh-CN" w:bidi="ar"/>
              </w:rPr>
              <w:t>i</w:t>
            </w:r>
            <w:r>
              <w:rPr>
                <w:rFonts w:ascii="Times New Roman" w:hAnsi="Times New Roman" w:cs="Times New Roman"/>
                <w:color w:val="auto"/>
                <w:sz w:val="24"/>
                <w:u w:val="none" w:color="auto"/>
              </w:rPr>
              <w:t>——</w:t>
            </w:r>
            <w:r>
              <w:rPr>
                <w:rFonts w:hint="default" w:ascii="Times New Roman" w:hAnsi="Times New Roman" w:cs="Times New Roman"/>
                <w:color w:val="auto"/>
                <w:sz w:val="24"/>
                <w:u w:val="none" w:color="auto"/>
                <w:lang w:val="en-US" w:eastAsia="zh-CN"/>
              </w:rPr>
              <w:t>车辆</w:t>
            </w:r>
            <w:r>
              <w:rPr>
                <w:rFonts w:ascii="Times New Roman" w:hAnsi="Times New Roman" w:cs="Times New Roman"/>
                <w:color w:val="auto"/>
                <w:sz w:val="24"/>
                <w:u w:val="none" w:color="auto"/>
              </w:rPr>
              <w:t>运输起尘量，kg/</w:t>
            </w:r>
            <w:r>
              <w:rPr>
                <w:rFonts w:hint="default"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km</w:t>
            </w:r>
            <w:r>
              <w:rPr>
                <w:rFonts w:hint="default" w:ascii="Times New Roman" w:hAnsi="Times New Roman" w:cs="Times New Roman"/>
                <w:color w:val="auto"/>
                <w:sz w:val="24"/>
                <w:u w:val="none" w:color="auto"/>
              </w:rPr>
              <w:t>·</w:t>
            </w:r>
            <w:r>
              <w:rPr>
                <w:rFonts w:ascii="Times New Roman" w:hAnsi="Times New Roman" w:cs="Times New Roman"/>
                <w:color w:val="auto"/>
                <w:sz w:val="24"/>
                <w:u w:val="none" w:color="auto"/>
              </w:rPr>
              <w:t>辆</w:t>
            </w:r>
            <w:r>
              <w:rPr>
                <w:rFonts w:hint="default" w:ascii="Times New Roman" w:hAnsi="Times New Roman" w:cs="Times New Roman"/>
                <w:color w:val="auto"/>
                <w:sz w:val="24"/>
                <w:u w:val="none" w:color="auto"/>
                <w:lang w:val="en-US" w:eastAsia="zh-CN"/>
              </w:rPr>
              <w:t>次</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w:t>
            </w:r>
          </w:p>
          <w:p w14:paraId="2FEAB5FE">
            <w:pPr>
              <w:pStyle w:val="16"/>
              <w:spacing w:line="360" w:lineRule="auto"/>
              <w:ind w:firstLine="1200" w:firstLineChars="500"/>
              <w:rPr>
                <w:rFonts w:hint="default" w:ascii="Times New Roman" w:hAnsi="Times New Roman" w:cs="Times New Roman"/>
                <w:color w:val="auto"/>
                <w:sz w:val="24"/>
                <w:u w:val="none" w:color="auto"/>
                <w:lang w:val="en-US" w:eastAsia="zh-CN"/>
              </w:rPr>
            </w:pPr>
            <w:r>
              <w:rPr>
                <w:rFonts w:ascii="Times New Roman" w:hAnsi="Times New Roman" w:cs="Times New Roman"/>
                <w:color w:val="auto"/>
                <w:sz w:val="24"/>
                <w:u w:val="none" w:color="auto"/>
              </w:rPr>
              <w:t>V——车辆行驶速度，km/h</w:t>
            </w:r>
            <w:r>
              <w:rPr>
                <w:rFonts w:hint="default" w:ascii="Times New Roman" w:hAnsi="Times New Roman" w:cs="Times New Roman"/>
                <w:color w:val="auto"/>
                <w:sz w:val="24"/>
                <w:u w:val="none" w:color="auto"/>
                <w:lang w:val="en-US" w:eastAsia="zh-CN"/>
              </w:rPr>
              <w:t>；</w:t>
            </w:r>
          </w:p>
          <w:p w14:paraId="6FA95E4B">
            <w:pPr>
              <w:pStyle w:val="16"/>
              <w:spacing w:line="360" w:lineRule="auto"/>
              <w:ind w:firstLine="1200" w:firstLineChars="500"/>
              <w:rPr>
                <w:rFonts w:hint="default" w:ascii="Times New Roman" w:hAnsi="Times New Roman" w:cs="Times New Roman"/>
                <w:color w:val="auto"/>
                <w:sz w:val="24"/>
                <w:u w:val="none" w:color="auto"/>
                <w:lang w:val="en-US" w:eastAsia="zh-CN"/>
              </w:rPr>
            </w:pPr>
            <w:r>
              <w:rPr>
                <w:rFonts w:ascii="Times New Roman" w:hAnsi="Times New Roman" w:cs="Times New Roman"/>
                <w:color w:val="auto"/>
                <w:sz w:val="24"/>
                <w:u w:val="none" w:color="auto"/>
              </w:rPr>
              <w:t>M——车辆载重，t/辆</w:t>
            </w:r>
            <w:r>
              <w:rPr>
                <w:rFonts w:hint="default" w:ascii="Times New Roman" w:hAnsi="Times New Roman" w:cs="Times New Roman"/>
                <w:color w:val="auto"/>
                <w:sz w:val="24"/>
                <w:u w:val="none" w:color="auto"/>
                <w:lang w:val="en-US" w:eastAsia="zh-CN"/>
              </w:rPr>
              <w:t>；</w:t>
            </w:r>
          </w:p>
          <w:p w14:paraId="0203CEEC">
            <w:pPr>
              <w:pStyle w:val="16"/>
              <w:spacing w:line="360" w:lineRule="auto"/>
              <w:ind w:firstLine="1200" w:firstLineChars="500"/>
              <w:rPr>
                <w:rFonts w:hint="default" w:ascii="Times New Roman" w:hAnsi="Times New Roman" w:cs="Times New Roman"/>
                <w:color w:val="auto"/>
                <w:sz w:val="24"/>
                <w:u w:val="none" w:color="auto"/>
                <w:vertAlign w:val="baseline"/>
                <w:lang w:val="en-US" w:eastAsia="zh-CN"/>
              </w:rPr>
            </w:pPr>
            <w:r>
              <w:rPr>
                <w:rFonts w:ascii="Times New Roman" w:hAnsi="Times New Roman" w:cs="Times New Roman"/>
                <w:color w:val="auto"/>
                <w:sz w:val="24"/>
                <w:u w:val="none" w:color="auto"/>
              </w:rPr>
              <w:t>P——</w:t>
            </w:r>
            <w:r>
              <w:rPr>
                <w:rFonts w:hint="default" w:ascii="Times New Roman" w:hAnsi="Times New Roman" w:eastAsia="宋体" w:cs="Times New Roman"/>
                <w:b w:val="0"/>
                <w:bCs w:val="0"/>
                <w:color w:val="auto"/>
                <w:kern w:val="0"/>
                <w:sz w:val="24"/>
                <w:szCs w:val="24"/>
                <w:highlight w:val="none"/>
                <w:u w:val="none" w:color="auto"/>
                <w:lang w:val="en-US" w:eastAsia="zh-CN" w:bidi="ar"/>
              </w:rPr>
              <w:t>道路表面粉尘量</w:t>
            </w:r>
            <w:r>
              <w:rPr>
                <w:rFonts w:ascii="Times New Roman" w:hAnsi="Times New Roman" w:cs="Times New Roman"/>
                <w:color w:val="auto"/>
                <w:sz w:val="24"/>
                <w:u w:val="none" w:color="auto"/>
              </w:rPr>
              <w:t>，kg/m</w:t>
            </w:r>
            <w:r>
              <w:rPr>
                <w:rFonts w:ascii="Times New Roman" w:hAnsi="Times New Roman" w:cs="Times New Roman"/>
                <w:color w:val="auto"/>
                <w:sz w:val="24"/>
                <w:u w:val="none" w:color="auto"/>
                <w:vertAlign w:val="superscript"/>
              </w:rPr>
              <w:t>2</w:t>
            </w:r>
            <w:r>
              <w:rPr>
                <w:rFonts w:hint="default" w:ascii="Times New Roman" w:hAnsi="Times New Roman" w:cs="Times New Roman"/>
                <w:color w:val="auto"/>
                <w:sz w:val="24"/>
                <w:u w:val="none" w:color="auto"/>
                <w:vertAlign w:val="baseline"/>
                <w:lang w:val="en-US" w:eastAsia="zh-CN"/>
              </w:rPr>
              <w:t>；</w:t>
            </w:r>
          </w:p>
          <w:p w14:paraId="2A497BD5">
            <w:pPr>
              <w:pStyle w:val="16"/>
              <w:spacing w:line="360" w:lineRule="auto"/>
              <w:ind w:firstLine="1200" w:firstLineChars="500"/>
              <w:rPr>
                <w:rFonts w:hint="eastAsia" w:ascii="Times New Roman" w:hAnsi="Times New Roman" w:cs="Times New Roman"/>
                <w:color w:val="auto"/>
                <w:sz w:val="24"/>
                <w:u w:val="none" w:color="auto"/>
                <w:lang w:val="en-US" w:eastAsia="zh-CN"/>
              </w:rPr>
            </w:pPr>
            <w:r>
              <w:rPr>
                <w:rFonts w:hint="default" w:ascii="Times New Roman" w:hAnsi="Times New Roman" w:eastAsia="宋体" w:cs="Times New Roman"/>
                <w:color w:val="auto"/>
                <w:kern w:val="2"/>
                <w:sz w:val="24"/>
                <w:szCs w:val="24"/>
                <w:u w:val="none" w:color="auto"/>
                <w:lang w:val="en-US" w:eastAsia="zh-CN" w:bidi="ar"/>
              </w:rPr>
              <w:t>Q</w:t>
            </w:r>
            <w:r>
              <w:rPr>
                <w:rFonts w:hint="eastAsia" w:ascii="Times New Roman" w:hAnsi="Times New Roman" w:eastAsia="宋体" w:cs="Times New Roman"/>
                <w:color w:val="auto"/>
                <w:kern w:val="2"/>
                <w:sz w:val="24"/>
                <w:szCs w:val="24"/>
                <w:u w:val="none" w:color="auto"/>
                <w:vertAlign w:val="subscript"/>
                <w:lang w:val="en-US" w:eastAsia="zh-CN" w:bidi="ar"/>
              </w:rPr>
              <w:t>t</w:t>
            </w:r>
            <w:r>
              <w:rPr>
                <w:rFonts w:hint="default" w:ascii="Times New Roman" w:hAnsi="Times New Roman" w:eastAsia="宋体" w:cs="Times New Roman"/>
                <w:color w:val="auto"/>
                <w:kern w:val="2"/>
                <w:sz w:val="24"/>
                <w:szCs w:val="24"/>
                <w:u w:val="none" w:color="auto"/>
                <w:lang w:val="en-US" w:eastAsia="zh-CN" w:bidi="ar"/>
              </w:rPr>
              <w:t>——</w:t>
            </w:r>
            <w:r>
              <w:rPr>
                <w:rFonts w:hint="default" w:ascii="Times New Roman" w:hAnsi="Times New Roman" w:cs="Times New Roman"/>
                <w:color w:val="auto"/>
                <w:sz w:val="24"/>
                <w:u w:val="none" w:color="auto"/>
                <w:lang w:val="en-US" w:eastAsia="zh-CN"/>
              </w:rPr>
              <w:t>车辆</w:t>
            </w:r>
            <w:r>
              <w:rPr>
                <w:rFonts w:hint="default" w:ascii="Times New Roman" w:hAnsi="Times New Roman" w:eastAsia="宋体" w:cs="Times New Roman"/>
                <w:color w:val="auto"/>
                <w:kern w:val="2"/>
                <w:sz w:val="24"/>
                <w:szCs w:val="24"/>
                <w:u w:val="none" w:color="auto"/>
                <w:lang w:val="en-US" w:eastAsia="zh-CN" w:bidi="ar"/>
              </w:rPr>
              <w:t>运输总扬尘量，</w:t>
            </w:r>
            <w:r>
              <w:rPr>
                <w:rFonts w:ascii="Times New Roman" w:hAnsi="Times New Roman" w:cs="Times New Roman"/>
                <w:color w:val="auto"/>
                <w:sz w:val="24"/>
                <w:u w:val="none" w:color="auto"/>
              </w:rPr>
              <w:t>t</w:t>
            </w:r>
            <w:r>
              <w:rPr>
                <w:rFonts w:hint="eastAsia" w:ascii="Times New Roman" w:hAnsi="Times New Roman" w:cs="Times New Roman"/>
                <w:color w:val="auto"/>
                <w:sz w:val="24"/>
                <w:u w:val="none" w:color="auto"/>
                <w:lang w:val="en-US" w:eastAsia="zh-CN"/>
              </w:rPr>
              <w:t>；</w:t>
            </w:r>
          </w:p>
          <w:p w14:paraId="4E858AE2">
            <w:pPr>
              <w:pStyle w:val="16"/>
              <w:spacing w:line="360" w:lineRule="auto"/>
              <w:ind w:firstLine="1200" w:firstLineChars="500"/>
              <w:rPr>
                <w:rFonts w:hint="eastAsia" w:ascii="Times New Roman" w:hAnsi="Times New Roman" w:cs="Times New Roman"/>
                <w:color w:val="auto"/>
                <w:sz w:val="24"/>
                <w:u w:val="none" w:color="auto"/>
                <w:lang w:val="en-US" w:eastAsia="zh-CN"/>
              </w:rPr>
            </w:pPr>
            <w:r>
              <w:rPr>
                <w:rFonts w:hint="eastAsia" w:ascii="Times New Roman" w:hAnsi="Times New Roman" w:cs="Times New Roman"/>
                <w:color w:val="auto"/>
                <w:sz w:val="24"/>
                <w:u w:val="none" w:color="auto"/>
                <w:lang w:val="en-US" w:eastAsia="zh-CN"/>
              </w:rPr>
              <w:t>L</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运输距离，km；</w:t>
            </w:r>
          </w:p>
          <w:p w14:paraId="7C838423">
            <w:pPr>
              <w:pStyle w:val="16"/>
              <w:spacing w:line="360" w:lineRule="auto"/>
              <w:ind w:firstLine="1200" w:firstLineChars="500"/>
              <w:rPr>
                <w:rFonts w:hint="eastAsia" w:ascii="宋体" w:hAnsi="宋体" w:eastAsia="宋体" w:cs="宋体"/>
                <w:color w:val="auto"/>
                <w:kern w:val="2"/>
                <w:sz w:val="24"/>
                <w:szCs w:val="24"/>
                <w:u w:val="none" w:color="auto"/>
                <w:lang w:val="en-US" w:eastAsia="zh-CN" w:bidi="ar"/>
              </w:rPr>
            </w:pPr>
            <w:r>
              <w:rPr>
                <w:rFonts w:hint="eastAsia" w:ascii="Times New Roman" w:hAnsi="Times New Roman" w:cs="Times New Roman"/>
                <w:color w:val="auto"/>
                <w:sz w:val="24"/>
                <w:u w:val="none" w:color="auto"/>
                <w:lang w:val="en-US" w:eastAsia="zh-CN"/>
              </w:rPr>
              <w:t>Q</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运输量，t/a</w:t>
            </w:r>
            <w:r>
              <w:rPr>
                <w:rFonts w:hint="default" w:ascii="Times New Roman" w:hAnsi="Times New Roman" w:cs="Times New Roman"/>
                <w:color w:val="auto"/>
                <w:sz w:val="24"/>
                <w:u w:val="none" w:color="auto"/>
                <w:lang w:eastAsia="zh-CN"/>
              </w:rPr>
              <w:t>。</w:t>
            </w:r>
          </w:p>
          <w:p w14:paraId="68A28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u w:val="none" w:color="auto"/>
                <w:lang w:val="en-US" w:eastAsia="zh-CN" w:bidi="ar"/>
              </w:rPr>
            </w:pPr>
            <w:r>
              <w:rPr>
                <w:rFonts w:hint="eastAsia" w:ascii="宋体" w:hAnsi="宋体" w:eastAsia="宋体" w:cs="宋体"/>
                <w:color w:val="auto"/>
                <w:kern w:val="2"/>
                <w:sz w:val="24"/>
                <w:szCs w:val="24"/>
                <w:u w:val="none" w:color="auto"/>
                <w:lang w:val="en-US" w:eastAsia="zh-CN" w:bidi="ar"/>
              </w:rPr>
              <w:t>本项目原料运输量约为</w:t>
            </w:r>
            <w:r>
              <w:rPr>
                <w:rFonts w:hint="eastAsia" w:ascii="Times New Roman" w:hAnsi="Times New Roman" w:eastAsia="宋体" w:cs="Times New Roman"/>
                <w:color w:val="auto"/>
                <w:kern w:val="2"/>
                <w:sz w:val="24"/>
                <w:szCs w:val="24"/>
                <w:u w:val="none" w:color="auto"/>
                <w:lang w:val="en-US" w:eastAsia="zh-CN" w:bidi="ar"/>
              </w:rPr>
              <w:t xml:space="preserve">1344000 </w:t>
            </w:r>
            <w:r>
              <w:rPr>
                <w:rFonts w:hint="default" w:ascii="Times New Roman" w:hAnsi="Times New Roman" w:eastAsia="宋体" w:cs="Times New Roman"/>
                <w:color w:val="auto"/>
                <w:kern w:val="2"/>
                <w:sz w:val="24"/>
                <w:szCs w:val="24"/>
                <w:u w:val="none" w:color="auto"/>
                <w:lang w:val="en-US" w:eastAsia="zh-CN" w:bidi="ar"/>
              </w:rPr>
              <w:t>t/a</w:t>
            </w:r>
            <w:r>
              <w:rPr>
                <w:rFonts w:hint="eastAsia" w:ascii="宋体" w:hAnsi="宋体" w:eastAsia="宋体" w:cs="宋体"/>
                <w:color w:val="auto"/>
                <w:kern w:val="2"/>
                <w:sz w:val="24"/>
                <w:szCs w:val="24"/>
                <w:u w:val="none" w:color="auto"/>
                <w:lang w:val="en-US" w:eastAsia="zh-CN" w:bidi="ar"/>
              </w:rPr>
              <w:t>，外运产品</w:t>
            </w:r>
            <w:r>
              <w:rPr>
                <w:rFonts w:hint="eastAsia" w:ascii="Times New Roman" w:hAnsi="Times New Roman" w:eastAsia="宋体" w:cs="Times New Roman"/>
                <w:color w:val="auto"/>
                <w:kern w:val="2"/>
                <w:sz w:val="24"/>
                <w:szCs w:val="24"/>
                <w:u w:val="none" w:color="auto"/>
                <w:lang w:val="en-US" w:eastAsia="zh-CN" w:bidi="ar"/>
              </w:rPr>
              <w:t xml:space="preserve">1440000 </w:t>
            </w:r>
            <w:r>
              <w:rPr>
                <w:rFonts w:hint="default" w:ascii="Times New Roman" w:hAnsi="Times New Roman" w:eastAsia="宋体" w:cs="Times New Roman"/>
                <w:color w:val="auto"/>
                <w:kern w:val="2"/>
                <w:sz w:val="24"/>
                <w:szCs w:val="24"/>
                <w:u w:val="none" w:color="auto"/>
                <w:lang w:val="en-US" w:eastAsia="zh-CN" w:bidi="ar"/>
              </w:rPr>
              <w:t>t/a</w:t>
            </w:r>
            <w:r>
              <w:rPr>
                <w:rFonts w:hint="eastAsia" w:ascii="宋体" w:hAnsi="宋体" w:eastAsia="宋体" w:cs="宋体"/>
                <w:color w:val="auto"/>
                <w:kern w:val="2"/>
                <w:sz w:val="24"/>
                <w:szCs w:val="24"/>
                <w:u w:val="none" w:color="auto"/>
                <w:lang w:val="en-US" w:eastAsia="zh-CN" w:bidi="ar"/>
              </w:rPr>
              <w:t>，空车、载重车质量分别约为</w:t>
            </w:r>
            <w:r>
              <w:rPr>
                <w:rFonts w:hint="default" w:ascii="Times New Roman" w:hAnsi="Times New Roman" w:eastAsia="宋体" w:cs="Times New Roman"/>
                <w:color w:val="auto"/>
                <w:kern w:val="2"/>
                <w:sz w:val="24"/>
                <w:szCs w:val="24"/>
                <w:u w:val="none" w:color="auto"/>
                <w:lang w:val="en-US" w:eastAsia="zh-CN" w:bidi="ar"/>
              </w:rPr>
              <w:t>1</w:t>
            </w:r>
            <w:r>
              <w:rPr>
                <w:rFonts w:hint="eastAsia" w:ascii="Times New Roman" w:hAnsi="Times New Roman" w:eastAsia="宋体" w:cs="Times New Roman"/>
                <w:color w:val="auto"/>
                <w:kern w:val="2"/>
                <w:sz w:val="24"/>
                <w:szCs w:val="24"/>
                <w:u w:val="none" w:color="auto"/>
                <w:lang w:val="en-US" w:eastAsia="zh-CN" w:bidi="ar"/>
              </w:rPr>
              <w:t>0</w:t>
            </w:r>
            <w:r>
              <w:rPr>
                <w:rFonts w:hint="default" w:ascii="Times New Roman" w:hAnsi="Times New Roman" w:eastAsia="宋体" w:cs="Times New Roman"/>
                <w:color w:val="auto"/>
                <w:kern w:val="2"/>
                <w:sz w:val="24"/>
                <w:szCs w:val="24"/>
                <w:u w:val="none" w:color="auto"/>
                <w:lang w:val="en-US" w:eastAsia="zh-CN" w:bidi="ar"/>
              </w:rPr>
              <w:t>t</w:t>
            </w:r>
            <w:r>
              <w:rPr>
                <w:rFonts w:hint="eastAsia" w:ascii="宋体" w:hAnsi="宋体" w:eastAsia="宋体" w:cs="宋体"/>
                <w:color w:val="auto"/>
                <w:kern w:val="2"/>
                <w:sz w:val="24"/>
                <w:szCs w:val="24"/>
                <w:u w:val="none" w:color="auto"/>
                <w:lang w:val="en-US" w:eastAsia="zh-CN" w:bidi="ar"/>
              </w:rPr>
              <w:t>、</w:t>
            </w:r>
            <w:r>
              <w:rPr>
                <w:rFonts w:hint="eastAsia" w:ascii="Times New Roman" w:hAnsi="Times New Roman" w:eastAsia="宋体" w:cs="Times New Roman"/>
                <w:color w:val="auto"/>
                <w:kern w:val="2"/>
                <w:sz w:val="24"/>
                <w:szCs w:val="24"/>
                <w:u w:val="none" w:color="auto"/>
                <w:lang w:val="en-US" w:eastAsia="zh-CN" w:bidi="ar"/>
              </w:rPr>
              <w:t>40</w:t>
            </w:r>
            <w:r>
              <w:rPr>
                <w:rFonts w:hint="default" w:ascii="Times New Roman" w:hAnsi="Times New Roman" w:eastAsia="宋体" w:cs="Times New Roman"/>
                <w:color w:val="auto"/>
                <w:kern w:val="2"/>
                <w:sz w:val="24"/>
                <w:szCs w:val="24"/>
                <w:u w:val="none" w:color="auto"/>
                <w:lang w:val="en-US" w:eastAsia="zh-CN" w:bidi="ar"/>
              </w:rPr>
              <w:t>t</w:t>
            </w:r>
            <w:r>
              <w:rPr>
                <w:rFonts w:hint="eastAsia" w:ascii="宋体" w:hAnsi="宋体" w:eastAsia="宋体" w:cs="宋体"/>
                <w:color w:val="auto"/>
                <w:kern w:val="2"/>
                <w:sz w:val="24"/>
                <w:szCs w:val="24"/>
                <w:u w:val="none" w:color="auto"/>
                <w:lang w:val="en-US" w:eastAsia="zh-CN" w:bidi="ar"/>
              </w:rPr>
              <w:t>，平均每天空车、载重车各</w:t>
            </w:r>
            <w:r>
              <w:rPr>
                <w:rFonts w:hint="eastAsia" w:ascii="Times New Roman" w:hAnsi="Times New Roman" w:eastAsia="宋体" w:cs="Times New Roman"/>
                <w:color w:val="auto"/>
                <w:kern w:val="2"/>
                <w:sz w:val="24"/>
                <w:szCs w:val="24"/>
                <w:u w:val="none" w:color="auto"/>
                <w:lang w:val="en-US" w:eastAsia="zh-CN" w:bidi="ar"/>
              </w:rPr>
              <w:t>464</w:t>
            </w:r>
            <w:r>
              <w:rPr>
                <w:rFonts w:hint="eastAsia" w:ascii="宋体" w:hAnsi="宋体" w:eastAsia="宋体" w:cs="宋体"/>
                <w:color w:val="auto"/>
                <w:kern w:val="2"/>
                <w:sz w:val="24"/>
                <w:szCs w:val="24"/>
                <w:u w:val="none" w:color="auto"/>
                <w:lang w:val="en-US" w:eastAsia="zh-CN" w:bidi="ar"/>
              </w:rPr>
              <w:t>辆次，在厂内以</w:t>
            </w:r>
            <w:r>
              <w:rPr>
                <w:rFonts w:hint="eastAsia" w:ascii="Times New Roman" w:hAnsi="Times New Roman" w:eastAsia="宋体" w:cs="Times New Roman"/>
                <w:color w:val="auto"/>
                <w:kern w:val="2"/>
                <w:sz w:val="24"/>
                <w:szCs w:val="24"/>
                <w:u w:val="none" w:color="auto"/>
                <w:lang w:val="en-US" w:eastAsia="zh-CN" w:bidi="ar"/>
              </w:rPr>
              <w:t xml:space="preserve">5 </w:t>
            </w:r>
            <w:r>
              <w:rPr>
                <w:rFonts w:hint="default" w:ascii="Times New Roman" w:hAnsi="Times New Roman" w:eastAsia="宋体" w:cs="Times New Roman"/>
                <w:color w:val="auto"/>
                <w:kern w:val="2"/>
                <w:sz w:val="24"/>
                <w:szCs w:val="24"/>
                <w:u w:val="none" w:color="auto"/>
                <w:lang w:val="en-US" w:eastAsia="zh-CN" w:bidi="ar"/>
              </w:rPr>
              <w:t>km/h</w:t>
            </w:r>
            <w:r>
              <w:rPr>
                <w:rFonts w:hint="eastAsia" w:ascii="宋体" w:hAnsi="宋体" w:eastAsia="宋体" w:cs="宋体"/>
                <w:color w:val="auto"/>
                <w:kern w:val="2"/>
                <w:sz w:val="24"/>
                <w:szCs w:val="24"/>
                <w:u w:val="none" w:color="auto"/>
                <w:lang w:val="en-US" w:eastAsia="zh-CN" w:bidi="ar"/>
              </w:rPr>
              <w:t>行驶，行驶距离按</w:t>
            </w:r>
            <w:r>
              <w:rPr>
                <w:rFonts w:hint="default" w:ascii="Times New Roman" w:hAnsi="Times New Roman" w:eastAsia="宋体" w:cs="Times New Roman"/>
                <w:color w:val="auto"/>
                <w:kern w:val="2"/>
                <w:sz w:val="24"/>
                <w:szCs w:val="24"/>
                <w:u w:val="none" w:color="auto"/>
                <w:lang w:val="en-US" w:eastAsia="zh-CN" w:bidi="ar"/>
              </w:rPr>
              <w:t>100m</w:t>
            </w:r>
            <w:r>
              <w:rPr>
                <w:rFonts w:hint="eastAsia" w:ascii="宋体" w:hAnsi="宋体" w:eastAsia="宋体" w:cs="宋体"/>
                <w:color w:val="auto"/>
                <w:kern w:val="2"/>
                <w:sz w:val="24"/>
                <w:szCs w:val="24"/>
                <w:u w:val="none" w:color="auto"/>
                <w:lang w:val="en-US" w:eastAsia="zh-CN" w:bidi="ar"/>
              </w:rPr>
              <w:t>计，道路路况（即表面粉尘量）以</w:t>
            </w:r>
            <w:r>
              <w:rPr>
                <w:rFonts w:hint="default" w:ascii="Times New Roman" w:hAnsi="Times New Roman" w:eastAsia="宋体" w:cs="Times New Roman"/>
                <w:color w:val="auto"/>
                <w:kern w:val="2"/>
                <w:sz w:val="24"/>
                <w:szCs w:val="24"/>
                <w:u w:val="none" w:color="auto"/>
                <w:lang w:val="en-US" w:eastAsia="zh-CN" w:bidi="ar"/>
              </w:rPr>
              <w:t>0.</w:t>
            </w:r>
            <w:r>
              <w:rPr>
                <w:rFonts w:hint="eastAsia" w:ascii="Times New Roman" w:hAnsi="Times New Roman" w:eastAsia="宋体" w:cs="Times New Roman"/>
                <w:color w:val="auto"/>
                <w:kern w:val="2"/>
                <w:sz w:val="24"/>
                <w:szCs w:val="24"/>
                <w:u w:val="none" w:color="auto"/>
                <w:lang w:val="en-US" w:eastAsia="zh-CN" w:bidi="ar"/>
              </w:rPr>
              <w:t xml:space="preserve">4 </w:t>
            </w:r>
            <w:r>
              <w:rPr>
                <w:rFonts w:hint="default" w:ascii="Times New Roman" w:hAnsi="Times New Roman" w:eastAsia="宋体" w:cs="Times New Roman"/>
                <w:color w:val="auto"/>
                <w:kern w:val="2"/>
                <w:sz w:val="24"/>
                <w:szCs w:val="24"/>
                <w:u w:val="none" w:color="auto"/>
                <w:lang w:val="en-US" w:eastAsia="zh-CN" w:bidi="ar"/>
              </w:rPr>
              <w:t>kg/m</w:t>
            </w:r>
            <w:r>
              <w:rPr>
                <w:rFonts w:hint="default" w:ascii="Times New Roman" w:hAnsi="Times New Roman" w:eastAsia="宋体" w:cs="Times New Roman"/>
                <w:color w:val="auto"/>
                <w:kern w:val="2"/>
                <w:sz w:val="24"/>
                <w:szCs w:val="24"/>
                <w:u w:val="none" w:color="auto"/>
                <w:vertAlign w:val="superscript"/>
                <w:lang w:val="en-US" w:eastAsia="zh-CN" w:bidi="ar"/>
              </w:rPr>
              <w:t>2</w:t>
            </w:r>
            <w:r>
              <w:rPr>
                <w:rFonts w:hint="eastAsia" w:ascii="宋体" w:hAnsi="宋体" w:eastAsia="宋体" w:cs="宋体"/>
                <w:color w:val="auto"/>
                <w:kern w:val="2"/>
                <w:sz w:val="24"/>
                <w:szCs w:val="24"/>
                <w:u w:val="none" w:color="auto"/>
                <w:lang w:val="en-US" w:eastAsia="zh-CN" w:bidi="ar"/>
              </w:rPr>
              <w:t>计，计算得空车、载重车起尘量分别为</w:t>
            </w:r>
            <w:r>
              <w:rPr>
                <w:rFonts w:hint="eastAsia" w:ascii="Times New Roman" w:hAnsi="Times New Roman" w:eastAsia="宋体" w:cs="Times New Roman"/>
                <w:color w:val="auto"/>
                <w:kern w:val="2"/>
                <w:sz w:val="24"/>
                <w:szCs w:val="24"/>
                <w:u w:val="none" w:color="auto"/>
                <w:lang w:val="en-US" w:eastAsia="zh-CN" w:bidi="ar"/>
              </w:rPr>
              <w:t>3.37</w:t>
            </w:r>
            <w:r>
              <w:rPr>
                <w:rFonts w:hint="default" w:ascii="Times New Roman" w:hAnsi="Times New Roman" w:eastAsia="宋体" w:cs="Times New Roman"/>
                <w:color w:val="auto"/>
                <w:kern w:val="2"/>
                <w:sz w:val="24"/>
                <w:szCs w:val="24"/>
                <w:u w:val="none" w:color="auto"/>
                <w:lang w:val="en-US" w:eastAsia="zh-CN" w:bidi="ar"/>
              </w:rPr>
              <w:t>kg/d</w:t>
            </w:r>
            <w:r>
              <w:rPr>
                <w:rFonts w:hint="eastAsia" w:ascii="宋体" w:hAnsi="宋体" w:eastAsia="宋体" w:cs="宋体"/>
                <w:color w:val="auto"/>
                <w:kern w:val="2"/>
                <w:sz w:val="24"/>
                <w:szCs w:val="24"/>
                <w:u w:val="none" w:color="auto"/>
                <w:lang w:val="en-US" w:eastAsia="zh-CN" w:bidi="ar"/>
              </w:rPr>
              <w:t>、</w:t>
            </w:r>
            <w:r>
              <w:rPr>
                <w:rFonts w:hint="eastAsia" w:ascii="Times New Roman" w:hAnsi="Times New Roman" w:eastAsia="宋体" w:cs="Times New Roman"/>
                <w:color w:val="auto"/>
                <w:kern w:val="2"/>
                <w:sz w:val="24"/>
                <w:szCs w:val="24"/>
                <w:u w:val="none" w:color="auto"/>
                <w:lang w:val="en-US" w:eastAsia="zh-CN" w:bidi="ar"/>
              </w:rPr>
              <w:t>10.96</w:t>
            </w:r>
            <w:r>
              <w:rPr>
                <w:rFonts w:hint="default" w:ascii="Times New Roman" w:hAnsi="Times New Roman" w:eastAsia="宋体" w:cs="Times New Roman"/>
                <w:color w:val="auto"/>
                <w:kern w:val="2"/>
                <w:sz w:val="24"/>
                <w:szCs w:val="24"/>
                <w:u w:val="none" w:color="auto"/>
                <w:lang w:val="en-US" w:eastAsia="zh-CN" w:bidi="ar"/>
              </w:rPr>
              <w:t>kg/d</w:t>
            </w:r>
            <w:r>
              <w:rPr>
                <w:rFonts w:hint="eastAsia" w:ascii="宋体" w:hAnsi="宋体" w:eastAsia="宋体" w:cs="宋体"/>
                <w:color w:val="auto"/>
                <w:kern w:val="2"/>
                <w:sz w:val="24"/>
                <w:szCs w:val="24"/>
                <w:u w:val="none" w:color="auto"/>
                <w:lang w:val="en-US" w:eastAsia="zh-CN" w:bidi="ar"/>
              </w:rPr>
              <w:t>，总扬尘量</w:t>
            </w:r>
            <w:r>
              <w:rPr>
                <w:rFonts w:hint="eastAsia" w:ascii="Times New Roman" w:hAnsi="Times New Roman" w:eastAsia="宋体" w:cs="Times New Roman"/>
                <w:color w:val="auto"/>
                <w:kern w:val="2"/>
                <w:sz w:val="24"/>
                <w:szCs w:val="24"/>
                <w:u w:val="none" w:color="auto"/>
                <w:lang w:val="en-US" w:eastAsia="zh-CN" w:bidi="ar"/>
              </w:rPr>
              <w:t>28.66</w:t>
            </w:r>
            <w:r>
              <w:rPr>
                <w:rFonts w:hint="default" w:ascii="Times New Roman" w:hAnsi="Times New Roman" w:eastAsia="宋体" w:cs="Times New Roman"/>
                <w:color w:val="auto"/>
                <w:kern w:val="2"/>
                <w:sz w:val="24"/>
                <w:szCs w:val="24"/>
                <w:u w:val="none" w:color="auto"/>
                <w:lang w:val="en-US" w:eastAsia="zh-CN" w:bidi="ar"/>
              </w:rPr>
              <w:t>kg/d</w:t>
            </w:r>
            <w:r>
              <w:rPr>
                <w:rFonts w:hint="eastAsia" w:ascii="宋体" w:hAnsi="宋体" w:eastAsia="宋体" w:cs="宋体"/>
                <w:color w:val="auto"/>
                <w:kern w:val="2"/>
                <w:sz w:val="24"/>
                <w:szCs w:val="24"/>
                <w:u w:val="none" w:color="auto"/>
                <w:lang w:val="en-US" w:eastAsia="zh-CN" w:bidi="ar"/>
              </w:rPr>
              <w:t>（</w:t>
            </w:r>
            <w:r>
              <w:rPr>
                <w:rFonts w:hint="eastAsia" w:ascii="Times New Roman" w:hAnsi="Times New Roman" w:eastAsia="宋体" w:cs="Times New Roman"/>
                <w:color w:val="auto"/>
                <w:kern w:val="2"/>
                <w:sz w:val="24"/>
                <w:szCs w:val="24"/>
                <w:u w:val="none" w:color="auto"/>
                <w:lang w:val="en-US" w:eastAsia="zh-CN" w:bidi="ar"/>
              </w:rPr>
              <w:t>5.74</w:t>
            </w:r>
            <w:r>
              <w:rPr>
                <w:rFonts w:hint="default" w:ascii="Times New Roman" w:hAnsi="Times New Roman" w:eastAsia="宋体" w:cs="Times New Roman"/>
                <w:color w:val="auto"/>
                <w:kern w:val="2"/>
                <w:sz w:val="24"/>
                <w:szCs w:val="24"/>
                <w:u w:val="none" w:color="auto"/>
                <w:lang w:val="en-US" w:eastAsia="zh-CN" w:bidi="ar"/>
              </w:rPr>
              <w:t xml:space="preserve"> t/a</w:t>
            </w:r>
            <w:r>
              <w:rPr>
                <w:rFonts w:hint="eastAsia" w:ascii="宋体" w:hAnsi="宋体" w:eastAsia="宋体" w:cs="宋体"/>
                <w:color w:val="auto"/>
                <w:kern w:val="2"/>
                <w:sz w:val="24"/>
                <w:szCs w:val="24"/>
                <w:u w:val="none" w:color="auto"/>
                <w:lang w:val="en-US" w:eastAsia="zh-CN" w:bidi="ar"/>
              </w:rPr>
              <w:t>）。</w:t>
            </w:r>
          </w:p>
          <w:p w14:paraId="626BE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u w:val="none" w:color="auto"/>
                <w:lang w:val="en-US" w:eastAsia="zh-CN" w:bidi="ar"/>
              </w:rPr>
            </w:pPr>
            <w:r>
              <w:rPr>
                <w:rFonts w:hint="default" w:ascii="Times New Roman" w:hAnsi="Times New Roman" w:eastAsia="宋体" w:cs="Times New Roman"/>
                <w:b w:val="0"/>
                <w:bCs w:val="0"/>
                <w:color w:val="auto"/>
                <w:kern w:val="0"/>
                <w:sz w:val="24"/>
                <w:szCs w:val="24"/>
                <w:highlight w:val="none"/>
                <w:u w:val="none" w:color="auto"/>
                <w:lang w:val="en-US" w:eastAsia="zh-CN" w:bidi="ar"/>
              </w:rPr>
              <w:t>为防止运输道路积尘引起二次扬尘，</w:t>
            </w:r>
            <w:r>
              <w:rPr>
                <w:rFonts w:hint="eastAsia" w:ascii="Times New Roman" w:hAnsi="Times New Roman" w:eastAsia="宋体" w:cs="Times New Roman"/>
                <w:b w:val="0"/>
                <w:bCs w:val="0"/>
                <w:color w:val="auto"/>
                <w:kern w:val="0"/>
                <w:sz w:val="24"/>
                <w:szCs w:val="24"/>
                <w:highlight w:val="none"/>
                <w:u w:val="none" w:color="auto"/>
                <w:lang w:val="en-US" w:eastAsia="zh-CN" w:bidi="ar"/>
              </w:rPr>
              <w:t>拟对生产区、入厂道路进行水泥硬化，厂区入口设置洗车平台，</w:t>
            </w:r>
            <w:r>
              <w:rPr>
                <w:rFonts w:hint="eastAsia" w:ascii="宋体" w:hAnsi="宋体" w:cs="宋体"/>
                <w:bCs/>
                <w:color w:val="auto"/>
                <w:sz w:val="24"/>
                <w:u w:val="none" w:color="auto"/>
                <w:lang w:eastAsia="zh-CN"/>
              </w:rPr>
              <w:t>车辆进出时对轮胎进行冲洗，</w:t>
            </w:r>
            <w:r>
              <w:rPr>
                <w:rFonts w:hint="eastAsia" w:ascii="宋体" w:hAnsi="宋体" w:cs="宋体"/>
                <w:bCs/>
                <w:color w:val="auto"/>
                <w:sz w:val="24"/>
                <w:u w:val="none" w:color="auto"/>
                <w:lang w:val="en-US" w:eastAsia="zh-CN"/>
              </w:rPr>
              <w:t>运输车辆顶端设篷布遮盖，并限制车速，</w:t>
            </w:r>
            <w:r>
              <w:rPr>
                <w:rFonts w:hint="eastAsia" w:ascii="Times New Roman" w:hAnsi="Times New Roman" w:eastAsia="宋体" w:cs="Times New Roman"/>
                <w:b w:val="0"/>
                <w:bCs w:val="0"/>
                <w:color w:val="auto"/>
                <w:kern w:val="0"/>
                <w:sz w:val="24"/>
                <w:szCs w:val="24"/>
                <w:highlight w:val="none"/>
                <w:u w:val="none" w:color="auto"/>
                <w:lang w:val="en-US" w:eastAsia="zh-CN" w:bidi="ar"/>
              </w:rPr>
              <w:t>定期对路面进行</w:t>
            </w:r>
            <w:r>
              <w:rPr>
                <w:rFonts w:hint="default" w:ascii="Times New Roman" w:hAnsi="Times New Roman" w:eastAsia="宋体" w:cs="Times New Roman"/>
                <w:b w:val="0"/>
                <w:bCs w:val="0"/>
                <w:color w:val="auto"/>
                <w:kern w:val="0"/>
                <w:sz w:val="24"/>
                <w:szCs w:val="24"/>
                <w:highlight w:val="none"/>
                <w:u w:val="none" w:color="auto"/>
                <w:lang w:val="en-US" w:eastAsia="zh-CN" w:bidi="ar"/>
              </w:rPr>
              <w:t>人工清扫并洒水</w:t>
            </w:r>
            <w:r>
              <w:rPr>
                <w:rFonts w:hint="eastAsia" w:ascii="Times New Roman" w:hAnsi="Times New Roman" w:eastAsia="宋体" w:cs="Times New Roman"/>
                <w:b w:val="0"/>
                <w:bCs w:val="0"/>
                <w:color w:val="auto"/>
                <w:kern w:val="0"/>
                <w:sz w:val="24"/>
                <w:szCs w:val="24"/>
                <w:highlight w:val="none"/>
                <w:u w:val="none" w:color="auto"/>
                <w:lang w:val="en-US" w:eastAsia="zh-CN" w:bidi="ar"/>
              </w:rPr>
              <w:t>降尘</w:t>
            </w:r>
            <w:r>
              <w:rPr>
                <w:rFonts w:hint="default" w:ascii="Times New Roman" w:hAnsi="Times New Roman" w:eastAsia="宋体" w:cs="Times New Roman"/>
                <w:b w:val="0"/>
                <w:bCs w:val="0"/>
                <w:color w:val="auto"/>
                <w:kern w:val="0"/>
                <w:sz w:val="24"/>
                <w:szCs w:val="24"/>
                <w:highlight w:val="none"/>
                <w:u w:val="none" w:color="auto"/>
                <w:lang w:val="en-US" w:eastAsia="zh-CN" w:bidi="ar"/>
              </w:rPr>
              <w:t>，在</w:t>
            </w:r>
            <w:r>
              <w:rPr>
                <w:rFonts w:hint="eastAsia" w:ascii="Times New Roman" w:hAnsi="Times New Roman" w:eastAsia="宋体" w:cs="Times New Roman"/>
                <w:b w:val="0"/>
                <w:bCs w:val="0"/>
                <w:color w:val="auto"/>
                <w:kern w:val="0"/>
                <w:sz w:val="24"/>
                <w:szCs w:val="24"/>
                <w:highlight w:val="none"/>
                <w:u w:val="none" w:color="auto"/>
                <w:lang w:val="en-US" w:eastAsia="zh-CN" w:bidi="ar"/>
              </w:rPr>
              <w:t>干燥多风天气期间适当增加</w:t>
            </w:r>
            <w:r>
              <w:rPr>
                <w:rFonts w:hint="default" w:ascii="Times New Roman" w:hAnsi="Times New Roman" w:eastAsia="宋体" w:cs="Times New Roman"/>
                <w:b w:val="0"/>
                <w:bCs w:val="0"/>
                <w:color w:val="auto"/>
                <w:kern w:val="0"/>
                <w:sz w:val="24"/>
                <w:szCs w:val="24"/>
                <w:highlight w:val="none"/>
                <w:u w:val="none" w:color="auto"/>
                <w:lang w:val="en-US" w:eastAsia="zh-CN" w:bidi="ar"/>
              </w:rPr>
              <w:t>清扫和洒水</w:t>
            </w:r>
            <w:r>
              <w:rPr>
                <w:rFonts w:hint="eastAsia" w:ascii="Times New Roman" w:hAnsi="Times New Roman" w:eastAsia="宋体" w:cs="Times New Roman"/>
                <w:b w:val="0"/>
                <w:bCs w:val="0"/>
                <w:color w:val="auto"/>
                <w:kern w:val="0"/>
                <w:sz w:val="24"/>
                <w:szCs w:val="24"/>
                <w:highlight w:val="none"/>
                <w:u w:val="none" w:color="auto"/>
                <w:lang w:val="en-US" w:eastAsia="zh-CN" w:bidi="ar"/>
              </w:rPr>
              <w:t>频次。</w:t>
            </w:r>
            <w:r>
              <w:rPr>
                <w:rFonts w:hint="default" w:ascii="Times New Roman" w:hAnsi="Times New Roman" w:eastAsia="宋体" w:cs="Times New Roman"/>
                <w:b w:val="0"/>
                <w:bCs w:val="0"/>
                <w:color w:val="auto"/>
                <w:kern w:val="0"/>
                <w:sz w:val="24"/>
                <w:szCs w:val="24"/>
                <w:highlight w:val="none"/>
                <w:u w:val="none" w:color="auto"/>
                <w:lang w:val="en-US" w:eastAsia="zh-CN" w:bidi="ar"/>
              </w:rPr>
              <w:t>经上述措施后预计粉尘抑制率可达到 80%，</w:t>
            </w:r>
            <w:r>
              <w:rPr>
                <w:rFonts w:hint="eastAsia" w:ascii="Times New Roman" w:hAnsi="Times New Roman" w:eastAsia="宋体" w:cs="Times New Roman"/>
                <w:b w:val="0"/>
                <w:bCs w:val="0"/>
                <w:color w:val="auto"/>
                <w:kern w:val="0"/>
                <w:sz w:val="24"/>
                <w:szCs w:val="24"/>
                <w:highlight w:val="none"/>
                <w:u w:val="none" w:color="auto"/>
                <w:lang w:val="en-US" w:eastAsia="zh-CN" w:bidi="ar"/>
              </w:rPr>
              <w:t>运输</w:t>
            </w:r>
            <w:r>
              <w:rPr>
                <w:rFonts w:hint="eastAsia" w:ascii="Times New Roman" w:hAnsi="Times New Roman" w:eastAsia="宋体" w:cs="Times New Roman"/>
                <w:color w:val="auto"/>
                <w:spacing w:val="0"/>
                <w:position w:val="0"/>
                <w:sz w:val="24"/>
                <w:szCs w:val="24"/>
                <w:highlight w:val="none"/>
                <w:u w:val="none" w:color="auto"/>
                <w:lang w:val="en-US" w:eastAsia="zh-CN"/>
              </w:rPr>
              <w:t>扬尘</w:t>
            </w:r>
            <w:r>
              <w:rPr>
                <w:rFonts w:hint="eastAsia" w:ascii="Times New Roman" w:hAnsi="Times New Roman" w:eastAsia="宋体" w:cs="Times New Roman"/>
                <w:b w:val="0"/>
                <w:bCs w:val="0"/>
                <w:color w:val="auto"/>
                <w:kern w:val="0"/>
                <w:sz w:val="24"/>
                <w:szCs w:val="24"/>
                <w:highlight w:val="none"/>
                <w:u w:val="none" w:color="auto"/>
                <w:lang w:val="en-US" w:eastAsia="zh-CN" w:bidi="ar"/>
              </w:rPr>
              <w:t>排放</w:t>
            </w:r>
            <w:r>
              <w:rPr>
                <w:rFonts w:hint="default" w:ascii="Times New Roman" w:hAnsi="Times New Roman" w:eastAsia="宋体" w:cs="Times New Roman"/>
                <w:b w:val="0"/>
                <w:bCs w:val="0"/>
                <w:color w:val="auto"/>
                <w:kern w:val="0"/>
                <w:sz w:val="24"/>
                <w:szCs w:val="24"/>
                <w:highlight w:val="none"/>
                <w:u w:val="none" w:color="auto"/>
                <w:lang w:val="en-US" w:eastAsia="zh-CN" w:bidi="ar"/>
              </w:rPr>
              <w:t>量为</w:t>
            </w:r>
            <w:r>
              <w:rPr>
                <w:rFonts w:hint="eastAsia" w:ascii="Times New Roman" w:hAnsi="Times New Roman" w:eastAsia="宋体" w:cs="Times New Roman"/>
                <w:b w:val="0"/>
                <w:bCs w:val="0"/>
                <w:color w:val="auto"/>
                <w:kern w:val="0"/>
                <w:sz w:val="24"/>
                <w:szCs w:val="24"/>
                <w:highlight w:val="none"/>
                <w:u w:val="none" w:color="auto"/>
                <w:lang w:val="en-US" w:eastAsia="zh-CN" w:bidi="ar"/>
              </w:rPr>
              <w:t xml:space="preserve">1.14 </w:t>
            </w:r>
            <w:r>
              <w:rPr>
                <w:rFonts w:hint="default" w:ascii="Times New Roman" w:hAnsi="Times New Roman" w:eastAsia="宋体" w:cs="Times New Roman"/>
                <w:b w:val="0"/>
                <w:bCs w:val="0"/>
                <w:color w:val="auto"/>
                <w:kern w:val="0"/>
                <w:sz w:val="24"/>
                <w:szCs w:val="24"/>
                <w:highlight w:val="none"/>
                <w:u w:val="none" w:color="auto"/>
                <w:lang w:val="en-US" w:eastAsia="zh-CN" w:bidi="ar"/>
              </w:rPr>
              <w:t>t/a</w:t>
            </w:r>
            <w:r>
              <w:rPr>
                <w:rFonts w:hint="eastAsia" w:ascii="Times New Roman" w:hAnsi="Times New Roman" w:eastAsia="宋体" w:cs="Times New Roman"/>
                <w:b w:val="0"/>
                <w:bCs w:val="0"/>
                <w:color w:val="auto"/>
                <w:kern w:val="0"/>
                <w:sz w:val="24"/>
                <w:szCs w:val="24"/>
                <w:highlight w:val="none"/>
                <w:u w:val="none" w:color="auto"/>
                <w:lang w:val="en-US" w:eastAsia="zh-CN" w:bidi="ar"/>
              </w:rPr>
              <w:t>（0.58 kg/h）</w:t>
            </w:r>
            <w:r>
              <w:rPr>
                <w:rFonts w:hint="default" w:ascii="Times New Roman" w:hAnsi="Times New Roman" w:eastAsia="宋体" w:cs="Times New Roman"/>
                <w:b w:val="0"/>
                <w:bCs w:val="0"/>
                <w:color w:val="auto"/>
                <w:kern w:val="0"/>
                <w:sz w:val="24"/>
                <w:szCs w:val="24"/>
                <w:highlight w:val="none"/>
                <w:u w:val="none" w:color="auto"/>
                <w:lang w:val="en-US" w:eastAsia="zh-CN" w:bidi="ar"/>
              </w:rPr>
              <w:t>。</w:t>
            </w:r>
          </w:p>
          <w:p w14:paraId="09265CA0">
            <w:pPr>
              <w:widowControl/>
              <w:spacing w:line="360" w:lineRule="auto"/>
              <w:ind w:firstLine="482" w:firstLineChars="200"/>
              <w:jc w:val="left"/>
              <w:textAlignment w:val="baseline"/>
              <w:rPr>
                <w:rFonts w:ascii="Times New Roman" w:hAnsi="Times New Roman" w:cs="Times New Roman"/>
                <w:b/>
                <w:color w:val="auto"/>
                <w:sz w:val="24"/>
                <w:szCs w:val="32"/>
                <w:u w:val="none" w:color="auto"/>
              </w:rPr>
            </w:pPr>
            <w:r>
              <w:rPr>
                <w:rFonts w:ascii="Times New Roman" w:hAnsi="Times New Roman" w:cs="Times New Roman"/>
                <w:b/>
                <w:color w:val="auto"/>
                <w:sz w:val="24"/>
                <w:szCs w:val="32"/>
                <w:u w:val="none" w:color="auto"/>
              </w:rPr>
              <w:t>（</w:t>
            </w:r>
            <w:r>
              <w:rPr>
                <w:rFonts w:hint="eastAsia" w:ascii="Times New Roman" w:hAnsi="Times New Roman" w:cs="Times New Roman"/>
                <w:b/>
                <w:color w:val="auto"/>
                <w:sz w:val="24"/>
                <w:szCs w:val="32"/>
                <w:u w:val="none" w:color="auto"/>
                <w:lang w:val="en-US" w:eastAsia="zh-CN"/>
              </w:rPr>
              <w:t>5</w:t>
            </w:r>
            <w:r>
              <w:rPr>
                <w:rFonts w:ascii="Times New Roman" w:hAnsi="Times New Roman" w:cs="Times New Roman"/>
                <w:b/>
                <w:color w:val="auto"/>
                <w:sz w:val="24"/>
                <w:szCs w:val="32"/>
                <w:u w:val="none" w:color="auto"/>
              </w:rPr>
              <w:t>）汽车尾气</w:t>
            </w:r>
          </w:p>
          <w:p w14:paraId="02E45C1F">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项目不设置地下</w:t>
            </w:r>
            <w:r>
              <w:rPr>
                <w:rFonts w:ascii="Times New Roman" w:hAnsi="Times New Roman" w:cs="Times New Roman"/>
                <w:color w:val="auto"/>
                <w:sz w:val="24"/>
                <w:u w:val="none" w:color="auto"/>
              </w:rPr>
              <w:t>停车场</w:t>
            </w:r>
            <w:r>
              <w:rPr>
                <w:rFonts w:ascii="Times New Roman" w:hAnsi="Times New Roman" w:cs="Times New Roman"/>
                <w:color w:val="auto"/>
                <w:sz w:val="24"/>
                <w:szCs w:val="32"/>
                <w:u w:val="none" w:color="auto"/>
              </w:rPr>
              <w:t>，均为地面停车位，地面停车场有较大的扩散空间，汽车尾气容易扩散。另外，地面停车场车辆并非集中进入或离开停车场，而是分散于不同时间和不同的地点（停车位），因此，间歇性出现的汽车尾气经露天扩散及周围的绿化带吸收净化后，不会产生明显影响，对外环境影响较小。</w:t>
            </w:r>
          </w:p>
          <w:p w14:paraId="3E7ACE16">
            <w:pPr>
              <w:pStyle w:val="101"/>
              <w:snapToGrid w:val="0"/>
              <w:ind w:firstLine="482"/>
              <w:rPr>
                <w:color w:val="auto"/>
                <w:u w:val="none" w:color="auto"/>
              </w:rPr>
            </w:pPr>
            <w:r>
              <w:rPr>
                <w:color w:val="auto"/>
                <w:u w:val="none" w:color="auto"/>
              </w:rPr>
              <w:t>1.2 废气排放情况</w:t>
            </w:r>
          </w:p>
          <w:p w14:paraId="63A0BCC4">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本项目废气产排情况见下表</w:t>
            </w:r>
          </w:p>
          <w:p w14:paraId="294980AB">
            <w:pPr>
              <w:spacing w:line="360" w:lineRule="exact"/>
              <w:jc w:val="center"/>
              <w:rPr>
                <w:rFonts w:ascii="Times New Roman" w:hAnsi="Times New Roman" w:cs="Times New Roman"/>
                <w:b/>
                <w:bCs/>
                <w:color w:val="auto"/>
                <w:sz w:val="24"/>
                <w:szCs w:val="24"/>
                <w:u w:val="none" w:color="auto"/>
              </w:rPr>
            </w:pPr>
            <w:r>
              <w:rPr>
                <w:rFonts w:ascii="Times New Roman" w:hAnsi="Times New Roman" w:cs="Times New Roman"/>
                <w:b/>
                <w:bCs/>
                <w:color w:val="auto"/>
                <w:sz w:val="24"/>
                <w:u w:val="none" w:color="auto"/>
              </w:rPr>
              <w:t>表4-1  废气产排情况</w:t>
            </w:r>
            <w:r>
              <w:rPr>
                <w:rFonts w:hint="eastAsia" w:ascii="Times New Roman" w:hAnsi="Times New Roman" w:cs="Times New Roman"/>
                <w:b/>
                <w:bCs/>
                <w:color w:val="auto"/>
                <w:sz w:val="24"/>
                <w:u w:val="none" w:color="auto"/>
                <w:lang w:val="en-US" w:eastAsia="zh-CN"/>
              </w:rPr>
              <w:t>一览表</w:t>
            </w:r>
          </w:p>
          <w:tbl>
            <w:tblPr>
              <w:tblStyle w:val="26"/>
              <w:tblW w:w="80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47"/>
              <w:gridCol w:w="732"/>
              <w:gridCol w:w="887"/>
              <w:gridCol w:w="1996"/>
              <w:gridCol w:w="1012"/>
              <w:gridCol w:w="930"/>
              <w:gridCol w:w="930"/>
            </w:tblGrid>
            <w:tr w14:paraId="274B9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tcBorders>
                    <w:tl2br w:val="nil"/>
                    <w:tr2bl w:val="nil"/>
                  </w:tcBorders>
                  <w:vAlign w:val="center"/>
                </w:tcPr>
                <w:p w14:paraId="544EFDEA">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序号</w:t>
                  </w:r>
                </w:p>
              </w:tc>
              <w:tc>
                <w:tcPr>
                  <w:tcW w:w="1047" w:type="dxa"/>
                  <w:tcBorders>
                    <w:tl2br w:val="nil"/>
                    <w:tr2bl w:val="nil"/>
                  </w:tcBorders>
                  <w:vAlign w:val="center"/>
                </w:tcPr>
                <w:p w14:paraId="22D9A7E0">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排放源</w:t>
                  </w:r>
                </w:p>
              </w:tc>
              <w:tc>
                <w:tcPr>
                  <w:tcW w:w="732" w:type="dxa"/>
                  <w:tcBorders>
                    <w:tl2br w:val="nil"/>
                    <w:tr2bl w:val="nil"/>
                  </w:tcBorders>
                  <w:vAlign w:val="center"/>
                </w:tcPr>
                <w:p w14:paraId="338929D5">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污染物</w:t>
                  </w:r>
                </w:p>
              </w:tc>
              <w:tc>
                <w:tcPr>
                  <w:tcW w:w="887" w:type="dxa"/>
                  <w:tcBorders>
                    <w:tl2br w:val="nil"/>
                    <w:tr2bl w:val="nil"/>
                  </w:tcBorders>
                  <w:vAlign w:val="center"/>
                </w:tcPr>
                <w:p w14:paraId="11EF386B">
                  <w:pPr>
                    <w:spacing w:line="240" w:lineRule="auto"/>
                    <w:jc w:val="center"/>
                    <w:rPr>
                      <w:rFonts w:hint="eastAsia" w:ascii="Times New Roman" w:hAnsi="Times New Roman" w:cs="Times New Roman" w:eastAsiaTheme="minorEastAsia"/>
                      <w:color w:val="auto"/>
                      <w:sz w:val="21"/>
                      <w:szCs w:val="21"/>
                      <w:u w:val="none" w:color="auto"/>
                      <w:lang w:eastAsia="zh-CN"/>
                    </w:rPr>
                  </w:pPr>
                  <w:r>
                    <w:rPr>
                      <w:rFonts w:ascii="Times New Roman" w:hAnsi="Times New Roman" w:cs="Times New Roman"/>
                      <w:color w:val="auto"/>
                      <w:sz w:val="21"/>
                      <w:szCs w:val="21"/>
                      <w:u w:val="none" w:color="auto"/>
                    </w:rPr>
                    <w:t>产生量</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t/a</w:t>
                  </w:r>
                  <w:r>
                    <w:rPr>
                      <w:rFonts w:hint="eastAsia" w:ascii="Times New Roman" w:hAnsi="Times New Roman" w:cs="Times New Roman"/>
                      <w:color w:val="auto"/>
                      <w:sz w:val="21"/>
                      <w:szCs w:val="21"/>
                      <w:u w:val="none" w:color="auto"/>
                      <w:lang w:eastAsia="zh-CN"/>
                    </w:rPr>
                    <w:t>）</w:t>
                  </w:r>
                </w:p>
              </w:tc>
              <w:tc>
                <w:tcPr>
                  <w:tcW w:w="1996" w:type="dxa"/>
                  <w:tcBorders>
                    <w:tl2br w:val="nil"/>
                    <w:tr2bl w:val="nil"/>
                  </w:tcBorders>
                  <w:vAlign w:val="center"/>
                </w:tcPr>
                <w:p w14:paraId="77CB1824">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处理措施</w:t>
                  </w:r>
                </w:p>
              </w:tc>
              <w:tc>
                <w:tcPr>
                  <w:tcW w:w="1012" w:type="dxa"/>
                  <w:tcBorders>
                    <w:tl2br w:val="nil"/>
                    <w:tr2bl w:val="nil"/>
                  </w:tcBorders>
                  <w:vAlign w:val="center"/>
                </w:tcPr>
                <w:p w14:paraId="277A23C3">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排放方式</w:t>
                  </w:r>
                </w:p>
              </w:tc>
              <w:tc>
                <w:tcPr>
                  <w:tcW w:w="930" w:type="dxa"/>
                  <w:tcBorders>
                    <w:tl2br w:val="nil"/>
                    <w:tr2bl w:val="nil"/>
                  </w:tcBorders>
                  <w:vAlign w:val="center"/>
                </w:tcPr>
                <w:p w14:paraId="5CF32D8B">
                  <w:pPr>
                    <w:spacing w:line="240" w:lineRule="auto"/>
                    <w:jc w:val="center"/>
                    <w:rPr>
                      <w:rFonts w:hint="eastAsia" w:ascii="Times New Roman" w:hAnsi="Times New Roman" w:cs="Times New Roman" w:eastAsiaTheme="minorEastAsia"/>
                      <w:color w:val="auto"/>
                      <w:sz w:val="21"/>
                      <w:szCs w:val="21"/>
                      <w:u w:val="none" w:color="auto"/>
                      <w:lang w:eastAsia="zh-CN"/>
                    </w:rPr>
                  </w:pPr>
                  <w:r>
                    <w:rPr>
                      <w:rFonts w:ascii="Times New Roman" w:hAnsi="Times New Roman" w:cs="Times New Roman"/>
                      <w:color w:val="auto"/>
                      <w:sz w:val="21"/>
                      <w:szCs w:val="21"/>
                      <w:u w:val="none" w:color="auto"/>
                    </w:rPr>
                    <w:t>排放量</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t/a</w:t>
                  </w:r>
                  <w:r>
                    <w:rPr>
                      <w:rFonts w:hint="eastAsia" w:ascii="Times New Roman" w:hAnsi="Times New Roman" w:cs="Times New Roman"/>
                      <w:color w:val="auto"/>
                      <w:sz w:val="21"/>
                      <w:szCs w:val="21"/>
                      <w:u w:val="none" w:color="auto"/>
                      <w:lang w:eastAsia="zh-CN"/>
                    </w:rPr>
                    <w:t>）</w:t>
                  </w:r>
                </w:p>
              </w:tc>
              <w:tc>
                <w:tcPr>
                  <w:tcW w:w="930" w:type="dxa"/>
                  <w:tcBorders>
                    <w:tl2br w:val="nil"/>
                    <w:tr2bl w:val="nil"/>
                  </w:tcBorders>
                  <w:vAlign w:val="center"/>
                </w:tcPr>
                <w:p w14:paraId="3DF0B57D">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排放速率（kg/h）</w:t>
                  </w:r>
                </w:p>
              </w:tc>
            </w:tr>
            <w:tr w14:paraId="7E207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tcBorders>
                    <w:tl2br w:val="nil"/>
                    <w:tr2bl w:val="nil"/>
                  </w:tcBorders>
                  <w:vAlign w:val="center"/>
                </w:tcPr>
                <w:p w14:paraId="757F7901">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1</w:t>
                  </w:r>
                </w:p>
              </w:tc>
              <w:tc>
                <w:tcPr>
                  <w:tcW w:w="1047" w:type="dxa"/>
                  <w:tcBorders>
                    <w:tl2br w:val="nil"/>
                    <w:tr2bl w:val="nil"/>
                  </w:tcBorders>
                  <w:vAlign w:val="center"/>
                </w:tcPr>
                <w:p w14:paraId="02B6D9AC">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原料筒仓</w:t>
                  </w:r>
                </w:p>
              </w:tc>
              <w:tc>
                <w:tcPr>
                  <w:tcW w:w="732" w:type="dxa"/>
                  <w:tcBorders>
                    <w:tl2br w:val="nil"/>
                    <w:tr2bl w:val="nil"/>
                  </w:tcBorders>
                  <w:vAlign w:val="center"/>
                </w:tcPr>
                <w:p w14:paraId="18CA5C34">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颗粒物</w:t>
                  </w:r>
                </w:p>
              </w:tc>
              <w:tc>
                <w:tcPr>
                  <w:tcW w:w="887" w:type="dxa"/>
                  <w:tcBorders>
                    <w:tl2br w:val="nil"/>
                    <w:tr2bl w:val="nil"/>
                  </w:tcBorders>
                  <w:vAlign w:val="center"/>
                </w:tcPr>
                <w:p w14:paraId="2B5AFDF6">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172.8</w:t>
                  </w:r>
                </w:p>
              </w:tc>
              <w:tc>
                <w:tcPr>
                  <w:tcW w:w="1996" w:type="dxa"/>
                  <w:tcBorders>
                    <w:tl2br w:val="nil"/>
                    <w:tr2bl w:val="nil"/>
                  </w:tcBorders>
                  <w:vAlign w:val="center"/>
                </w:tcPr>
                <w:p w14:paraId="330277A6">
                  <w:pPr>
                    <w:spacing w:line="240" w:lineRule="auto"/>
                    <w:jc w:val="center"/>
                    <w:rPr>
                      <w:rFonts w:ascii="Times New Roman" w:hAnsi="Times New Roman" w:cs="Times New Roman"/>
                      <w:color w:val="auto"/>
                      <w:sz w:val="21"/>
                      <w:szCs w:val="21"/>
                      <w:u w:val="none" w:color="auto"/>
                    </w:rPr>
                  </w:pPr>
                  <w:r>
                    <w:rPr>
                      <w:rFonts w:ascii="Times New Roman" w:hAnsi="Times New Roman" w:eastAsia="宋体" w:cs="Times New Roman"/>
                      <w:color w:val="auto"/>
                      <w:sz w:val="21"/>
                      <w:szCs w:val="21"/>
                      <w:u w:val="none" w:color="auto"/>
                    </w:rPr>
                    <w:t>经筒仓自带</w:t>
                  </w:r>
                  <w:r>
                    <w:rPr>
                      <w:rFonts w:hint="eastAsia" w:ascii="Times New Roman" w:hAnsi="Times New Roman" w:eastAsia="宋体" w:cs="Times New Roman"/>
                      <w:color w:val="auto"/>
                      <w:sz w:val="21"/>
                      <w:szCs w:val="21"/>
                      <w:u w:val="none" w:color="auto"/>
                      <w:lang w:eastAsia="zh-CN"/>
                    </w:rPr>
                    <w:t>脉冲布袋除尘器</w:t>
                  </w:r>
                  <w:r>
                    <w:rPr>
                      <w:rFonts w:ascii="Times New Roman" w:hAnsi="Times New Roman" w:eastAsia="宋体" w:cs="Times New Roman"/>
                      <w:color w:val="auto"/>
                      <w:sz w:val="21"/>
                      <w:szCs w:val="21"/>
                      <w:u w:val="none" w:color="auto"/>
                    </w:rPr>
                    <w:t>处理后在搅拌楼内自然沉降</w:t>
                  </w:r>
                </w:p>
              </w:tc>
              <w:tc>
                <w:tcPr>
                  <w:tcW w:w="1012" w:type="dxa"/>
                  <w:tcBorders>
                    <w:tl2br w:val="nil"/>
                    <w:tr2bl w:val="nil"/>
                  </w:tcBorders>
                  <w:vAlign w:val="center"/>
                </w:tcPr>
                <w:p w14:paraId="3E89723E">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无组织</w:t>
                  </w:r>
                </w:p>
              </w:tc>
              <w:tc>
                <w:tcPr>
                  <w:tcW w:w="930" w:type="dxa"/>
                  <w:tcBorders>
                    <w:tl2br w:val="nil"/>
                    <w:tr2bl w:val="nil"/>
                  </w:tcBorders>
                  <w:vAlign w:val="center"/>
                </w:tcPr>
                <w:p w14:paraId="76FA3080">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0.56</w:t>
                  </w:r>
                </w:p>
              </w:tc>
              <w:tc>
                <w:tcPr>
                  <w:tcW w:w="930" w:type="dxa"/>
                  <w:tcBorders>
                    <w:tl2br w:val="nil"/>
                    <w:tr2bl w:val="nil"/>
                  </w:tcBorders>
                  <w:vAlign w:val="center"/>
                </w:tcPr>
                <w:p w14:paraId="194124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0.26</w:t>
                  </w:r>
                </w:p>
              </w:tc>
            </w:tr>
            <w:tr w14:paraId="686EF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499" w:type="dxa"/>
                  <w:tcBorders>
                    <w:tl2br w:val="nil"/>
                    <w:tr2bl w:val="nil"/>
                  </w:tcBorders>
                  <w:vAlign w:val="center"/>
                </w:tcPr>
                <w:p w14:paraId="235DA568">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2</w:t>
                  </w:r>
                </w:p>
              </w:tc>
              <w:tc>
                <w:tcPr>
                  <w:tcW w:w="1047" w:type="dxa"/>
                  <w:tcBorders>
                    <w:tl2br w:val="nil"/>
                    <w:tr2bl w:val="nil"/>
                  </w:tcBorders>
                  <w:vAlign w:val="center"/>
                </w:tcPr>
                <w:p w14:paraId="1077AF89">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投料及搅拌</w:t>
                  </w:r>
                </w:p>
              </w:tc>
              <w:tc>
                <w:tcPr>
                  <w:tcW w:w="732" w:type="dxa"/>
                  <w:tcBorders>
                    <w:tl2br w:val="nil"/>
                    <w:tr2bl w:val="nil"/>
                  </w:tcBorders>
                  <w:vAlign w:val="center"/>
                </w:tcPr>
                <w:p w14:paraId="7A24CEA8">
                  <w:pPr>
                    <w:spacing w:line="240" w:lineRule="auto"/>
                    <w:jc w:val="center"/>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颗粒物</w:t>
                  </w:r>
                </w:p>
              </w:tc>
              <w:tc>
                <w:tcPr>
                  <w:tcW w:w="887" w:type="dxa"/>
                  <w:tcBorders>
                    <w:tl2br w:val="nil"/>
                    <w:tr2bl w:val="nil"/>
                  </w:tcBorders>
                  <w:vAlign w:val="center"/>
                </w:tcPr>
                <w:p w14:paraId="762CA6BA">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187.2</w:t>
                  </w:r>
                </w:p>
              </w:tc>
              <w:tc>
                <w:tcPr>
                  <w:tcW w:w="1996" w:type="dxa"/>
                  <w:tcBorders>
                    <w:tl2br w:val="nil"/>
                    <w:tr2bl w:val="nil"/>
                  </w:tcBorders>
                  <w:vAlign w:val="center"/>
                </w:tcPr>
                <w:p w14:paraId="4CB53E17">
                  <w:pPr>
                    <w:spacing w:line="240" w:lineRule="auto"/>
                    <w:jc w:val="both"/>
                    <w:rPr>
                      <w:rFonts w:ascii="Times New Roman" w:hAnsi="Times New Roman" w:cs="Times New Roman"/>
                      <w:color w:val="auto"/>
                      <w:sz w:val="21"/>
                      <w:szCs w:val="21"/>
                      <w:u w:val="none" w:color="auto"/>
                    </w:rPr>
                  </w:pPr>
                  <w:r>
                    <w:rPr>
                      <w:rFonts w:hint="eastAsia" w:ascii="Times New Roman" w:hAnsi="Times New Roman" w:eastAsia="宋体" w:cs="Times New Roman"/>
                      <w:color w:val="auto"/>
                      <w:sz w:val="21"/>
                      <w:szCs w:val="21"/>
                      <w:u w:val="none" w:color="auto"/>
                    </w:rPr>
                    <w:t>设置封闭式搅拌楼，粉尘</w:t>
                  </w:r>
                  <w:r>
                    <w:rPr>
                      <w:rFonts w:ascii="Times New Roman" w:hAnsi="Times New Roman" w:eastAsia="宋体" w:cs="Times New Roman"/>
                      <w:color w:val="auto"/>
                      <w:sz w:val="21"/>
                      <w:szCs w:val="21"/>
                      <w:u w:val="none" w:color="auto"/>
                    </w:rPr>
                    <w:t>经搅拌主机自带的</w:t>
                  </w:r>
                  <w:r>
                    <w:rPr>
                      <w:color w:val="auto"/>
                      <w:sz w:val="21"/>
                      <w:szCs w:val="21"/>
                      <w:u w:val="none" w:color="auto"/>
                    </w:rPr>
                    <w:fldChar w:fldCharType="begin"/>
                  </w:r>
                  <w:r>
                    <w:rPr>
                      <w:color w:val="auto"/>
                      <w:sz w:val="21"/>
                      <w:szCs w:val="21"/>
                      <w:u w:val="none" w:color="auto"/>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auto"/>
                      <w:sz w:val="21"/>
                      <w:szCs w:val="21"/>
                      <w:u w:val="none" w:color="auto"/>
                    </w:rPr>
                    <w:fldChar w:fldCharType="separate"/>
                  </w:r>
                  <w:r>
                    <w:rPr>
                      <w:rFonts w:ascii="Times New Roman" w:hAnsi="Times New Roman" w:eastAsia="宋体" w:cs="Times New Roman"/>
                      <w:color w:val="auto"/>
                      <w:sz w:val="21"/>
                      <w:szCs w:val="21"/>
                      <w:u w:val="none" w:color="auto"/>
                    </w:rPr>
                    <w:t>脉冲布袋除尘器</w:t>
                  </w:r>
                  <w:r>
                    <w:rPr>
                      <w:rFonts w:ascii="Times New Roman" w:hAnsi="Times New Roman" w:eastAsia="宋体" w:cs="Times New Roman"/>
                      <w:color w:val="auto"/>
                      <w:sz w:val="21"/>
                      <w:szCs w:val="21"/>
                      <w:u w:val="none" w:color="auto"/>
                    </w:rPr>
                    <w:fldChar w:fldCharType="end"/>
                  </w:r>
                  <w:r>
                    <w:rPr>
                      <w:rFonts w:ascii="Times New Roman" w:hAnsi="Times New Roman" w:eastAsia="宋体" w:cs="Times New Roman"/>
                      <w:color w:val="auto"/>
                      <w:sz w:val="21"/>
                      <w:szCs w:val="21"/>
                      <w:u w:val="none" w:color="auto"/>
                    </w:rPr>
                    <w:t>处理后在搅拌楼内自然沉降</w:t>
                  </w:r>
                </w:p>
              </w:tc>
              <w:tc>
                <w:tcPr>
                  <w:tcW w:w="1012" w:type="dxa"/>
                  <w:tcBorders>
                    <w:tl2br w:val="nil"/>
                    <w:tr2bl w:val="nil"/>
                  </w:tcBorders>
                  <w:vAlign w:val="center"/>
                </w:tcPr>
                <w:p w14:paraId="195938EE">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无组织</w:t>
                  </w:r>
                </w:p>
              </w:tc>
              <w:tc>
                <w:tcPr>
                  <w:tcW w:w="930" w:type="dxa"/>
                  <w:tcBorders>
                    <w:tl2br w:val="nil"/>
                    <w:tr2bl w:val="nil"/>
                  </w:tcBorders>
                  <w:vAlign w:val="center"/>
                </w:tcPr>
                <w:p w14:paraId="3E83C7E1">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0.56</w:t>
                  </w:r>
                </w:p>
              </w:tc>
              <w:tc>
                <w:tcPr>
                  <w:tcW w:w="930" w:type="dxa"/>
                  <w:tcBorders>
                    <w:tl2br w:val="nil"/>
                    <w:tr2bl w:val="nil"/>
                  </w:tcBorders>
                  <w:vAlign w:val="center"/>
                </w:tcPr>
                <w:p w14:paraId="677916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0.28</w:t>
                  </w:r>
                </w:p>
              </w:tc>
            </w:tr>
            <w:tr w14:paraId="3AE3B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499" w:type="dxa"/>
                  <w:tcBorders>
                    <w:tl2br w:val="nil"/>
                    <w:tr2bl w:val="nil"/>
                  </w:tcBorders>
                  <w:vAlign w:val="center"/>
                </w:tcPr>
                <w:p w14:paraId="631CC418">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3</w:t>
                  </w:r>
                </w:p>
              </w:tc>
              <w:tc>
                <w:tcPr>
                  <w:tcW w:w="1047" w:type="dxa"/>
                  <w:tcBorders>
                    <w:tl2br w:val="nil"/>
                    <w:tr2bl w:val="nil"/>
                  </w:tcBorders>
                  <w:vAlign w:val="center"/>
                </w:tcPr>
                <w:p w14:paraId="039A9BD7">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原料堆存</w:t>
                  </w:r>
                </w:p>
              </w:tc>
              <w:tc>
                <w:tcPr>
                  <w:tcW w:w="732" w:type="dxa"/>
                  <w:tcBorders>
                    <w:tl2br w:val="nil"/>
                    <w:tr2bl w:val="nil"/>
                  </w:tcBorders>
                  <w:vAlign w:val="center"/>
                </w:tcPr>
                <w:p w14:paraId="05F94A5B">
                  <w:pPr>
                    <w:spacing w:line="240" w:lineRule="auto"/>
                    <w:jc w:val="center"/>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颗粒物</w:t>
                  </w:r>
                </w:p>
              </w:tc>
              <w:tc>
                <w:tcPr>
                  <w:tcW w:w="887" w:type="dxa"/>
                  <w:tcBorders>
                    <w:tl2br w:val="nil"/>
                    <w:tr2bl w:val="nil"/>
                  </w:tcBorders>
                  <w:vAlign w:val="center"/>
                </w:tcPr>
                <w:p w14:paraId="55481016">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585.3</w:t>
                  </w:r>
                </w:p>
              </w:tc>
              <w:tc>
                <w:tcPr>
                  <w:tcW w:w="1996" w:type="dxa"/>
                  <w:tcBorders>
                    <w:tl2br w:val="nil"/>
                    <w:tr2bl w:val="nil"/>
                  </w:tcBorders>
                  <w:vAlign w:val="center"/>
                </w:tcPr>
                <w:p w14:paraId="3B5EA73A">
                  <w:pPr>
                    <w:spacing w:line="240" w:lineRule="auto"/>
                    <w:jc w:val="both"/>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全封闭</w:t>
                  </w:r>
                  <w:r>
                    <w:rPr>
                      <w:rFonts w:hint="eastAsia" w:ascii="Times New Roman" w:hAnsi="Times New Roman" w:cs="Times New Roman"/>
                      <w:color w:val="auto"/>
                      <w:sz w:val="21"/>
                      <w:szCs w:val="21"/>
                      <w:u w:val="none" w:color="auto"/>
                      <w:lang w:val="en-US" w:eastAsia="zh-CN"/>
                    </w:rPr>
                    <w:t>厂房（</w:t>
                  </w:r>
                  <w:r>
                    <w:rPr>
                      <w:rFonts w:ascii="Times New Roman" w:hAnsi="Times New Roman" w:cs="Times New Roman"/>
                      <w:color w:val="auto"/>
                      <w:sz w:val="21"/>
                      <w:szCs w:val="21"/>
                      <w:u w:val="none" w:color="auto"/>
                    </w:rPr>
                    <w:t>四面围挡并设置顶棚</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rPr>
                    <w:t>，全封闭的皮带运输机</w:t>
                  </w:r>
                  <w:r>
                    <w:rPr>
                      <w:rFonts w:hint="eastAsia" w:ascii="Times New Roman" w:hAnsi="Times New Roman" w:cs="Times New Roman"/>
                      <w:color w:val="auto"/>
                      <w:sz w:val="21"/>
                      <w:szCs w:val="21"/>
                      <w:u w:val="none" w:color="auto"/>
                      <w:lang w:eastAsia="zh-CN"/>
                    </w:rPr>
                    <w:t>，</w:t>
                  </w:r>
                  <w:r>
                    <w:rPr>
                      <w:rFonts w:hint="eastAsia" w:ascii="Times New Roman" w:hAnsi="Times New Roman" w:eastAsia="宋体" w:cs="Times New Roman"/>
                      <w:i w:val="0"/>
                      <w:iCs w:val="0"/>
                      <w:color w:val="auto"/>
                      <w:kern w:val="0"/>
                      <w:sz w:val="21"/>
                      <w:szCs w:val="21"/>
                      <w:u w:val="none" w:color="auto"/>
                      <w:lang w:val="en-US" w:eastAsia="zh-CN" w:bidi="ar"/>
                    </w:rPr>
                    <w:t>雾化喷淋除尘</w:t>
                  </w:r>
                  <w:r>
                    <w:rPr>
                      <w:rFonts w:ascii="Times New Roman" w:hAnsi="Times New Roman" w:cs="Times New Roman"/>
                      <w:color w:val="auto"/>
                      <w:sz w:val="21"/>
                      <w:szCs w:val="21"/>
                      <w:u w:val="none" w:color="auto"/>
                    </w:rPr>
                    <w:t>，</w:t>
                  </w:r>
                  <w:r>
                    <w:rPr>
                      <w:rFonts w:hint="eastAsia" w:ascii="Times New Roman" w:hAnsi="Times New Roman" w:cs="Times New Roman"/>
                      <w:color w:val="auto"/>
                      <w:sz w:val="21"/>
                      <w:szCs w:val="21"/>
                      <w:u w:val="none" w:color="auto"/>
                      <w:lang w:val="en-US" w:eastAsia="zh-CN"/>
                    </w:rPr>
                    <w:t>洒水降尘</w:t>
                  </w:r>
                </w:p>
              </w:tc>
              <w:tc>
                <w:tcPr>
                  <w:tcW w:w="1012" w:type="dxa"/>
                  <w:tcBorders>
                    <w:tl2br w:val="nil"/>
                    <w:tr2bl w:val="nil"/>
                  </w:tcBorders>
                  <w:vAlign w:val="center"/>
                </w:tcPr>
                <w:p w14:paraId="06F7C3D5">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无组织</w:t>
                  </w:r>
                </w:p>
              </w:tc>
              <w:tc>
                <w:tcPr>
                  <w:tcW w:w="930" w:type="dxa"/>
                  <w:tcBorders>
                    <w:tl2br w:val="nil"/>
                    <w:tr2bl w:val="nil"/>
                  </w:tcBorders>
                  <w:vAlign w:val="center"/>
                </w:tcPr>
                <w:p w14:paraId="203D4E86">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5.85</w:t>
                  </w:r>
                </w:p>
              </w:tc>
              <w:tc>
                <w:tcPr>
                  <w:tcW w:w="930" w:type="dxa"/>
                  <w:tcBorders>
                    <w:tl2br w:val="nil"/>
                    <w:tr2bl w:val="nil"/>
                  </w:tcBorders>
                  <w:vAlign w:val="center"/>
                </w:tcPr>
                <w:p w14:paraId="20F6DE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2.93</w:t>
                  </w:r>
                </w:p>
              </w:tc>
            </w:tr>
            <w:tr w14:paraId="22B61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tcBorders>
                    <w:tl2br w:val="nil"/>
                    <w:tr2bl w:val="nil"/>
                  </w:tcBorders>
                  <w:vAlign w:val="center"/>
                </w:tcPr>
                <w:p w14:paraId="2C3E8225">
                  <w:pPr>
                    <w:spacing w:line="240" w:lineRule="auto"/>
                    <w:jc w:val="center"/>
                    <w:rPr>
                      <w:rFonts w:hint="eastAsia" w:ascii="Times New Roman" w:hAnsi="Times New Roman" w:cs="Times New Roman" w:eastAsiaTheme="minorEastAsia"/>
                      <w:color w:val="auto"/>
                      <w:sz w:val="21"/>
                      <w:szCs w:val="21"/>
                      <w:u w:val="none" w:color="auto"/>
                      <w:lang w:eastAsia="zh-CN"/>
                    </w:rPr>
                  </w:pPr>
                  <w:r>
                    <w:rPr>
                      <w:rFonts w:hint="eastAsia" w:ascii="Times New Roman" w:hAnsi="Times New Roman" w:cs="Times New Roman"/>
                      <w:color w:val="auto"/>
                      <w:sz w:val="21"/>
                      <w:szCs w:val="21"/>
                      <w:u w:val="none" w:color="auto"/>
                      <w:lang w:val="en-US" w:eastAsia="zh-CN"/>
                    </w:rPr>
                    <w:t>4</w:t>
                  </w:r>
                </w:p>
              </w:tc>
              <w:tc>
                <w:tcPr>
                  <w:tcW w:w="1047" w:type="dxa"/>
                  <w:tcBorders>
                    <w:tl2br w:val="nil"/>
                    <w:tr2bl w:val="nil"/>
                  </w:tcBorders>
                  <w:vAlign w:val="center"/>
                </w:tcPr>
                <w:p w14:paraId="55F2F2D4">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车辆运输</w:t>
                  </w:r>
                </w:p>
              </w:tc>
              <w:tc>
                <w:tcPr>
                  <w:tcW w:w="732" w:type="dxa"/>
                  <w:tcBorders>
                    <w:tl2br w:val="nil"/>
                    <w:tr2bl w:val="nil"/>
                  </w:tcBorders>
                  <w:vAlign w:val="center"/>
                </w:tcPr>
                <w:p w14:paraId="2DD6DE43">
                  <w:pPr>
                    <w:spacing w:line="240" w:lineRule="auto"/>
                    <w:jc w:val="center"/>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颗粒物</w:t>
                  </w:r>
                </w:p>
              </w:tc>
              <w:tc>
                <w:tcPr>
                  <w:tcW w:w="887" w:type="dxa"/>
                  <w:tcBorders>
                    <w:tl2br w:val="nil"/>
                    <w:tr2bl w:val="nil"/>
                  </w:tcBorders>
                  <w:vAlign w:val="center"/>
                </w:tcPr>
                <w:p w14:paraId="60677348">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5.74</w:t>
                  </w:r>
                </w:p>
              </w:tc>
              <w:tc>
                <w:tcPr>
                  <w:tcW w:w="1996" w:type="dxa"/>
                  <w:tcBorders>
                    <w:tl2br w:val="nil"/>
                    <w:tr2bl w:val="nil"/>
                  </w:tcBorders>
                  <w:vAlign w:val="center"/>
                </w:tcPr>
                <w:p w14:paraId="53F0EEB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生产车间、入厂道路进行水泥硬化；</w:t>
                  </w:r>
                </w:p>
                <w:p w14:paraId="7E71F48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厂区入口设置洗车平台，车辆进出时对轮胎进行冲洗；</w:t>
                  </w:r>
                </w:p>
                <w:p w14:paraId="2EB1328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运输车辆顶端设篷布遮盖，限制车速；</w:t>
                  </w:r>
                </w:p>
                <w:p w14:paraId="1FA30979">
                  <w:pPr>
                    <w:spacing w:line="240" w:lineRule="auto"/>
                    <w:jc w:val="center"/>
                    <w:rPr>
                      <w:rFonts w:ascii="Times New Roman" w:hAnsi="Times New Roman"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color="auto"/>
                      <w:lang w:val="en-US" w:eastAsia="zh-CN" w:bidi="ar"/>
                    </w:rPr>
                    <w:t>定期对路面进行人工清扫并洒水降尘</w:t>
                  </w:r>
                </w:p>
              </w:tc>
              <w:tc>
                <w:tcPr>
                  <w:tcW w:w="1012" w:type="dxa"/>
                  <w:tcBorders>
                    <w:tl2br w:val="nil"/>
                    <w:tr2bl w:val="nil"/>
                  </w:tcBorders>
                  <w:vAlign w:val="center"/>
                </w:tcPr>
                <w:p w14:paraId="528106EC">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无组织</w:t>
                  </w:r>
                </w:p>
              </w:tc>
              <w:tc>
                <w:tcPr>
                  <w:tcW w:w="930" w:type="dxa"/>
                  <w:tcBorders>
                    <w:tl2br w:val="nil"/>
                    <w:tr2bl w:val="nil"/>
                  </w:tcBorders>
                  <w:vAlign w:val="center"/>
                </w:tcPr>
                <w:p w14:paraId="11315FA6">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1.14</w:t>
                  </w:r>
                </w:p>
              </w:tc>
              <w:tc>
                <w:tcPr>
                  <w:tcW w:w="930" w:type="dxa"/>
                  <w:tcBorders>
                    <w:tl2br w:val="nil"/>
                    <w:tr2bl w:val="nil"/>
                  </w:tcBorders>
                  <w:vAlign w:val="center"/>
                </w:tcPr>
                <w:p w14:paraId="2DF2A3E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0.58</w:t>
                  </w:r>
                </w:p>
              </w:tc>
            </w:tr>
            <w:tr w14:paraId="1345C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tcBorders>
                    <w:tl2br w:val="nil"/>
                    <w:tr2bl w:val="nil"/>
                  </w:tcBorders>
                  <w:vAlign w:val="center"/>
                </w:tcPr>
                <w:p w14:paraId="40B8EB42">
                  <w:pPr>
                    <w:spacing w:line="240" w:lineRule="auto"/>
                    <w:jc w:val="center"/>
                    <w:rPr>
                      <w:rFonts w:hint="eastAsia"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1047" w:type="dxa"/>
                  <w:tcBorders>
                    <w:tl2br w:val="nil"/>
                    <w:tr2bl w:val="nil"/>
                  </w:tcBorders>
                  <w:vAlign w:val="center"/>
                </w:tcPr>
                <w:p w14:paraId="699FA171">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汽车尾气</w:t>
                  </w:r>
                </w:p>
              </w:tc>
              <w:tc>
                <w:tcPr>
                  <w:tcW w:w="732" w:type="dxa"/>
                  <w:tcBorders>
                    <w:tl2br w:val="nil"/>
                    <w:tr2bl w:val="nil"/>
                  </w:tcBorders>
                  <w:vAlign w:val="center"/>
                </w:tcPr>
                <w:p w14:paraId="6FC95175">
                  <w:pPr>
                    <w:spacing w:line="240" w:lineRule="auto"/>
                    <w:jc w:val="center"/>
                    <w:rPr>
                      <w:rFonts w:ascii="Times New Roman" w:hAnsi="Times New Roman" w:cs="Times New Roman"/>
                      <w:color w:val="auto"/>
                      <w:sz w:val="21"/>
                      <w:szCs w:val="21"/>
                      <w:u w:val="none" w:color="auto"/>
                    </w:rPr>
                  </w:pPr>
                  <w:r>
                    <w:rPr>
                      <w:rFonts w:hint="default" w:ascii="Times New Roman" w:hAnsi="Times New Roman" w:cs="Times New Roman"/>
                      <w:b w:val="0"/>
                      <w:bCs w:val="0"/>
                      <w:color w:val="auto"/>
                      <w:kern w:val="0"/>
                      <w:sz w:val="21"/>
                      <w:szCs w:val="21"/>
                      <w:u w:val="none" w:color="auto"/>
                    </w:rPr>
                    <w:t>NO</w:t>
                  </w:r>
                  <w:r>
                    <w:rPr>
                      <w:rFonts w:hint="default" w:ascii="Times New Roman" w:hAnsi="Times New Roman" w:cs="Times New Roman"/>
                      <w:b w:val="0"/>
                      <w:bCs w:val="0"/>
                      <w:color w:val="auto"/>
                      <w:kern w:val="0"/>
                      <w:sz w:val="21"/>
                      <w:szCs w:val="21"/>
                      <w:u w:val="none" w:color="auto"/>
                      <w:vertAlign w:val="subscript"/>
                    </w:rPr>
                    <w:t>X</w:t>
                  </w:r>
                  <w:r>
                    <w:rPr>
                      <w:rFonts w:hint="default" w:ascii="Times New Roman" w:hAnsi="Times New Roman" w:cs="Times New Roman"/>
                      <w:b w:val="0"/>
                      <w:bCs w:val="0"/>
                      <w:color w:val="auto"/>
                      <w:kern w:val="0"/>
                      <w:sz w:val="21"/>
                      <w:szCs w:val="21"/>
                      <w:u w:val="none" w:color="auto"/>
                    </w:rPr>
                    <w:t>、CO</w:t>
                  </w:r>
                  <w:r>
                    <w:rPr>
                      <w:rFonts w:hint="default" w:ascii="Times New Roman" w:hAnsi="Times New Roman" w:cs="Times New Roman"/>
                      <w:b w:val="0"/>
                      <w:bCs w:val="0"/>
                      <w:color w:val="auto"/>
                      <w:kern w:val="0"/>
                      <w:sz w:val="21"/>
                      <w:szCs w:val="21"/>
                      <w:u w:val="none" w:color="auto"/>
                      <w:lang w:eastAsia="zh-CN"/>
                    </w:rPr>
                    <w:t>、</w:t>
                  </w:r>
                  <w:r>
                    <w:rPr>
                      <w:rFonts w:hint="default" w:ascii="Times New Roman" w:hAnsi="Times New Roman" w:cs="Times New Roman"/>
                      <w:b w:val="0"/>
                      <w:bCs w:val="0"/>
                      <w:color w:val="auto"/>
                      <w:kern w:val="0"/>
                      <w:sz w:val="21"/>
                      <w:szCs w:val="21"/>
                      <w:u w:val="none" w:color="auto"/>
                      <w:lang w:val="en-US" w:eastAsia="zh-CN"/>
                    </w:rPr>
                    <w:t>THC</w:t>
                  </w:r>
                </w:p>
              </w:tc>
              <w:tc>
                <w:tcPr>
                  <w:tcW w:w="887" w:type="dxa"/>
                  <w:tcBorders>
                    <w:tl2br w:val="nil"/>
                    <w:tr2bl w:val="nil"/>
                  </w:tcBorders>
                  <w:vAlign w:val="center"/>
                </w:tcPr>
                <w:p w14:paraId="492DD6F0">
                  <w:pPr>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少量</w:t>
                  </w:r>
                </w:p>
              </w:tc>
              <w:tc>
                <w:tcPr>
                  <w:tcW w:w="1996" w:type="dxa"/>
                  <w:tcBorders>
                    <w:tl2br w:val="nil"/>
                    <w:tr2bl w:val="nil"/>
                  </w:tcBorders>
                  <w:vAlign w:val="center"/>
                </w:tcPr>
                <w:p w14:paraId="2330F03F">
                  <w:pPr>
                    <w:spacing w:line="240" w:lineRule="auto"/>
                    <w:jc w:val="center"/>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自然逸散</w:t>
                  </w:r>
                </w:p>
              </w:tc>
              <w:tc>
                <w:tcPr>
                  <w:tcW w:w="1012" w:type="dxa"/>
                  <w:tcBorders>
                    <w:tl2br w:val="nil"/>
                    <w:tr2bl w:val="nil"/>
                  </w:tcBorders>
                  <w:vAlign w:val="center"/>
                </w:tcPr>
                <w:p w14:paraId="2CAE7DC4">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无组织</w:t>
                  </w:r>
                </w:p>
              </w:tc>
              <w:tc>
                <w:tcPr>
                  <w:tcW w:w="930" w:type="dxa"/>
                  <w:tcBorders>
                    <w:tl2br w:val="nil"/>
                    <w:tr2bl w:val="nil"/>
                  </w:tcBorders>
                  <w:vAlign w:val="center"/>
                </w:tcPr>
                <w:p w14:paraId="07BAAC44">
                  <w:pPr>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少量</w:t>
                  </w:r>
                </w:p>
              </w:tc>
              <w:tc>
                <w:tcPr>
                  <w:tcW w:w="930" w:type="dxa"/>
                  <w:tcBorders>
                    <w:tl2br w:val="nil"/>
                    <w:tr2bl w:val="nil"/>
                  </w:tcBorders>
                  <w:vAlign w:val="center"/>
                </w:tcPr>
                <w:p w14:paraId="496F0C5B">
                  <w:pPr>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r>
            <w:tr w14:paraId="7C300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6" w:type="dxa"/>
                  <w:gridSpan w:val="2"/>
                  <w:tcBorders>
                    <w:tl2br w:val="nil"/>
                    <w:tr2bl w:val="nil"/>
                  </w:tcBorders>
                  <w:vAlign w:val="center"/>
                </w:tcPr>
                <w:p w14:paraId="7BD797F2">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合计</w:t>
                  </w:r>
                </w:p>
              </w:tc>
              <w:tc>
                <w:tcPr>
                  <w:tcW w:w="732" w:type="dxa"/>
                  <w:tcBorders>
                    <w:tl2br w:val="nil"/>
                    <w:tr2bl w:val="nil"/>
                  </w:tcBorders>
                  <w:vAlign w:val="center"/>
                </w:tcPr>
                <w:p w14:paraId="177F3075">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颗粒物</w:t>
                  </w:r>
                </w:p>
              </w:tc>
              <w:tc>
                <w:tcPr>
                  <w:tcW w:w="887" w:type="dxa"/>
                  <w:tcBorders>
                    <w:tl2br w:val="nil"/>
                    <w:tr2bl w:val="nil"/>
                  </w:tcBorders>
                  <w:vAlign w:val="center"/>
                </w:tcPr>
                <w:p w14:paraId="70D75F4A">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951.04</w:t>
                  </w:r>
                </w:p>
              </w:tc>
              <w:tc>
                <w:tcPr>
                  <w:tcW w:w="1996" w:type="dxa"/>
                  <w:tcBorders>
                    <w:tl2br w:val="nil"/>
                    <w:tr2bl w:val="nil"/>
                  </w:tcBorders>
                  <w:vAlign w:val="center"/>
                </w:tcPr>
                <w:p w14:paraId="204FF32A">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w:t>
                  </w:r>
                </w:p>
              </w:tc>
              <w:tc>
                <w:tcPr>
                  <w:tcW w:w="1012" w:type="dxa"/>
                  <w:tcBorders>
                    <w:tl2br w:val="nil"/>
                    <w:tr2bl w:val="nil"/>
                  </w:tcBorders>
                  <w:vAlign w:val="center"/>
                </w:tcPr>
                <w:p w14:paraId="18080370">
                  <w:pPr>
                    <w:spacing w:line="240" w:lineRule="auto"/>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w:t>
                  </w:r>
                </w:p>
              </w:tc>
              <w:tc>
                <w:tcPr>
                  <w:tcW w:w="930" w:type="dxa"/>
                  <w:tcBorders>
                    <w:tl2br w:val="nil"/>
                    <w:tr2bl w:val="nil"/>
                  </w:tcBorders>
                  <w:vAlign w:val="center"/>
                </w:tcPr>
                <w:p w14:paraId="4402BF7F">
                  <w:pPr>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8.11</w:t>
                  </w:r>
                </w:p>
              </w:tc>
              <w:tc>
                <w:tcPr>
                  <w:tcW w:w="930" w:type="dxa"/>
                  <w:tcBorders>
                    <w:tl2br w:val="nil"/>
                    <w:tr2bl w:val="nil"/>
                  </w:tcBorders>
                  <w:vAlign w:val="center"/>
                </w:tcPr>
                <w:p w14:paraId="4E6905A3">
                  <w:pPr>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4.05</w:t>
                  </w:r>
                </w:p>
              </w:tc>
            </w:tr>
          </w:tbl>
          <w:p w14:paraId="1F03D722">
            <w:pPr>
              <w:pStyle w:val="101"/>
              <w:snapToGrid w:val="0"/>
              <w:ind w:firstLine="482"/>
              <w:rPr>
                <w:color w:val="auto"/>
                <w:u w:val="none" w:color="auto"/>
              </w:rPr>
            </w:pPr>
            <w:r>
              <w:rPr>
                <w:color w:val="auto"/>
                <w:u w:val="none" w:color="auto"/>
              </w:rPr>
              <w:t>1.3 非正常工况分析</w:t>
            </w:r>
          </w:p>
          <w:p w14:paraId="05171DBF">
            <w:pPr>
              <w:pStyle w:val="115"/>
              <w:bidi w:val="0"/>
              <w:rPr>
                <w:rFonts w:hint="eastAsia" w:ascii="Times New Roman" w:hAnsi="Times New Roman"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本项目为</w:t>
            </w:r>
            <w:r>
              <w:rPr>
                <w:rFonts w:hint="eastAsia" w:eastAsia="宋体"/>
                <w:color w:val="auto"/>
                <w:sz w:val="24"/>
                <w:szCs w:val="24"/>
                <w:u w:val="none" w:color="auto"/>
                <w:lang w:val="en-US" w:eastAsia="zh-CN"/>
              </w:rPr>
              <w:t>混凝土搅拌站</w:t>
            </w:r>
            <w:r>
              <w:rPr>
                <w:rFonts w:hint="eastAsia"/>
                <w:color w:val="auto"/>
                <w:sz w:val="24"/>
                <w:szCs w:val="24"/>
                <w:u w:val="none" w:color="auto"/>
                <w:lang w:val="en-US" w:eastAsia="zh-CN"/>
              </w:rPr>
              <w:t>建设项目</w:t>
            </w:r>
            <w:r>
              <w:rPr>
                <w:rFonts w:hint="eastAsia" w:ascii="Times New Roman" w:hAnsi="Times New Roman" w:cs="Times New Roman"/>
                <w:color w:val="auto"/>
                <w:sz w:val="24"/>
                <w:szCs w:val="24"/>
                <w:highlight w:val="none"/>
                <w:u w:val="none" w:color="auto"/>
                <w:lang w:val="en-US" w:eastAsia="zh-CN"/>
              </w:rPr>
              <w:t>，生产运行阶段存在操作不当或设备故障</w:t>
            </w:r>
            <w:r>
              <w:rPr>
                <w:rFonts w:hint="eastAsia" w:cs="Times New Roman"/>
                <w:color w:val="auto"/>
                <w:sz w:val="24"/>
                <w:szCs w:val="24"/>
                <w:highlight w:val="none"/>
                <w:u w:val="none" w:color="auto"/>
                <w:lang w:val="en-US" w:eastAsia="zh-CN"/>
              </w:rPr>
              <w:t>时</w:t>
            </w:r>
            <w:r>
              <w:rPr>
                <w:rFonts w:hint="eastAsia" w:ascii="Times New Roman" w:hAnsi="Times New Roman" w:cs="Times New Roman"/>
                <w:color w:val="auto"/>
                <w:sz w:val="24"/>
                <w:szCs w:val="24"/>
                <w:highlight w:val="none"/>
                <w:u w:val="none" w:color="auto"/>
                <w:lang w:val="en-US" w:eastAsia="zh-CN"/>
              </w:rPr>
              <w:t>会导致非正常工况，如</w:t>
            </w:r>
            <w:r>
              <w:rPr>
                <w:rFonts w:ascii="Times New Roman" w:hAnsi="Times New Roman" w:cs="Times New Roman"/>
                <w:color w:val="auto"/>
                <w:sz w:val="24"/>
                <w:szCs w:val="32"/>
                <w:u w:val="none" w:color="auto"/>
              </w:rPr>
              <w:t>筒仓</w:t>
            </w:r>
            <w:r>
              <w:rPr>
                <w:rFonts w:hint="eastAsia" w:cs="Times New Roman"/>
                <w:color w:val="auto"/>
                <w:sz w:val="24"/>
                <w:szCs w:val="32"/>
                <w:u w:val="none" w:color="auto"/>
                <w:lang w:val="en-US" w:eastAsia="zh-CN"/>
              </w:rPr>
              <w:t>或</w:t>
            </w:r>
            <w:r>
              <w:rPr>
                <w:rFonts w:ascii="Times New Roman" w:hAnsi="Times New Roman" w:cs="Times New Roman"/>
                <w:color w:val="auto"/>
                <w:sz w:val="24"/>
                <w:szCs w:val="32"/>
                <w:u w:val="none" w:color="auto"/>
              </w:rPr>
              <w:t>搅拌主机配套的脉冲布袋除尘器失效</w:t>
            </w:r>
            <w:r>
              <w:rPr>
                <w:rFonts w:hint="eastAsia" w:cs="Times New Roman"/>
                <w:color w:val="auto"/>
                <w:sz w:val="24"/>
                <w:szCs w:val="32"/>
                <w:u w:val="none" w:color="auto"/>
                <w:lang w:eastAsia="zh-CN"/>
              </w:rPr>
              <w:t>、</w:t>
            </w:r>
            <w:r>
              <w:rPr>
                <w:rFonts w:hint="eastAsia" w:ascii="Times New Roman" w:hAnsi="Times New Roman" w:cs="Times New Roman"/>
                <w:color w:val="auto"/>
                <w:sz w:val="24"/>
                <w:szCs w:val="24"/>
                <w:highlight w:val="none"/>
                <w:u w:val="none" w:color="auto"/>
                <w:lang w:val="en-US" w:eastAsia="zh-CN"/>
              </w:rPr>
              <w:t>雾化喷淋除尘设施出现故障未正常运行，增加粉尘无组织排放，将可能造成</w:t>
            </w:r>
            <w:r>
              <w:rPr>
                <w:rFonts w:hint="eastAsia" w:cs="Times New Roman"/>
                <w:color w:val="auto"/>
                <w:sz w:val="24"/>
                <w:szCs w:val="24"/>
                <w:highlight w:val="none"/>
                <w:u w:val="none" w:color="auto"/>
                <w:lang w:val="en-US" w:eastAsia="zh-CN"/>
              </w:rPr>
              <w:t>一定</w:t>
            </w:r>
            <w:r>
              <w:rPr>
                <w:rFonts w:hint="eastAsia" w:ascii="Times New Roman" w:hAnsi="Times New Roman" w:cs="Times New Roman"/>
                <w:color w:val="auto"/>
                <w:sz w:val="24"/>
                <w:szCs w:val="24"/>
                <w:highlight w:val="none"/>
                <w:u w:val="none" w:color="auto"/>
                <w:lang w:val="en-US" w:eastAsia="zh-CN"/>
              </w:rPr>
              <w:t>范围内颗粒物短暂超标</w:t>
            </w:r>
            <w:r>
              <w:rPr>
                <w:rFonts w:hint="eastAsia" w:cs="Times New Roman"/>
                <w:color w:val="auto"/>
                <w:sz w:val="24"/>
                <w:szCs w:val="24"/>
                <w:highlight w:val="none"/>
                <w:u w:val="none" w:color="auto"/>
                <w:lang w:val="en-US" w:eastAsia="zh-CN"/>
              </w:rPr>
              <w:t>，</w:t>
            </w:r>
            <w:r>
              <w:rPr>
                <w:rFonts w:hint="eastAsia" w:ascii="Times New Roman" w:hAnsi="Times New Roman" w:cs="Times New Roman"/>
                <w:color w:val="auto"/>
                <w:sz w:val="24"/>
                <w:szCs w:val="24"/>
                <w:highlight w:val="none"/>
                <w:u w:val="none" w:color="auto"/>
                <w:lang w:val="en-US" w:eastAsia="zh-CN"/>
              </w:rPr>
              <w:t>对局部范围内的空气质量造成的影响较大，需要建设单位强化环保意识，落实防范措施。具体措施如下：</w:t>
            </w:r>
          </w:p>
          <w:p w14:paraId="59766BB5">
            <w:pPr>
              <w:pStyle w:val="115"/>
              <w:bidi w:val="0"/>
              <w:rPr>
                <w:rFonts w:hint="default" w:ascii="Times New Roman" w:hAnsi="Times New Roman" w:cs="Times New Roman"/>
                <w:color w:val="auto"/>
                <w:sz w:val="24"/>
                <w:szCs w:val="32"/>
                <w:u w:val="none" w:color="auto"/>
              </w:rPr>
            </w:pP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lang w:val="en-US" w:eastAsia="zh-CN"/>
              </w:rPr>
              <w:t>1</w:t>
            </w: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rPr>
              <w:t>安排专人负责环保设备的日常维护和管理，定期</w:t>
            </w:r>
            <w:r>
              <w:rPr>
                <w:rFonts w:hint="eastAsia" w:cs="Times New Roman"/>
                <w:color w:val="auto"/>
                <w:sz w:val="24"/>
                <w:szCs w:val="32"/>
                <w:u w:val="none" w:color="auto"/>
                <w:lang w:val="en-US" w:eastAsia="zh-CN"/>
              </w:rPr>
              <w:t>检查、</w:t>
            </w:r>
            <w:r>
              <w:rPr>
                <w:rFonts w:hint="default" w:ascii="Times New Roman" w:hAnsi="Times New Roman" w:cs="Times New Roman"/>
                <w:color w:val="auto"/>
                <w:sz w:val="24"/>
                <w:szCs w:val="32"/>
                <w:u w:val="none" w:color="auto"/>
              </w:rPr>
              <w:t>维护</w:t>
            </w:r>
            <w:r>
              <w:rPr>
                <w:rFonts w:ascii="Times New Roman" w:hAnsi="Times New Roman" w:cs="Times New Roman"/>
                <w:color w:val="auto"/>
                <w:sz w:val="24"/>
                <w:szCs w:val="32"/>
                <w:u w:val="none" w:color="auto"/>
              </w:rPr>
              <w:t>脉冲布袋除尘器</w:t>
            </w:r>
            <w:r>
              <w:rPr>
                <w:rFonts w:hint="eastAsia" w:cs="Times New Roman"/>
                <w:color w:val="auto"/>
                <w:sz w:val="24"/>
                <w:szCs w:val="32"/>
                <w:u w:val="none" w:color="auto"/>
                <w:lang w:val="en-US" w:eastAsia="zh-CN"/>
              </w:rPr>
              <w:t>的运行状态</w:t>
            </w:r>
            <w:r>
              <w:rPr>
                <w:rFonts w:hint="default" w:ascii="Times New Roman" w:hAnsi="Times New Roman" w:cs="Times New Roman"/>
                <w:color w:val="auto"/>
                <w:sz w:val="24"/>
                <w:szCs w:val="32"/>
                <w:u w:val="none" w:color="auto"/>
              </w:rPr>
              <w:t>，以保持</w:t>
            </w:r>
            <w:r>
              <w:rPr>
                <w:rFonts w:hint="eastAsia" w:cs="Times New Roman"/>
                <w:color w:val="auto"/>
                <w:sz w:val="24"/>
                <w:szCs w:val="32"/>
                <w:u w:val="none" w:color="auto"/>
                <w:lang w:val="en-US" w:eastAsia="zh-CN"/>
              </w:rPr>
              <w:t>其</w:t>
            </w:r>
            <w:r>
              <w:rPr>
                <w:rFonts w:hint="default" w:ascii="Times New Roman" w:hAnsi="Times New Roman" w:cs="Times New Roman"/>
                <w:color w:val="auto"/>
                <w:sz w:val="24"/>
                <w:szCs w:val="32"/>
                <w:u w:val="none" w:color="auto"/>
              </w:rPr>
              <w:t>净化能力及容量。</w:t>
            </w:r>
          </w:p>
          <w:p w14:paraId="1D7B4F55">
            <w:pPr>
              <w:widowControl/>
              <w:spacing w:line="360" w:lineRule="auto"/>
              <w:ind w:firstLine="480" w:firstLineChars="200"/>
              <w:jc w:val="left"/>
              <w:textAlignment w:val="baseline"/>
              <w:rPr>
                <w:rFonts w:hint="default" w:ascii="Times New Roman" w:hAnsi="Times New Roman" w:cs="Times New Roman"/>
                <w:color w:val="auto"/>
                <w:sz w:val="24"/>
                <w:szCs w:val="32"/>
                <w:u w:val="none" w:color="auto"/>
              </w:rPr>
            </w:pP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lang w:val="en-US" w:eastAsia="zh-CN"/>
              </w:rPr>
              <w:t>2</w:t>
            </w: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rPr>
              <w:t>确保废气处理</w:t>
            </w:r>
            <w:r>
              <w:rPr>
                <w:rFonts w:hint="default" w:ascii="Times New Roman" w:hAnsi="Times New Roman" w:cs="Times New Roman"/>
                <w:color w:val="auto"/>
                <w:sz w:val="24"/>
                <w:szCs w:val="32"/>
                <w:u w:val="none" w:color="auto"/>
                <w:lang w:val="en-US" w:eastAsia="zh-CN"/>
              </w:rPr>
              <w:t>设施</w:t>
            </w:r>
            <w:r>
              <w:rPr>
                <w:rFonts w:hint="default" w:ascii="Times New Roman" w:hAnsi="Times New Roman" w:cs="Times New Roman"/>
                <w:color w:val="auto"/>
                <w:sz w:val="24"/>
                <w:szCs w:val="32"/>
                <w:u w:val="none" w:color="auto"/>
              </w:rPr>
              <w:t>正常运行</w:t>
            </w: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rPr>
              <w:t>在废气处理设</w:t>
            </w:r>
            <w:r>
              <w:rPr>
                <w:rFonts w:hint="default" w:ascii="Times New Roman" w:hAnsi="Times New Roman" w:cs="Times New Roman"/>
                <w:color w:val="auto"/>
                <w:sz w:val="24"/>
                <w:szCs w:val="32"/>
                <w:u w:val="none" w:color="auto"/>
                <w:lang w:val="en-US" w:eastAsia="zh-CN"/>
              </w:rPr>
              <w:t>施</w:t>
            </w:r>
            <w:r>
              <w:rPr>
                <w:rFonts w:hint="default" w:ascii="Times New Roman" w:hAnsi="Times New Roman" w:cs="Times New Roman"/>
                <w:color w:val="auto"/>
                <w:sz w:val="24"/>
                <w:szCs w:val="32"/>
                <w:u w:val="none" w:color="auto"/>
              </w:rPr>
              <w:t>停止运行或出现故障时，产生废气的各工序也必须相应停止生产。</w:t>
            </w:r>
          </w:p>
          <w:p w14:paraId="2EFF2911">
            <w:pPr>
              <w:widowControl/>
              <w:spacing w:line="360" w:lineRule="auto"/>
              <w:ind w:firstLine="480" w:firstLineChars="200"/>
              <w:jc w:val="left"/>
              <w:textAlignment w:val="baseline"/>
              <w:rPr>
                <w:rFonts w:hint="default" w:ascii="Times New Roman" w:hAnsi="Times New Roman" w:cs="Times New Roman"/>
                <w:b w:val="0"/>
                <w:bCs/>
                <w:color w:val="auto"/>
                <w:sz w:val="24"/>
                <w:szCs w:val="24"/>
                <w:highlight w:val="none"/>
                <w:u w:val="none" w:color="auto"/>
                <w:lang w:val="en-US" w:eastAsia="zh-CN"/>
              </w:rPr>
            </w:pPr>
            <w:r>
              <w:rPr>
                <w:rFonts w:hint="default" w:ascii="Times New Roman" w:hAnsi="Times New Roman" w:cs="Times New Roman"/>
                <w:color w:val="auto"/>
                <w:sz w:val="24"/>
                <w:szCs w:val="32"/>
                <w:u w:val="none" w:color="auto"/>
                <w:lang w:eastAsia="zh-CN"/>
              </w:rPr>
              <w:t>（</w:t>
            </w:r>
            <w:r>
              <w:rPr>
                <w:rFonts w:hint="eastAsia" w:ascii="Times New Roman" w:hAnsi="Times New Roman" w:cs="Times New Roman"/>
                <w:color w:val="auto"/>
                <w:sz w:val="24"/>
                <w:szCs w:val="32"/>
                <w:u w:val="none" w:color="auto"/>
                <w:lang w:val="en-US" w:eastAsia="zh-CN"/>
              </w:rPr>
              <w:t>3</w:t>
            </w: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rPr>
              <w:t>建立健全的环保管理机构，对环保管理人员和技术人员进行岗位培训，</w:t>
            </w:r>
            <w:r>
              <w:rPr>
                <w:rFonts w:hint="default" w:ascii="Times New Roman" w:hAnsi="Times New Roman" w:cs="Times New Roman"/>
                <w:b w:val="0"/>
                <w:bCs/>
                <w:color w:val="auto"/>
                <w:sz w:val="24"/>
                <w:szCs w:val="24"/>
                <w:highlight w:val="none"/>
                <w:u w:val="none" w:color="auto"/>
                <w:lang w:val="en-US" w:eastAsia="zh-CN"/>
              </w:rPr>
              <w:t>增强操作人员的环保意识。</w:t>
            </w:r>
          </w:p>
          <w:p w14:paraId="42B0C25E">
            <w:pPr>
              <w:widowControl/>
              <w:spacing w:line="360" w:lineRule="auto"/>
              <w:ind w:firstLine="480" w:firstLineChars="200"/>
              <w:jc w:val="left"/>
              <w:textAlignment w:val="baseline"/>
              <w:rPr>
                <w:color w:val="auto"/>
                <w:u w:val="none" w:color="auto"/>
              </w:rPr>
            </w:pPr>
            <w:r>
              <w:rPr>
                <w:rFonts w:hint="default" w:ascii="Times New Roman" w:hAnsi="Times New Roman" w:cs="Times New Roman"/>
                <w:color w:val="auto"/>
                <w:sz w:val="24"/>
                <w:szCs w:val="32"/>
                <w:u w:val="none" w:color="auto"/>
                <w:lang w:eastAsia="zh-CN"/>
              </w:rPr>
              <w:t>（</w:t>
            </w:r>
            <w:r>
              <w:rPr>
                <w:rFonts w:hint="eastAsia" w:ascii="Times New Roman" w:hAnsi="Times New Roman" w:cs="Times New Roman"/>
                <w:color w:val="auto"/>
                <w:sz w:val="24"/>
                <w:szCs w:val="32"/>
                <w:u w:val="none" w:color="auto"/>
                <w:lang w:val="en-US" w:eastAsia="zh-CN"/>
              </w:rPr>
              <w:t>4</w:t>
            </w:r>
            <w:r>
              <w:rPr>
                <w:rFonts w:hint="default" w:ascii="Times New Roman" w:hAnsi="Times New Roman" w:cs="Times New Roman"/>
                <w:color w:val="auto"/>
                <w:sz w:val="24"/>
                <w:szCs w:val="32"/>
                <w:u w:val="none" w:color="auto"/>
                <w:lang w:eastAsia="zh-CN"/>
              </w:rPr>
              <w:t>）</w:t>
            </w:r>
            <w:r>
              <w:rPr>
                <w:rFonts w:hint="default" w:ascii="Times New Roman" w:hAnsi="Times New Roman" w:cs="Times New Roman"/>
                <w:color w:val="auto"/>
                <w:sz w:val="24"/>
                <w:szCs w:val="32"/>
                <w:u w:val="none" w:color="auto"/>
              </w:rPr>
              <w:t>委托具有专业资质的环境检测单位对项目排放的各类污染物进行定期检测；</w:t>
            </w:r>
          </w:p>
          <w:p w14:paraId="6A328620">
            <w:pPr>
              <w:pStyle w:val="101"/>
              <w:snapToGrid w:val="0"/>
              <w:ind w:firstLine="482"/>
              <w:rPr>
                <w:color w:val="auto"/>
                <w:u w:val="none" w:color="auto"/>
              </w:rPr>
            </w:pPr>
            <w:r>
              <w:rPr>
                <w:color w:val="auto"/>
                <w:u w:val="none" w:color="auto"/>
              </w:rPr>
              <w:t>1.4措施可行性分析</w:t>
            </w:r>
          </w:p>
          <w:p w14:paraId="2EF7A179">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参考《排污许可证申请与核发技术规范 石墨及其他非金属矿物制品制造》（HJ1119-2020），由于（HJ1119-2020）没有水泥制品制造业的废气污染防治措施可行性参考，本次环评参照其沥青混合料生产的废气污染防治措施可行性参考进行分析。本项目废气处理措施可行性分析见下表。</w:t>
            </w:r>
          </w:p>
          <w:p w14:paraId="6DC74DE8">
            <w:pPr>
              <w:adjustRightInd w:val="0"/>
              <w:snapToGrid w:val="0"/>
              <w:jc w:val="center"/>
              <w:rPr>
                <w:rFonts w:ascii="Times New Roman" w:hAnsi="Times New Roman" w:eastAsia="宋体" w:cs="Times New Roman"/>
                <w:b/>
                <w:bCs/>
                <w:color w:val="auto"/>
                <w:kern w:val="24"/>
                <w:sz w:val="24"/>
                <w:szCs w:val="24"/>
                <w:u w:val="none" w:color="auto"/>
              </w:rPr>
            </w:pPr>
            <w:r>
              <w:rPr>
                <w:rFonts w:hint="eastAsia" w:ascii="Times New Roman" w:hAnsi="Times New Roman" w:eastAsia="宋体" w:cs="Times New Roman"/>
                <w:b/>
                <w:bCs/>
                <w:color w:val="auto"/>
                <w:kern w:val="24"/>
                <w:sz w:val="24"/>
                <w:szCs w:val="24"/>
                <w:u w:val="none" w:color="auto"/>
                <w:lang w:val="en-US" w:eastAsia="zh-CN"/>
              </w:rPr>
              <w:t>表</w:t>
            </w:r>
            <w:r>
              <w:rPr>
                <w:rFonts w:ascii="Times New Roman" w:hAnsi="Times New Roman" w:eastAsia="宋体" w:cs="Times New Roman"/>
                <w:b/>
                <w:bCs/>
                <w:color w:val="auto"/>
                <w:kern w:val="24"/>
                <w:sz w:val="24"/>
                <w:szCs w:val="24"/>
                <w:u w:val="none" w:color="auto"/>
              </w:rPr>
              <w:t>4-</w:t>
            </w:r>
            <w:r>
              <w:rPr>
                <w:rFonts w:hint="eastAsia" w:ascii="Times New Roman" w:hAnsi="Times New Roman" w:eastAsia="宋体" w:cs="Times New Roman"/>
                <w:b/>
                <w:bCs/>
                <w:color w:val="auto"/>
                <w:kern w:val="24"/>
                <w:sz w:val="24"/>
                <w:szCs w:val="24"/>
                <w:u w:val="none" w:color="auto"/>
                <w:lang w:val="en-US" w:eastAsia="zh-CN"/>
              </w:rPr>
              <w:t xml:space="preserve">2  </w:t>
            </w:r>
            <w:r>
              <w:rPr>
                <w:rFonts w:ascii="Times New Roman" w:hAnsi="Times New Roman" w:eastAsia="宋体" w:cs="Times New Roman"/>
                <w:b/>
                <w:bCs/>
                <w:color w:val="auto"/>
                <w:kern w:val="24"/>
                <w:sz w:val="24"/>
                <w:szCs w:val="24"/>
                <w:u w:val="none" w:color="auto"/>
              </w:rPr>
              <w:t>本项目废气处理措施可行性分析一览表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7"/>
              <w:gridCol w:w="1477"/>
              <w:gridCol w:w="1607"/>
              <w:gridCol w:w="1608"/>
              <w:gridCol w:w="1608"/>
            </w:tblGrid>
            <w:tr w14:paraId="29D2C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7" w:type="dxa"/>
                  <w:vAlign w:val="center"/>
                </w:tcPr>
                <w:p w14:paraId="004D5EF6">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废气类别</w:t>
                  </w:r>
                </w:p>
              </w:tc>
              <w:tc>
                <w:tcPr>
                  <w:tcW w:w="1477" w:type="dxa"/>
                  <w:vAlign w:val="center"/>
                </w:tcPr>
                <w:p w14:paraId="40EFB3FF">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主要污染物</w:t>
                  </w:r>
                </w:p>
              </w:tc>
              <w:tc>
                <w:tcPr>
                  <w:tcW w:w="1607" w:type="dxa"/>
                  <w:vAlign w:val="center"/>
                </w:tcPr>
                <w:p w14:paraId="531791D9">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可行技术</w:t>
                  </w:r>
                </w:p>
              </w:tc>
              <w:tc>
                <w:tcPr>
                  <w:tcW w:w="1608" w:type="dxa"/>
                  <w:vAlign w:val="center"/>
                </w:tcPr>
                <w:p w14:paraId="6FFBA8E6">
                  <w:pPr>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本项目采用污染防治技术</w:t>
                  </w:r>
                </w:p>
              </w:tc>
              <w:tc>
                <w:tcPr>
                  <w:tcW w:w="1608" w:type="dxa"/>
                  <w:vAlign w:val="center"/>
                </w:tcPr>
                <w:p w14:paraId="73DCA19A">
                  <w:pPr>
                    <w:jc w:val="center"/>
                    <w:rPr>
                      <w:rFonts w:hint="eastAsia" w:ascii="Times New Roman" w:hAnsi="Times New Roman" w:cs="Times New Roman" w:eastAsiaTheme="minorEastAsia"/>
                      <w:color w:val="auto"/>
                      <w:szCs w:val="21"/>
                      <w:u w:val="none" w:color="auto"/>
                      <w:lang w:val="en-US" w:eastAsia="zh-CN"/>
                    </w:rPr>
                  </w:pPr>
                  <w:r>
                    <w:rPr>
                      <w:rFonts w:ascii="Times New Roman" w:hAnsi="Times New Roman" w:cs="Times New Roman"/>
                      <w:color w:val="auto"/>
                      <w:szCs w:val="21"/>
                      <w:u w:val="none" w:color="auto"/>
                    </w:rPr>
                    <w:t>是否可行</w:t>
                  </w:r>
                  <w:r>
                    <w:rPr>
                      <w:rFonts w:hint="eastAsia" w:ascii="Times New Roman" w:hAnsi="Times New Roman" w:cs="Times New Roman"/>
                      <w:color w:val="auto"/>
                      <w:szCs w:val="21"/>
                      <w:u w:val="none" w:color="auto"/>
                      <w:lang w:val="en-US" w:eastAsia="zh-CN"/>
                    </w:rPr>
                    <w:t>技术</w:t>
                  </w:r>
                </w:p>
              </w:tc>
            </w:tr>
            <w:tr w14:paraId="2FE50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7" w:type="dxa"/>
                  <w:vAlign w:val="center"/>
                </w:tcPr>
                <w:p w14:paraId="2DFAFE67">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投料及搅拌粉尘</w:t>
                  </w:r>
                </w:p>
              </w:tc>
              <w:tc>
                <w:tcPr>
                  <w:tcW w:w="1477" w:type="dxa"/>
                  <w:vAlign w:val="center"/>
                </w:tcPr>
                <w:p w14:paraId="6A1E8440">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颗粒物</w:t>
                  </w:r>
                </w:p>
              </w:tc>
              <w:tc>
                <w:tcPr>
                  <w:tcW w:w="1607" w:type="dxa"/>
                  <w:vAlign w:val="center"/>
                </w:tcPr>
                <w:p w14:paraId="7ECBA0B4">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w:t>
                  </w:r>
                </w:p>
              </w:tc>
              <w:tc>
                <w:tcPr>
                  <w:tcW w:w="1608" w:type="dxa"/>
                  <w:vAlign w:val="center"/>
                </w:tcPr>
                <w:p w14:paraId="12F3EA4F">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脉冲除尘</w:t>
                  </w:r>
                </w:p>
              </w:tc>
              <w:tc>
                <w:tcPr>
                  <w:tcW w:w="1608" w:type="dxa"/>
                  <w:vAlign w:val="center"/>
                </w:tcPr>
                <w:p w14:paraId="5F58AB61">
                  <w:pPr>
                    <w:adjustRightInd w:val="0"/>
                    <w:snapToGrid w:val="0"/>
                    <w:jc w:val="center"/>
                    <w:rPr>
                      <w:rFonts w:hint="eastAsia" w:ascii="Times New Roman" w:hAnsi="Times New Roman" w:cs="Times New Roman" w:eastAsiaTheme="minorEastAsia"/>
                      <w:bCs/>
                      <w:color w:val="auto"/>
                      <w:kern w:val="24"/>
                      <w:szCs w:val="21"/>
                      <w:u w:val="none" w:color="auto"/>
                      <w:lang w:eastAsia="zh-CN"/>
                    </w:rPr>
                  </w:pPr>
                  <w:r>
                    <w:rPr>
                      <w:rFonts w:hint="eastAsia" w:ascii="Times New Roman" w:hAnsi="Times New Roman" w:cs="Times New Roman"/>
                      <w:bCs/>
                      <w:color w:val="auto"/>
                      <w:kern w:val="24"/>
                      <w:szCs w:val="21"/>
                      <w:u w:val="none" w:color="auto"/>
                      <w:lang w:val="en-US" w:eastAsia="zh-CN"/>
                    </w:rPr>
                    <w:t>是</w:t>
                  </w:r>
                </w:p>
              </w:tc>
            </w:tr>
            <w:tr w14:paraId="11033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7" w:type="dxa"/>
                  <w:vAlign w:val="center"/>
                </w:tcPr>
                <w:p w14:paraId="064B6D19">
                  <w:pPr>
                    <w:adjustRightInd w:val="0"/>
                    <w:snapToGrid w:val="0"/>
                    <w:jc w:val="center"/>
                    <w:rPr>
                      <w:rFonts w:hint="eastAsia" w:ascii="Times New Roman" w:hAnsi="Times New Roman" w:cs="Times New Roman" w:eastAsiaTheme="minorEastAsia"/>
                      <w:bCs/>
                      <w:color w:val="auto"/>
                      <w:kern w:val="24"/>
                      <w:szCs w:val="21"/>
                      <w:u w:val="none" w:color="auto"/>
                      <w:lang w:val="en-US" w:eastAsia="zh-CN"/>
                    </w:rPr>
                  </w:pPr>
                  <w:r>
                    <w:rPr>
                      <w:rFonts w:hint="eastAsia" w:ascii="Times New Roman" w:hAnsi="Times New Roman" w:cs="Times New Roman"/>
                      <w:bCs/>
                      <w:color w:val="auto"/>
                      <w:kern w:val="24"/>
                      <w:szCs w:val="21"/>
                      <w:u w:val="none" w:color="auto"/>
                      <w:lang w:val="en-US" w:eastAsia="zh-CN"/>
                    </w:rPr>
                    <w:t>筒仓粉尘</w:t>
                  </w:r>
                </w:p>
              </w:tc>
              <w:tc>
                <w:tcPr>
                  <w:tcW w:w="1477" w:type="dxa"/>
                  <w:vAlign w:val="center"/>
                </w:tcPr>
                <w:p w14:paraId="06325816">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颗粒物</w:t>
                  </w:r>
                </w:p>
              </w:tc>
              <w:tc>
                <w:tcPr>
                  <w:tcW w:w="1607" w:type="dxa"/>
                  <w:vAlign w:val="center"/>
                </w:tcPr>
                <w:p w14:paraId="7449C9AA">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布袋除尘、旋风除尘、静电除尘</w:t>
                  </w:r>
                </w:p>
              </w:tc>
              <w:tc>
                <w:tcPr>
                  <w:tcW w:w="1608" w:type="dxa"/>
                  <w:vAlign w:val="center"/>
                </w:tcPr>
                <w:p w14:paraId="4044F3E2">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脉冲除尘</w:t>
                  </w:r>
                </w:p>
              </w:tc>
              <w:tc>
                <w:tcPr>
                  <w:tcW w:w="1608" w:type="dxa"/>
                  <w:vAlign w:val="center"/>
                </w:tcPr>
                <w:p w14:paraId="24740D6A">
                  <w:pPr>
                    <w:adjustRightInd w:val="0"/>
                    <w:snapToGrid w:val="0"/>
                    <w:jc w:val="center"/>
                    <w:rPr>
                      <w:rFonts w:hint="eastAsia" w:ascii="Times New Roman" w:hAnsi="Times New Roman" w:cs="Times New Roman" w:eastAsiaTheme="minorEastAsia"/>
                      <w:bCs/>
                      <w:color w:val="auto"/>
                      <w:kern w:val="24"/>
                      <w:szCs w:val="21"/>
                      <w:u w:val="none" w:color="auto"/>
                      <w:lang w:eastAsia="zh-CN"/>
                    </w:rPr>
                  </w:pPr>
                  <w:r>
                    <w:rPr>
                      <w:rFonts w:hint="eastAsia" w:ascii="Times New Roman" w:hAnsi="Times New Roman" w:cs="Times New Roman"/>
                      <w:bCs/>
                      <w:color w:val="auto"/>
                      <w:kern w:val="24"/>
                      <w:szCs w:val="21"/>
                      <w:u w:val="none" w:color="auto"/>
                      <w:lang w:val="en-US" w:eastAsia="zh-CN"/>
                    </w:rPr>
                    <w:t>是</w:t>
                  </w:r>
                </w:p>
              </w:tc>
            </w:tr>
            <w:tr w14:paraId="07715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7" w:type="dxa"/>
                  <w:vAlign w:val="center"/>
                </w:tcPr>
                <w:p w14:paraId="47823A19">
                  <w:pPr>
                    <w:adjustRightInd w:val="0"/>
                    <w:snapToGrid w:val="0"/>
                    <w:jc w:val="center"/>
                    <w:rPr>
                      <w:rFonts w:ascii="Times New Roman" w:hAnsi="Times New Roman" w:cs="Times New Roman"/>
                      <w:bCs/>
                      <w:color w:val="auto"/>
                      <w:kern w:val="24"/>
                      <w:szCs w:val="21"/>
                      <w:u w:val="none" w:color="auto"/>
                    </w:rPr>
                  </w:pPr>
                  <w:r>
                    <w:rPr>
                      <w:rFonts w:hint="eastAsia" w:ascii="Times New Roman" w:hAnsi="Times New Roman" w:cs="Times New Roman"/>
                      <w:bCs/>
                      <w:color w:val="auto"/>
                      <w:kern w:val="24"/>
                      <w:szCs w:val="21"/>
                      <w:u w:val="none" w:color="auto"/>
                      <w:lang w:val="en-US" w:eastAsia="zh-CN"/>
                    </w:rPr>
                    <w:t>原料堆存扬尘</w:t>
                  </w:r>
                </w:p>
              </w:tc>
              <w:tc>
                <w:tcPr>
                  <w:tcW w:w="1477" w:type="dxa"/>
                  <w:vAlign w:val="center"/>
                </w:tcPr>
                <w:p w14:paraId="64084691">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颗粒物</w:t>
                  </w:r>
                </w:p>
              </w:tc>
              <w:tc>
                <w:tcPr>
                  <w:tcW w:w="1607" w:type="dxa"/>
                  <w:vAlign w:val="center"/>
                </w:tcPr>
                <w:p w14:paraId="324CFE91">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w:t>
                  </w:r>
                </w:p>
              </w:tc>
              <w:tc>
                <w:tcPr>
                  <w:tcW w:w="1608" w:type="dxa"/>
                  <w:vAlign w:val="center"/>
                </w:tcPr>
                <w:p w14:paraId="37F29744">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水雾除尘</w:t>
                  </w:r>
                </w:p>
              </w:tc>
              <w:tc>
                <w:tcPr>
                  <w:tcW w:w="1608" w:type="dxa"/>
                  <w:vAlign w:val="center"/>
                </w:tcPr>
                <w:p w14:paraId="266ED989">
                  <w:pPr>
                    <w:adjustRightInd w:val="0"/>
                    <w:snapToGrid w:val="0"/>
                    <w:jc w:val="center"/>
                    <w:rPr>
                      <w:rFonts w:hint="eastAsia" w:ascii="Times New Roman" w:hAnsi="Times New Roman" w:cs="Times New Roman" w:eastAsiaTheme="minorEastAsia"/>
                      <w:bCs/>
                      <w:color w:val="auto"/>
                      <w:kern w:val="24"/>
                      <w:szCs w:val="21"/>
                      <w:u w:val="none" w:color="auto"/>
                      <w:lang w:eastAsia="zh-CN"/>
                    </w:rPr>
                  </w:pPr>
                  <w:r>
                    <w:rPr>
                      <w:rFonts w:hint="eastAsia" w:ascii="Times New Roman" w:hAnsi="Times New Roman" w:cs="Times New Roman"/>
                      <w:bCs/>
                      <w:color w:val="auto"/>
                      <w:kern w:val="24"/>
                      <w:szCs w:val="21"/>
                      <w:u w:val="none" w:color="auto"/>
                      <w:lang w:val="en-US" w:eastAsia="zh-CN"/>
                    </w:rPr>
                    <w:t>是</w:t>
                  </w:r>
                </w:p>
              </w:tc>
            </w:tr>
            <w:tr w14:paraId="75ACB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7" w:type="dxa"/>
                  <w:vAlign w:val="center"/>
                </w:tcPr>
                <w:p w14:paraId="4412C2AC">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运输扬尘</w:t>
                  </w:r>
                </w:p>
              </w:tc>
              <w:tc>
                <w:tcPr>
                  <w:tcW w:w="1477" w:type="dxa"/>
                  <w:vAlign w:val="center"/>
                </w:tcPr>
                <w:p w14:paraId="3986556E">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颗粒物</w:t>
                  </w:r>
                </w:p>
              </w:tc>
              <w:tc>
                <w:tcPr>
                  <w:tcW w:w="1607" w:type="dxa"/>
                  <w:vAlign w:val="center"/>
                </w:tcPr>
                <w:p w14:paraId="507CA1E7">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w:t>
                  </w:r>
                </w:p>
              </w:tc>
              <w:tc>
                <w:tcPr>
                  <w:tcW w:w="1608" w:type="dxa"/>
                  <w:vAlign w:val="center"/>
                </w:tcPr>
                <w:p w14:paraId="62C49516">
                  <w:pPr>
                    <w:adjustRightInd w:val="0"/>
                    <w:snapToGrid w:val="0"/>
                    <w:jc w:val="center"/>
                    <w:rPr>
                      <w:rFonts w:ascii="Times New Roman" w:hAnsi="Times New Roman" w:cs="Times New Roman"/>
                      <w:bCs/>
                      <w:color w:val="auto"/>
                      <w:kern w:val="24"/>
                      <w:szCs w:val="21"/>
                      <w:u w:val="none" w:color="auto"/>
                    </w:rPr>
                  </w:pPr>
                  <w:r>
                    <w:rPr>
                      <w:rFonts w:ascii="Times New Roman" w:hAnsi="Times New Roman" w:cs="Times New Roman"/>
                      <w:bCs/>
                      <w:color w:val="auto"/>
                      <w:kern w:val="24"/>
                      <w:szCs w:val="21"/>
                      <w:u w:val="none" w:color="auto"/>
                    </w:rPr>
                    <w:t>洒水降尘</w:t>
                  </w:r>
                </w:p>
              </w:tc>
              <w:tc>
                <w:tcPr>
                  <w:tcW w:w="1608" w:type="dxa"/>
                  <w:vAlign w:val="center"/>
                </w:tcPr>
                <w:p w14:paraId="4C9A9B99">
                  <w:pPr>
                    <w:adjustRightInd w:val="0"/>
                    <w:snapToGrid w:val="0"/>
                    <w:jc w:val="center"/>
                    <w:rPr>
                      <w:rFonts w:hint="eastAsia" w:ascii="Times New Roman" w:hAnsi="Times New Roman" w:cs="Times New Roman" w:eastAsiaTheme="minorEastAsia"/>
                      <w:bCs/>
                      <w:color w:val="auto"/>
                      <w:kern w:val="24"/>
                      <w:szCs w:val="21"/>
                      <w:u w:val="none" w:color="auto"/>
                      <w:lang w:eastAsia="zh-CN"/>
                    </w:rPr>
                  </w:pPr>
                  <w:r>
                    <w:rPr>
                      <w:rFonts w:hint="eastAsia" w:ascii="Times New Roman" w:hAnsi="Times New Roman" w:cs="Times New Roman"/>
                      <w:bCs/>
                      <w:color w:val="auto"/>
                      <w:kern w:val="24"/>
                      <w:szCs w:val="21"/>
                      <w:u w:val="none" w:color="auto"/>
                      <w:lang w:val="en-US" w:eastAsia="zh-CN"/>
                    </w:rPr>
                    <w:t>是</w:t>
                  </w:r>
                </w:p>
              </w:tc>
            </w:tr>
          </w:tbl>
          <w:p w14:paraId="187369CA">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根据上表可知，本项目废气污染防治措施符合《排污许可证申请与核发技术规范 石墨及其他非金属矿物制品制造》（HJ1119-2020）的要求。</w:t>
            </w:r>
          </w:p>
          <w:p w14:paraId="5540836A">
            <w:pPr>
              <w:pStyle w:val="21"/>
              <w:snapToGrid w:val="0"/>
              <w:spacing w:line="360" w:lineRule="auto"/>
              <w:ind w:firstLine="480"/>
              <w:rPr>
                <w:rFonts w:hint="eastAsia" w:ascii="Times New Roman" w:hAnsi="Times New Roman" w:eastAsia="宋体" w:cs="Times New Roman"/>
                <w:color w:val="auto"/>
                <w:sz w:val="24"/>
                <w:szCs w:val="24"/>
                <w:u w:val="none" w:color="auto"/>
                <w:lang w:eastAsia="zh-CN"/>
              </w:rPr>
            </w:pPr>
            <w:r>
              <w:rPr>
                <w:rFonts w:ascii="Times New Roman" w:hAnsi="Times New Roman" w:cs="Times New Roman"/>
                <w:color w:val="auto"/>
                <w:sz w:val="24"/>
                <w:szCs w:val="32"/>
                <w:u w:val="none" w:color="auto"/>
              </w:rPr>
              <w:t>项目投料及搅拌粉尘经</w:t>
            </w:r>
            <w:r>
              <w:rPr>
                <w:rFonts w:hint="eastAsia" w:ascii="Times New Roman" w:hAnsi="Times New Roman" w:cs="Times New Roman"/>
                <w:color w:val="auto"/>
                <w:sz w:val="24"/>
                <w:szCs w:val="32"/>
                <w:u w:val="none" w:color="auto"/>
                <w:lang w:val="en-US" w:eastAsia="zh-CN"/>
              </w:rPr>
              <w:t>脉冲</w:t>
            </w:r>
            <w:r>
              <w:rPr>
                <w:rFonts w:ascii="Times New Roman" w:hAnsi="Times New Roman" w:cs="Times New Roman"/>
                <w:color w:val="auto"/>
                <w:sz w:val="24"/>
                <w:szCs w:val="32"/>
                <w:u w:val="none" w:color="auto"/>
              </w:rPr>
              <w:t>布袋除尘器处理、各料仓粉尘通过仓筒顶部的各自自带的仓顶布袋除尘装置处理；处理后的粉尘经在</w:t>
            </w:r>
            <w:r>
              <w:rPr>
                <w:rFonts w:hint="eastAsia" w:ascii="Times New Roman" w:hAnsi="Times New Roman" w:cs="Times New Roman"/>
                <w:color w:val="auto"/>
                <w:sz w:val="24"/>
                <w:szCs w:val="32"/>
                <w:u w:val="none" w:color="auto"/>
                <w:lang w:val="en-US" w:eastAsia="zh-CN"/>
              </w:rPr>
              <w:t>封闭式</w:t>
            </w:r>
            <w:r>
              <w:rPr>
                <w:rFonts w:ascii="Times New Roman" w:hAnsi="Times New Roman" w:cs="Times New Roman"/>
                <w:color w:val="auto"/>
                <w:sz w:val="24"/>
                <w:u w:val="none" w:color="auto"/>
              </w:rPr>
              <w:t>搅拌楼内</w:t>
            </w:r>
            <w:r>
              <w:rPr>
                <w:rFonts w:ascii="Times New Roman" w:hAnsi="Times New Roman" w:cs="Times New Roman"/>
                <w:color w:val="auto"/>
                <w:sz w:val="24"/>
                <w:szCs w:val="32"/>
                <w:u w:val="none" w:color="auto"/>
              </w:rPr>
              <w:t>自然沉降</w:t>
            </w:r>
            <w:r>
              <w:rPr>
                <w:rFonts w:hint="eastAsia" w:ascii="Times New Roman" w:hAnsi="Times New Roman" w:cs="Times New Roman"/>
                <w:color w:val="auto"/>
                <w:sz w:val="24"/>
                <w:szCs w:val="32"/>
                <w:u w:val="none" w:color="auto"/>
                <w:lang w:eastAsia="zh-CN"/>
              </w:rPr>
              <w:t>。</w:t>
            </w:r>
            <w:r>
              <w:rPr>
                <w:rFonts w:hint="eastAsia" w:ascii="Times New Roman" w:hAnsi="Times New Roman" w:cs="Times New Roman"/>
                <w:color w:val="auto"/>
                <w:sz w:val="24"/>
                <w:szCs w:val="32"/>
                <w:u w:val="none" w:color="auto"/>
                <w:lang w:val="en-US" w:eastAsia="zh-CN"/>
              </w:rPr>
              <w:t>类比</w:t>
            </w:r>
            <w:r>
              <w:rPr>
                <w:rFonts w:ascii="Times New Roman" w:hAnsi="Times New Roman" w:cs="Times New Roman"/>
                <w:color w:val="auto"/>
                <w:sz w:val="24"/>
                <w:szCs w:val="32"/>
                <w:u w:val="none" w:color="auto"/>
              </w:rPr>
              <w:t>岳阳地区同类型项目，厂界粉尘小于0.5mg/m</w:t>
            </w:r>
            <w:r>
              <w:rPr>
                <w:rFonts w:ascii="Times New Roman" w:hAnsi="Times New Roman" w:cs="Times New Roman"/>
                <w:color w:val="auto"/>
                <w:sz w:val="24"/>
                <w:szCs w:val="32"/>
                <w:u w:val="none" w:color="auto"/>
                <w:vertAlign w:val="superscript"/>
              </w:rPr>
              <w:t>3</w:t>
            </w:r>
            <w:r>
              <w:rPr>
                <w:rFonts w:ascii="Times New Roman" w:hAnsi="Times New Roman" w:cs="Times New Roman"/>
                <w:color w:val="auto"/>
                <w:sz w:val="24"/>
                <w:szCs w:val="32"/>
                <w:u w:val="none" w:color="auto"/>
              </w:rPr>
              <w:t>，满足《水泥工业大气污染物排放标准》（GB4915-2013）标准限值要求。</w:t>
            </w:r>
          </w:p>
          <w:p w14:paraId="0D8E81EF">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脉冲式布袋除尘器的原理为：根据水泥、粉煤灰、矿粉等各种粉末状物质的通过孔径，设计收尘器的滤袋，通过最大直径及附着力作用给滤袋孔径的影响作用，满足各粉末状物质过滤要求。除尘器由气体均布室、上箱体、中箱体、下箱体等部分组成，上、中、下箱体为分室结构。工作时，含尘气体由进风道进入气体均布室，粗尘粒直接落入灰斗底部，细尘粒随气流转折向上进入中、下箱体，粉尘积附在滤袋外表面，过滤后的气体进入上箱体至净气集合管-排风道，经排风机排至大气。清灰过程是先切断该室的净气出口风道，使该室的布袋处于无气流通过的状态</w:t>
            </w:r>
            <w:r>
              <w:rPr>
                <w:rFonts w:hint="eastAsia" w:ascii="Times New Roman" w:hAnsi="Times New Roman" w:cs="Times New Roman"/>
                <w:color w:val="auto"/>
                <w:sz w:val="24"/>
                <w:szCs w:val="32"/>
                <w:u w:val="none" w:color="auto"/>
                <w:lang w:eastAsia="zh-CN"/>
              </w:rPr>
              <w:t>（</w:t>
            </w:r>
            <w:r>
              <w:rPr>
                <w:rFonts w:ascii="Times New Roman" w:hAnsi="Times New Roman" w:cs="Times New Roman"/>
                <w:color w:val="auto"/>
                <w:sz w:val="24"/>
                <w:szCs w:val="32"/>
                <w:u w:val="none" w:color="auto"/>
              </w:rPr>
              <w:t>分室停风清灰</w:t>
            </w:r>
            <w:r>
              <w:rPr>
                <w:rFonts w:hint="eastAsia" w:ascii="Times New Roman" w:hAnsi="Times New Roman" w:cs="Times New Roman"/>
                <w:color w:val="auto"/>
                <w:sz w:val="24"/>
                <w:szCs w:val="32"/>
                <w:u w:val="none" w:color="auto"/>
                <w:lang w:eastAsia="zh-CN"/>
              </w:rPr>
              <w:t>）</w:t>
            </w:r>
            <w:r>
              <w:rPr>
                <w:rFonts w:ascii="Times New Roman" w:hAnsi="Times New Roman" w:cs="Times New Roman"/>
                <w:color w:val="auto"/>
                <w:sz w:val="24"/>
                <w:szCs w:val="32"/>
                <w:u w:val="none" w:color="auto"/>
              </w:rPr>
              <w:t>。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由于清灰技术先进，气布比大幅度提高，故具有处理风量大、占地面积小、净化效率高、工作可靠、结构简单、维修量小等特点。</w:t>
            </w:r>
            <w:r>
              <w:rPr>
                <w:rFonts w:hint="eastAsia" w:ascii="Times New Roman" w:hAnsi="Times New Roman" w:cs="Times New Roman"/>
                <w:color w:val="auto"/>
                <w:sz w:val="24"/>
                <w:szCs w:val="24"/>
                <w:u w:val="none" w:color="auto"/>
                <w:lang w:val="en-US" w:eastAsia="zh-CN"/>
              </w:rPr>
              <w:t>脉冲布袋</w:t>
            </w:r>
            <w:r>
              <w:rPr>
                <w:rFonts w:ascii="Times New Roman" w:hAnsi="Times New Roman" w:cs="Times New Roman"/>
                <w:color w:val="auto"/>
                <w:sz w:val="24"/>
                <w:szCs w:val="32"/>
                <w:u w:val="none" w:color="auto"/>
              </w:rPr>
              <w:t>除尘器经过国内许多水泥厂、预拌混凝土搅拌站试验，效果良好，其除尘效率可以达到99.7%以上。</w:t>
            </w:r>
          </w:p>
          <w:p w14:paraId="4230A207">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本项目在物料的配料、进料、输送、提升、搅拌等过程中产生无组织粉尘，无组织排放量与物料的粒径、物料转运的距离和落差、操作管理有关，为了有效地控制各个扬尘点的粉尘，工艺设计中原辅材料应尽量采用密闭设备和密闭式储罐转运，降低物料转运的距离和落差，车间内配备集尘设备，减少无组织粉尘的产生，并在厂房的周围及道路两旁等凡能绿化的地带尽量种植乔木、灌木</w:t>
            </w:r>
            <w:r>
              <w:rPr>
                <w:rFonts w:hint="eastAsia" w:ascii="Times New Roman" w:hAnsi="Times New Roman" w:cs="Times New Roman"/>
                <w:color w:val="auto"/>
                <w:sz w:val="24"/>
                <w:szCs w:val="32"/>
                <w:u w:val="none" w:color="auto"/>
                <w:lang w:val="en-US" w:eastAsia="zh-CN"/>
              </w:rPr>
              <w:t>及铺设</w:t>
            </w:r>
            <w:r>
              <w:rPr>
                <w:rFonts w:ascii="Times New Roman" w:hAnsi="Times New Roman" w:cs="Times New Roman"/>
                <w:color w:val="auto"/>
                <w:sz w:val="24"/>
                <w:szCs w:val="32"/>
                <w:u w:val="none" w:color="auto"/>
              </w:rPr>
              <w:t>草坪，加强厂区周围环境的绿化，减少无组织粉尘对外环境的影响。</w:t>
            </w:r>
          </w:p>
          <w:p w14:paraId="0F53170E">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为了进一步减小项目粉尘对周围环境的影响，建议建设单位采取以下措施进行控制：</w:t>
            </w:r>
          </w:p>
          <w:p w14:paraId="3E4AA73C">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A</w:t>
            </w:r>
            <w:r>
              <w:rPr>
                <w:rFonts w:hint="eastAsia" w:ascii="Times New Roman" w:hAnsi="Times New Roman" w:cs="Times New Roman"/>
                <w:color w:val="auto"/>
                <w:sz w:val="24"/>
                <w:szCs w:val="32"/>
                <w:u w:val="none" w:color="auto"/>
                <w:lang w:eastAsia="zh-CN"/>
              </w:rPr>
              <w:t>）</w:t>
            </w:r>
            <w:r>
              <w:rPr>
                <w:rFonts w:ascii="Times New Roman" w:hAnsi="Times New Roman" w:cs="Times New Roman"/>
                <w:color w:val="auto"/>
                <w:sz w:val="24"/>
                <w:szCs w:val="32"/>
                <w:u w:val="none" w:color="auto"/>
              </w:rPr>
              <w:t>运输砂石车辆采取</w:t>
            </w:r>
            <w:r>
              <w:rPr>
                <w:rFonts w:hint="eastAsia" w:ascii="Times New Roman" w:hAnsi="Times New Roman" w:cs="Times New Roman"/>
                <w:color w:val="auto"/>
                <w:sz w:val="24"/>
                <w:szCs w:val="32"/>
                <w:u w:val="none" w:color="auto"/>
                <w:lang w:val="en-US" w:eastAsia="zh-CN"/>
              </w:rPr>
              <w:t>篷布覆盖</w:t>
            </w:r>
            <w:r>
              <w:rPr>
                <w:rFonts w:ascii="Times New Roman" w:hAnsi="Times New Roman" w:cs="Times New Roman"/>
                <w:color w:val="auto"/>
                <w:sz w:val="24"/>
                <w:szCs w:val="32"/>
                <w:u w:val="none" w:color="auto"/>
              </w:rPr>
              <w:t>措施，进厂后先喷水再卸料</w:t>
            </w:r>
            <w:r>
              <w:rPr>
                <w:rFonts w:hint="eastAsia" w:ascii="Times New Roman" w:hAnsi="Times New Roman" w:cs="Times New Roman"/>
                <w:color w:val="auto"/>
                <w:sz w:val="24"/>
                <w:szCs w:val="32"/>
                <w:u w:val="none" w:color="auto"/>
                <w:lang w:eastAsia="zh-CN"/>
              </w:rPr>
              <w:t>，</w:t>
            </w:r>
            <w:r>
              <w:rPr>
                <w:rFonts w:hint="eastAsia" w:ascii="Times New Roman" w:hAnsi="Times New Roman" w:cs="Times New Roman"/>
                <w:color w:val="auto"/>
                <w:sz w:val="24"/>
                <w:szCs w:val="32"/>
                <w:u w:val="none" w:color="auto"/>
                <w:lang w:val="en-US" w:eastAsia="zh-CN"/>
              </w:rPr>
              <w:t>同时配备洗车平台，对车身及轮胎进行冲洗</w:t>
            </w:r>
            <w:r>
              <w:rPr>
                <w:rFonts w:ascii="Times New Roman" w:hAnsi="Times New Roman" w:cs="Times New Roman"/>
                <w:color w:val="auto"/>
                <w:sz w:val="24"/>
                <w:szCs w:val="32"/>
                <w:u w:val="none" w:color="auto"/>
              </w:rPr>
              <w:t>。</w:t>
            </w:r>
          </w:p>
          <w:p w14:paraId="760D5326">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B</w:t>
            </w:r>
            <w:r>
              <w:rPr>
                <w:rFonts w:hint="eastAsia" w:ascii="Times New Roman" w:hAnsi="Times New Roman" w:cs="Times New Roman"/>
                <w:color w:val="auto"/>
                <w:sz w:val="24"/>
                <w:szCs w:val="32"/>
                <w:u w:val="none" w:color="auto"/>
                <w:lang w:eastAsia="zh-CN"/>
              </w:rPr>
              <w:t>）</w:t>
            </w:r>
            <w:r>
              <w:rPr>
                <w:rFonts w:ascii="Times New Roman" w:hAnsi="Times New Roman" w:cs="Times New Roman"/>
                <w:color w:val="auto"/>
                <w:sz w:val="24"/>
                <w:szCs w:val="32"/>
                <w:u w:val="none" w:color="auto"/>
              </w:rPr>
              <w:t>对砂石料场采取雾化喷淋措施，使砂石保持一定的湿度。</w:t>
            </w:r>
          </w:p>
          <w:p w14:paraId="01050F99">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ascii="Times New Roman" w:hAnsi="Times New Roman" w:cs="Times New Roman"/>
                <w:color w:val="auto"/>
                <w:sz w:val="24"/>
                <w:szCs w:val="32"/>
                <w:u w:val="none" w:color="auto"/>
              </w:rPr>
              <w:t>C</w:t>
            </w:r>
            <w:r>
              <w:rPr>
                <w:rFonts w:hint="eastAsia" w:ascii="Times New Roman" w:hAnsi="Times New Roman" w:cs="Times New Roman"/>
                <w:color w:val="auto"/>
                <w:sz w:val="24"/>
                <w:szCs w:val="32"/>
                <w:u w:val="none" w:color="auto"/>
                <w:lang w:eastAsia="zh-CN"/>
              </w:rPr>
              <w:t>）</w:t>
            </w:r>
            <w:r>
              <w:rPr>
                <w:rFonts w:ascii="Times New Roman" w:hAnsi="Times New Roman" w:cs="Times New Roman"/>
                <w:color w:val="auto"/>
                <w:sz w:val="24"/>
                <w:szCs w:val="32"/>
                <w:u w:val="none" w:color="auto"/>
              </w:rPr>
              <w:t>由于粉尘排放受人为操作因素影响较大，要求厂家加强对操作人员的管理，保持喷淋设施正常运转，将粉尘影响降低到可接受的范围内。</w:t>
            </w:r>
          </w:p>
          <w:p w14:paraId="2AD2C3BA">
            <w:pPr>
              <w:pStyle w:val="101"/>
              <w:snapToGrid w:val="0"/>
              <w:ind w:firstLine="482"/>
              <w:rPr>
                <w:color w:val="auto"/>
                <w:u w:val="none" w:color="auto"/>
              </w:rPr>
            </w:pPr>
            <w:r>
              <w:rPr>
                <w:color w:val="auto"/>
                <w:u w:val="none" w:color="auto"/>
              </w:rPr>
              <w:t>1.5 废气监测要求</w:t>
            </w:r>
          </w:p>
          <w:p w14:paraId="5ADBEA8B">
            <w:pPr>
              <w:widowControl/>
              <w:spacing w:line="360" w:lineRule="auto"/>
              <w:ind w:firstLine="480" w:firstLineChars="200"/>
              <w:jc w:val="left"/>
              <w:textAlignment w:val="baseline"/>
              <w:rPr>
                <w:rFonts w:ascii="Times New Roman" w:hAnsi="Times New Roman" w:cs="Times New Roman"/>
                <w:color w:val="auto"/>
                <w:sz w:val="24"/>
                <w:szCs w:val="32"/>
                <w:u w:val="none" w:color="auto"/>
              </w:rPr>
            </w:pPr>
            <w:r>
              <w:rPr>
                <w:rFonts w:hint="eastAsia" w:ascii="Times New Roman" w:hAnsi="Times New Roman" w:cs="Times New Roman"/>
                <w:color w:val="auto"/>
                <w:sz w:val="24"/>
                <w:szCs w:val="32"/>
                <w:u w:val="none" w:color="auto"/>
                <w:lang w:val="en-US" w:eastAsia="zh-CN"/>
              </w:rPr>
              <w:t>根据《排污单位自行监测技术指南 水泥工业》（HJ 848-2017），“水泥工业”指从事水泥原料矿山开采、水泥（熟料）制造、散装水泥转运以及水泥制品生产的工业部门。本项目产品商品混凝土为水泥制品，属于HJ 848-2017适用范围，因此，本次评价参考HJ 848-2017提出项目废气监测计划，见下表。</w:t>
            </w:r>
          </w:p>
          <w:p w14:paraId="09AF10F9">
            <w:pPr>
              <w:overflowPunct w:val="0"/>
              <w:jc w:val="center"/>
              <w:rPr>
                <w:rFonts w:ascii="Times New Roman" w:hAnsi="Times New Roman" w:eastAsia="宋体" w:cs="Times New Roman"/>
                <w:b/>
                <w:color w:val="auto"/>
                <w:sz w:val="24"/>
                <w:u w:val="none" w:color="auto"/>
              </w:rPr>
            </w:pPr>
            <w:r>
              <w:rPr>
                <w:rFonts w:ascii="Times New Roman" w:hAnsi="Times New Roman" w:eastAsia="宋体" w:cs="Times New Roman"/>
                <w:b/>
                <w:color w:val="auto"/>
                <w:sz w:val="24"/>
                <w:szCs w:val="24"/>
                <w:u w:val="none" w:color="auto"/>
              </w:rPr>
              <w:t>表4-</w:t>
            </w:r>
            <w:r>
              <w:rPr>
                <w:rFonts w:hint="eastAsia" w:ascii="Times New Roman" w:hAnsi="Times New Roman" w:eastAsia="宋体" w:cs="Times New Roman"/>
                <w:b/>
                <w:color w:val="auto"/>
                <w:sz w:val="24"/>
                <w:szCs w:val="24"/>
                <w:u w:val="none" w:color="auto"/>
                <w:lang w:val="en-US" w:eastAsia="zh-CN"/>
              </w:rPr>
              <w:t>3</w:t>
            </w:r>
            <w:r>
              <w:rPr>
                <w:rFonts w:ascii="Times New Roman" w:hAnsi="Times New Roman" w:eastAsia="宋体" w:cs="Times New Roman"/>
                <w:b/>
                <w:color w:val="auto"/>
                <w:sz w:val="24"/>
                <w:szCs w:val="24"/>
                <w:u w:val="none" w:color="auto"/>
              </w:rPr>
              <w:t xml:space="preserve">  废气</w:t>
            </w:r>
            <w:r>
              <w:rPr>
                <w:rFonts w:ascii="Times New Roman" w:hAnsi="Times New Roman" w:eastAsia="宋体" w:cs="Times New Roman"/>
                <w:b/>
                <w:color w:val="auto"/>
                <w:sz w:val="24"/>
                <w:u w:val="none" w:color="auto"/>
              </w:rPr>
              <w:t>监测项目及计划</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5"/>
              <w:gridCol w:w="2277"/>
              <w:gridCol w:w="3695"/>
              <w:gridCol w:w="1335"/>
            </w:tblGrid>
            <w:tr w14:paraId="0724D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6" w:type="pct"/>
                  <w:vAlign w:val="center"/>
                </w:tcPr>
                <w:p w14:paraId="1E0A0700">
                  <w:pPr>
                    <w:pStyle w:val="65"/>
                    <w:jc w:val="center"/>
                    <w:rPr>
                      <w:rFonts w:ascii="Times New Roman" w:hAnsi="Times New Roman" w:cs="Times New Roman"/>
                      <w:b/>
                      <w:color w:val="auto"/>
                      <w:sz w:val="21"/>
                      <w:u w:val="none" w:color="auto"/>
                    </w:rPr>
                  </w:pPr>
                  <w:r>
                    <w:rPr>
                      <w:rFonts w:ascii="Times New Roman" w:hAnsi="Times New Roman" w:cs="Times New Roman"/>
                      <w:b/>
                      <w:color w:val="auto"/>
                      <w:sz w:val="21"/>
                      <w:u w:val="none" w:color="auto"/>
                    </w:rPr>
                    <w:t>项目</w:t>
                  </w:r>
                </w:p>
              </w:tc>
              <w:tc>
                <w:tcPr>
                  <w:tcW w:w="1419" w:type="pct"/>
                  <w:vAlign w:val="center"/>
                </w:tcPr>
                <w:p w14:paraId="4910EC10">
                  <w:pPr>
                    <w:pStyle w:val="65"/>
                    <w:jc w:val="center"/>
                    <w:rPr>
                      <w:rFonts w:ascii="Times New Roman" w:hAnsi="Times New Roman" w:cs="Times New Roman"/>
                      <w:b/>
                      <w:color w:val="auto"/>
                      <w:sz w:val="21"/>
                      <w:u w:val="none" w:color="auto"/>
                    </w:rPr>
                  </w:pPr>
                  <w:r>
                    <w:rPr>
                      <w:rFonts w:ascii="Times New Roman" w:hAnsi="Times New Roman" w:cs="Times New Roman"/>
                      <w:b/>
                      <w:color w:val="auto"/>
                      <w:sz w:val="21"/>
                      <w:u w:val="none" w:color="auto"/>
                    </w:rPr>
                    <w:t>监测位置</w:t>
                  </w:r>
                </w:p>
              </w:tc>
              <w:tc>
                <w:tcPr>
                  <w:tcW w:w="2303" w:type="pct"/>
                  <w:vAlign w:val="center"/>
                </w:tcPr>
                <w:p w14:paraId="2ED801BF">
                  <w:pPr>
                    <w:pStyle w:val="65"/>
                    <w:jc w:val="center"/>
                    <w:rPr>
                      <w:rFonts w:ascii="Times New Roman" w:hAnsi="Times New Roman" w:cs="Times New Roman"/>
                      <w:b/>
                      <w:color w:val="auto"/>
                      <w:sz w:val="21"/>
                      <w:u w:val="none" w:color="auto"/>
                    </w:rPr>
                  </w:pPr>
                  <w:r>
                    <w:rPr>
                      <w:rFonts w:ascii="Times New Roman" w:hAnsi="Times New Roman" w:cs="Times New Roman"/>
                      <w:b/>
                      <w:color w:val="auto"/>
                      <w:sz w:val="21"/>
                      <w:u w:val="none" w:color="auto"/>
                    </w:rPr>
                    <w:t>监测项目</w:t>
                  </w:r>
                </w:p>
              </w:tc>
              <w:tc>
                <w:tcPr>
                  <w:tcW w:w="832" w:type="pct"/>
                  <w:vAlign w:val="center"/>
                </w:tcPr>
                <w:p w14:paraId="0668C4D0">
                  <w:pPr>
                    <w:pStyle w:val="65"/>
                    <w:jc w:val="center"/>
                    <w:rPr>
                      <w:rFonts w:ascii="Times New Roman" w:hAnsi="Times New Roman" w:cs="Times New Roman"/>
                      <w:b/>
                      <w:color w:val="auto"/>
                      <w:sz w:val="21"/>
                      <w:u w:val="none" w:color="auto"/>
                    </w:rPr>
                  </w:pPr>
                  <w:r>
                    <w:rPr>
                      <w:rFonts w:ascii="Times New Roman" w:hAnsi="Times New Roman" w:cs="Times New Roman"/>
                      <w:b/>
                      <w:color w:val="auto"/>
                      <w:sz w:val="21"/>
                      <w:u w:val="none" w:color="auto"/>
                    </w:rPr>
                    <w:t>监测频次</w:t>
                  </w:r>
                </w:p>
              </w:tc>
            </w:tr>
            <w:tr w14:paraId="763CE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6" w:type="pct"/>
                  <w:vAlign w:val="center"/>
                </w:tcPr>
                <w:p w14:paraId="4CAB80FE">
                  <w:pPr>
                    <w:pStyle w:val="65"/>
                    <w:jc w:val="center"/>
                    <w:rPr>
                      <w:rFonts w:ascii="Times New Roman" w:hAnsi="Times New Roman" w:cs="Times New Roman"/>
                      <w:color w:val="auto"/>
                      <w:sz w:val="21"/>
                      <w:u w:val="none" w:color="auto"/>
                    </w:rPr>
                  </w:pPr>
                  <w:r>
                    <w:rPr>
                      <w:rFonts w:ascii="Times New Roman" w:hAnsi="Times New Roman" w:cs="Times New Roman"/>
                      <w:color w:val="auto"/>
                      <w:sz w:val="21"/>
                      <w:u w:val="none" w:color="auto"/>
                    </w:rPr>
                    <w:t>废气</w:t>
                  </w:r>
                </w:p>
              </w:tc>
              <w:tc>
                <w:tcPr>
                  <w:tcW w:w="1419" w:type="pct"/>
                  <w:vAlign w:val="center"/>
                </w:tcPr>
                <w:p w14:paraId="0BE4108B">
                  <w:pPr>
                    <w:pStyle w:val="65"/>
                    <w:jc w:val="center"/>
                    <w:rPr>
                      <w:rFonts w:ascii="Times New Roman" w:hAnsi="Times New Roman" w:cs="Times New Roman"/>
                      <w:color w:val="auto"/>
                      <w:sz w:val="21"/>
                      <w:u w:val="none" w:color="auto"/>
                    </w:rPr>
                  </w:pPr>
                  <w:r>
                    <w:rPr>
                      <w:rFonts w:ascii="Times New Roman" w:hAnsi="Times New Roman" w:cs="Times New Roman"/>
                      <w:color w:val="auto"/>
                      <w:sz w:val="21"/>
                      <w:u w:val="none" w:color="auto"/>
                    </w:rPr>
                    <w:t>厂界</w:t>
                  </w:r>
                </w:p>
              </w:tc>
              <w:tc>
                <w:tcPr>
                  <w:tcW w:w="2303" w:type="pct"/>
                  <w:vAlign w:val="center"/>
                </w:tcPr>
                <w:p w14:paraId="2F62A084">
                  <w:pPr>
                    <w:pStyle w:val="65"/>
                    <w:jc w:val="center"/>
                    <w:rPr>
                      <w:rFonts w:ascii="Times New Roman" w:hAnsi="Times New Roman" w:cs="Times New Roman"/>
                      <w:color w:val="auto"/>
                      <w:sz w:val="21"/>
                      <w:u w:val="none" w:color="auto"/>
                    </w:rPr>
                  </w:pPr>
                  <w:r>
                    <w:rPr>
                      <w:rFonts w:ascii="Times New Roman" w:hAnsi="Times New Roman" w:cs="Times New Roman"/>
                      <w:color w:val="auto"/>
                      <w:sz w:val="21"/>
                      <w:u w:val="none" w:color="auto"/>
                    </w:rPr>
                    <w:t>颗粒物</w:t>
                  </w:r>
                </w:p>
              </w:tc>
              <w:tc>
                <w:tcPr>
                  <w:tcW w:w="832" w:type="pct"/>
                  <w:vAlign w:val="center"/>
                </w:tcPr>
                <w:p w14:paraId="6FF747B8">
                  <w:pPr>
                    <w:pStyle w:val="65"/>
                    <w:jc w:val="center"/>
                    <w:rPr>
                      <w:rFonts w:hint="eastAsia" w:ascii="Times New Roman" w:hAnsi="Times New Roman" w:eastAsia="宋体" w:cs="Times New Roman"/>
                      <w:color w:val="auto"/>
                      <w:sz w:val="21"/>
                      <w:u w:val="none" w:color="auto"/>
                      <w:lang w:eastAsia="zh-CN"/>
                    </w:rPr>
                  </w:pPr>
                  <w:r>
                    <w:rPr>
                      <w:rFonts w:hint="eastAsia" w:ascii="Times New Roman" w:hAnsi="Times New Roman" w:cs="Times New Roman"/>
                      <w:color w:val="auto"/>
                      <w:sz w:val="21"/>
                      <w:u w:val="none" w:color="auto"/>
                      <w:lang w:val="en-US" w:eastAsia="zh-CN"/>
                    </w:rPr>
                    <w:t>1</w:t>
                  </w:r>
                  <w:r>
                    <w:rPr>
                      <w:rFonts w:ascii="Times New Roman" w:hAnsi="Times New Roman" w:cs="Times New Roman"/>
                      <w:color w:val="auto"/>
                      <w:sz w:val="21"/>
                      <w:u w:val="none" w:color="auto"/>
                    </w:rPr>
                    <w:t>次/</w:t>
                  </w:r>
                  <w:r>
                    <w:rPr>
                      <w:rFonts w:hint="eastAsia" w:ascii="Times New Roman" w:hAnsi="Times New Roman" w:cs="Times New Roman"/>
                      <w:color w:val="auto"/>
                      <w:sz w:val="21"/>
                      <w:u w:val="none" w:color="auto"/>
                      <w:lang w:val="en-US" w:eastAsia="zh-CN"/>
                    </w:rPr>
                    <w:t>季度</w:t>
                  </w:r>
                </w:p>
              </w:tc>
            </w:tr>
          </w:tbl>
          <w:p w14:paraId="04464476">
            <w:pPr>
              <w:pStyle w:val="101"/>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both"/>
              <w:textAlignment w:val="auto"/>
              <w:rPr>
                <w:color w:val="auto"/>
                <w:u w:val="none" w:color="auto"/>
              </w:rPr>
            </w:pPr>
            <w:r>
              <w:rPr>
                <w:color w:val="auto"/>
                <w:u w:val="none" w:color="auto"/>
              </w:rPr>
              <w:t>2、废水</w:t>
            </w:r>
          </w:p>
          <w:p w14:paraId="447A2343">
            <w:pPr>
              <w:pStyle w:val="101"/>
              <w:adjustRightInd w:val="0"/>
              <w:snapToGrid w:val="0"/>
              <w:spacing w:before="24"/>
              <w:ind w:firstLine="482"/>
              <w:rPr>
                <w:bCs/>
                <w:color w:val="auto"/>
                <w:u w:val="none" w:color="auto"/>
              </w:rPr>
            </w:pPr>
            <w:r>
              <w:rPr>
                <w:color w:val="auto"/>
                <w:u w:val="none" w:color="auto"/>
              </w:rPr>
              <w:t>2.1废水源强</w:t>
            </w:r>
          </w:p>
          <w:p w14:paraId="296EFD24">
            <w:pPr>
              <w:adjustRightInd w:val="0"/>
              <w:snapToGrid w:val="0"/>
              <w:spacing w:line="360" w:lineRule="auto"/>
              <w:ind w:firstLine="480" w:firstLineChars="200"/>
              <w:rPr>
                <w:rFonts w:hint="default" w:ascii="Times New Roman" w:hAnsi="Times New Roman" w:cs="Times New Roman" w:eastAsiaTheme="minorEastAsia"/>
                <w:color w:val="auto"/>
                <w:sz w:val="24"/>
                <w:u w:val="none" w:color="auto"/>
                <w:lang w:val="en-US" w:eastAsia="zh-CN"/>
              </w:rPr>
            </w:pPr>
            <w:r>
              <w:rPr>
                <w:rFonts w:ascii="Times New Roman" w:hAnsi="Times New Roman" w:cs="Times New Roman"/>
                <w:color w:val="auto"/>
                <w:sz w:val="24"/>
                <w:u w:val="none" w:color="auto"/>
              </w:rPr>
              <w:t>本项目产品配置用水全部进入产品</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该过程无废水产生</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项目废水主要为车辆</w:t>
            </w:r>
            <w:r>
              <w:rPr>
                <w:rFonts w:hint="eastAsia" w:ascii="Times New Roman" w:hAnsi="Times New Roman" w:cs="Times New Roman"/>
                <w:color w:val="auto"/>
                <w:sz w:val="24"/>
                <w:u w:val="none" w:color="auto"/>
                <w:lang w:eastAsia="zh-CN"/>
              </w:rPr>
              <w:t>冲洗废水</w:t>
            </w:r>
            <w:r>
              <w:rPr>
                <w:rFonts w:ascii="Times New Roman" w:hAnsi="Times New Roman" w:cs="Times New Roman"/>
                <w:color w:val="auto"/>
                <w:sz w:val="24"/>
                <w:u w:val="none" w:color="auto"/>
              </w:rPr>
              <w:t>、设备冲洗废水、地面冲洗废水以及生活污水。</w:t>
            </w:r>
            <w:r>
              <w:rPr>
                <w:rFonts w:hint="eastAsia" w:ascii="Times New Roman" w:hAnsi="Times New Roman" w:cs="Times New Roman"/>
                <w:color w:val="auto"/>
                <w:sz w:val="24"/>
                <w:u w:val="none" w:color="auto"/>
                <w:lang w:val="en-US" w:eastAsia="zh-CN"/>
              </w:rPr>
              <w:t>根据建设项目工程分析，各类废水产生情况如下：</w:t>
            </w:r>
          </w:p>
          <w:p w14:paraId="5A5DDDD5">
            <w:pPr>
              <w:adjustRightInd w:val="0"/>
              <w:spacing w:line="360" w:lineRule="auto"/>
              <w:ind w:firstLine="480" w:firstLineChars="200"/>
              <w:rPr>
                <w:rFonts w:hint="eastAsia" w:ascii="Times New Roman" w:hAnsi="Times New Roman" w:cs="Times New Roman"/>
                <w:color w:val="auto"/>
                <w:sz w:val="24"/>
                <w:u w:val="none" w:color="auto"/>
                <w:lang w:val="en-US" w:eastAsia="zh-CN"/>
              </w:rPr>
            </w:pPr>
            <w:r>
              <w:rPr>
                <w:rFonts w:ascii="宋体" w:hAnsi="Times New Roman" w:eastAsia="宋体" w:cs="Times New Roman"/>
                <w:color w:val="auto"/>
                <w:sz w:val="24"/>
                <w:u w:val="none" w:color="auto"/>
              </w:rPr>
              <w:t>①</w:t>
            </w:r>
            <w:r>
              <w:rPr>
                <w:rFonts w:hint="eastAsia" w:ascii="Times New Roman" w:hAnsi="Times New Roman" w:cs="Times New Roman"/>
                <w:color w:val="auto"/>
                <w:sz w:val="24"/>
                <w:u w:val="none" w:color="auto"/>
                <w:lang w:eastAsia="zh-CN"/>
              </w:rPr>
              <w:t>车辆冲洗废水：</w:t>
            </w:r>
            <w:r>
              <w:rPr>
                <w:rFonts w:ascii="Times New Roman" w:hAnsi="Times New Roman" w:cs="Times New Roman"/>
                <w:color w:val="auto"/>
                <w:sz w:val="24"/>
                <w:u w:val="none" w:color="auto"/>
              </w:rPr>
              <w:t>产生量为</w:t>
            </w:r>
            <w:r>
              <w:rPr>
                <w:rFonts w:hint="eastAsia" w:ascii="Times New Roman" w:hAnsi="Times New Roman" w:cs="Times New Roman"/>
                <w:color w:val="auto"/>
                <w:sz w:val="24"/>
                <w:u w:val="none" w:color="auto"/>
                <w:lang w:val="en-US" w:eastAsia="zh-CN"/>
              </w:rPr>
              <w:t>4176</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val="en-US" w:eastAsia="zh-CN"/>
              </w:rPr>
              <w:t>20.88</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/d），经沉淀池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2#</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自然沉淀后回用</w:t>
            </w:r>
            <w:r>
              <w:rPr>
                <w:rFonts w:hint="eastAsia" w:ascii="Times New Roman" w:hAnsi="Times New Roman" w:cs="Times New Roman"/>
                <w:color w:val="auto"/>
                <w:sz w:val="24"/>
                <w:u w:val="none" w:color="auto"/>
                <w:lang w:val="en-US" w:eastAsia="zh-CN"/>
              </w:rPr>
              <w:t>；</w:t>
            </w:r>
          </w:p>
          <w:p w14:paraId="2152BFE7">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②</w:t>
            </w:r>
            <w:r>
              <w:rPr>
                <w:rFonts w:ascii="Times New Roman" w:hAnsi="Times New Roman" w:cs="Times New Roman"/>
                <w:color w:val="auto"/>
                <w:sz w:val="24"/>
                <w:u w:val="none" w:color="auto"/>
              </w:rPr>
              <w:t>设备冲洗废水：产生量为</w:t>
            </w:r>
            <w:r>
              <w:rPr>
                <w:rFonts w:hint="eastAsia" w:ascii="Times New Roman" w:hAnsi="Times New Roman" w:cs="Times New Roman"/>
                <w:color w:val="auto"/>
                <w:sz w:val="24"/>
                <w:u w:val="none" w:color="auto"/>
                <w:lang w:val="en-US" w:eastAsia="zh-CN"/>
              </w:rPr>
              <w:t>792</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val="en-US" w:eastAsia="zh-CN"/>
              </w:rPr>
              <w:t>3.96</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/d），经</w:t>
            </w:r>
            <w:r>
              <w:rPr>
                <w:rFonts w:hint="eastAsia" w:ascii="Times New Roman" w:hAnsi="Times New Roman" w:cs="Times New Roman"/>
                <w:color w:val="auto"/>
                <w:sz w:val="24"/>
                <w:u w:val="none" w:color="auto"/>
                <w:lang w:val="en-US" w:eastAsia="zh-CN"/>
              </w:rPr>
              <w:t>三</w:t>
            </w:r>
            <w:r>
              <w:rPr>
                <w:rFonts w:ascii="Times New Roman" w:hAnsi="Times New Roman" w:cs="Times New Roman"/>
                <w:color w:val="auto"/>
                <w:sz w:val="24"/>
                <w:u w:val="none" w:color="auto"/>
              </w:rPr>
              <w:t>级沉淀池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1#</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自然沉淀后回用。</w:t>
            </w:r>
          </w:p>
          <w:p w14:paraId="240409B4">
            <w:pPr>
              <w:pStyle w:val="66"/>
              <w:spacing w:line="360" w:lineRule="auto"/>
              <w:ind w:firstLine="48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③</w:t>
            </w:r>
            <w:r>
              <w:rPr>
                <w:rFonts w:ascii="Times New Roman" w:hAnsi="Times New Roman" w:cs="Times New Roman"/>
                <w:color w:val="auto"/>
                <w:sz w:val="24"/>
                <w:u w:val="none" w:color="auto"/>
              </w:rPr>
              <w:t>地面冲洗废水</w:t>
            </w:r>
            <w:r>
              <w:rPr>
                <w:rFonts w:ascii="Times New Roman" w:hAnsi="Times New Roman" w:cs="Times New Roman"/>
                <w:bCs/>
                <w:color w:val="auto"/>
                <w:sz w:val="24"/>
                <w:u w:val="none" w:color="auto"/>
              </w:rPr>
              <w:t>：</w:t>
            </w:r>
            <w:r>
              <w:rPr>
                <w:rFonts w:ascii="Times New Roman" w:hAnsi="Times New Roman" w:cs="Times New Roman"/>
                <w:color w:val="auto"/>
                <w:sz w:val="24"/>
                <w:u w:val="none" w:color="auto"/>
              </w:rPr>
              <w:t>产生量</w:t>
            </w:r>
            <w:r>
              <w:rPr>
                <w:rFonts w:hint="eastAsia" w:ascii="Times New Roman" w:hAnsi="Times New Roman" w:cs="Times New Roman"/>
                <w:color w:val="auto"/>
                <w:sz w:val="24"/>
                <w:u w:val="none" w:color="auto"/>
                <w:lang w:val="en-US" w:eastAsia="zh-CN"/>
              </w:rPr>
              <w:t>28</w:t>
            </w:r>
            <w:r>
              <w:rPr>
                <w:rFonts w:ascii="Times New Roman" w:hAnsi="Times New Roman" w:cs="Times New Roman"/>
                <w:color w:val="auto"/>
                <w:sz w:val="24"/>
                <w:u w:val="none" w:color="auto"/>
              </w:rPr>
              <w:t>0m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/a（1.4m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/d），经</w:t>
            </w:r>
            <w:r>
              <w:rPr>
                <w:rFonts w:hint="eastAsia" w:ascii="Times New Roman" w:hAnsi="Times New Roman" w:cs="Times New Roman"/>
                <w:color w:val="auto"/>
                <w:sz w:val="24"/>
                <w:u w:val="none" w:color="auto"/>
                <w:lang w:val="en-US" w:eastAsia="zh-CN"/>
              </w:rPr>
              <w:t>三</w:t>
            </w:r>
            <w:r>
              <w:rPr>
                <w:rFonts w:ascii="Times New Roman" w:hAnsi="Times New Roman" w:cs="Times New Roman"/>
                <w:color w:val="auto"/>
                <w:sz w:val="24"/>
                <w:u w:val="none" w:color="auto"/>
              </w:rPr>
              <w:t>级沉淀池</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1#</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沉淀后回用。</w:t>
            </w:r>
          </w:p>
          <w:p w14:paraId="777D385E">
            <w:pPr>
              <w:spacing w:line="360" w:lineRule="auto"/>
              <w:ind w:right="113" w:firstLine="480" w:firstLineChars="200"/>
              <w:rPr>
                <w:rFonts w:ascii="Times New Roman" w:hAnsi="Times New Roman" w:cs="Times New Roman"/>
                <w:color w:val="auto"/>
                <w:sz w:val="24"/>
                <w:u w:val="none" w:color="auto"/>
              </w:rPr>
            </w:pPr>
            <w:r>
              <w:rPr>
                <w:rFonts w:ascii="Times New Roman" w:hAnsi="Times New Roman" w:eastAsia="宋体" w:cs="Times New Roman"/>
                <w:color w:val="auto"/>
                <w:sz w:val="24"/>
                <w:u w:val="none" w:color="auto"/>
              </w:rPr>
              <w:t>④</w:t>
            </w:r>
            <w:r>
              <w:rPr>
                <w:rFonts w:ascii="Times New Roman" w:hAnsi="Times New Roman" w:cs="Times New Roman"/>
                <w:color w:val="auto"/>
                <w:sz w:val="24"/>
                <w:u w:val="none" w:color="auto"/>
              </w:rPr>
              <w:t>生活污水：产生量为</w:t>
            </w:r>
            <w:r>
              <w:rPr>
                <w:rFonts w:hint="eastAsia" w:ascii="Times New Roman" w:hAnsi="Times New Roman" w:cs="Times New Roman"/>
                <w:color w:val="auto"/>
                <w:sz w:val="24"/>
                <w:u w:val="none" w:color="auto"/>
                <w:lang w:val="en-US" w:eastAsia="zh-CN"/>
              </w:rPr>
              <w:t>320</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val="en-US" w:eastAsia="zh-CN"/>
              </w:rPr>
              <w:t>1.6</w:t>
            </w:r>
            <w:r>
              <w:rPr>
                <w:rFonts w:ascii="Times New Roman" w:hAnsi="Times New Roman" w:cs="Times New Roman"/>
                <w:color w:val="auto"/>
                <w:sz w:val="24"/>
                <w:u w:val="none" w:color="auto"/>
              </w:rPr>
              <w:t>m</w:t>
            </w:r>
            <w:r>
              <w:rPr>
                <w:rFonts w:ascii="Times New Roman" w:hAnsi="Times New Roman" w:cs="Times New Roman"/>
                <w:color w:val="auto"/>
                <w:sz w:val="24"/>
                <w:u w:val="none" w:color="auto"/>
                <w:vertAlign w:val="superscript"/>
              </w:rPr>
              <w:t>3</w:t>
            </w:r>
            <w:r>
              <w:rPr>
                <w:rFonts w:ascii="Times New Roman" w:hAnsi="Times New Roman" w:cs="Times New Roman"/>
                <w:color w:val="auto"/>
                <w:sz w:val="24"/>
                <w:u w:val="none" w:color="auto"/>
              </w:rPr>
              <w:t>/d），经化粪池处理后用于周边</w:t>
            </w:r>
            <w:r>
              <w:rPr>
                <w:rFonts w:hint="eastAsia" w:ascii="Times New Roman" w:hAnsi="Times New Roman" w:cs="Times New Roman"/>
                <w:color w:val="auto"/>
                <w:sz w:val="24"/>
                <w:u w:val="none" w:color="auto"/>
                <w:lang w:val="en-US" w:eastAsia="zh-CN"/>
              </w:rPr>
              <w:t>林地</w:t>
            </w:r>
            <w:r>
              <w:rPr>
                <w:rFonts w:hint="eastAsia" w:ascii="Times New Roman" w:hAnsi="Times New Roman" w:cs="Times New Roman"/>
                <w:color w:val="auto"/>
                <w:sz w:val="24"/>
                <w:u w:val="none" w:color="auto"/>
                <w:lang w:eastAsia="zh-CN"/>
              </w:rPr>
              <w:t>施肥</w:t>
            </w:r>
            <w:r>
              <w:rPr>
                <w:rFonts w:ascii="Times New Roman" w:hAnsi="Times New Roman" w:cs="Times New Roman"/>
                <w:color w:val="auto"/>
                <w:sz w:val="24"/>
                <w:u w:val="none" w:color="auto"/>
              </w:rPr>
              <w:t>。</w:t>
            </w:r>
          </w:p>
          <w:p w14:paraId="7DAE771C">
            <w:pPr>
              <w:spacing w:line="360" w:lineRule="auto"/>
              <w:ind w:right="113" w:firstLine="480" w:firstLineChars="200"/>
              <w:rPr>
                <w:rFonts w:ascii="Times New Roman" w:hAnsi="Times New Roman" w:eastAsia="宋体" w:cs="Times New Roman"/>
                <w:color w:val="auto"/>
                <w:sz w:val="24"/>
                <w:u w:val="none" w:color="auto"/>
              </w:rPr>
            </w:pPr>
            <w:r>
              <w:rPr>
                <w:rFonts w:ascii="宋体" w:hAnsi="Times New Roman" w:eastAsia="宋体" w:cs="Times New Roman"/>
                <w:color w:val="auto"/>
                <w:sz w:val="24"/>
                <w:u w:val="none" w:color="auto"/>
              </w:rPr>
              <w:t>⑤</w:t>
            </w:r>
            <w:r>
              <w:rPr>
                <w:rFonts w:ascii="Times New Roman" w:hAnsi="Times New Roman" w:eastAsia="宋体" w:cs="Times New Roman"/>
                <w:color w:val="auto"/>
                <w:sz w:val="24"/>
                <w:u w:val="none" w:color="auto"/>
              </w:rPr>
              <w:t>初期雨水</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产生量</w:t>
            </w:r>
            <w:r>
              <w:rPr>
                <w:rFonts w:hint="default" w:ascii="Times New Roman" w:hAnsi="Times New Roman" w:eastAsia="宋体" w:cs="Times New Roman"/>
                <w:color w:val="auto"/>
                <w:sz w:val="24"/>
                <w:u w:val="none" w:color="auto"/>
              </w:rPr>
              <w:t>为</w:t>
            </w:r>
            <w:r>
              <w:rPr>
                <w:rFonts w:hint="eastAsia" w:ascii="Times New Roman" w:hAnsi="Times New Roman" w:eastAsia="宋体" w:cs="Times New Roman"/>
                <w:color w:val="auto"/>
                <w:sz w:val="24"/>
                <w:u w:val="none" w:color="auto"/>
                <w:lang w:val="en-US" w:eastAsia="zh-CN"/>
              </w:rPr>
              <w:t>59.05</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vertAlign w:val="baseline"/>
                <w:lang w:val="en-US" w:eastAsia="zh-CN"/>
              </w:rPr>
              <w:t>/次</w:t>
            </w:r>
            <w:r>
              <w:rPr>
                <w:rFonts w:hint="default" w:ascii="Times New Roman" w:hAnsi="Times New Roman" w:eastAsia="宋体" w:cs="Times New Roman"/>
                <w:color w:val="auto"/>
                <w:sz w:val="24"/>
                <w:u w:val="none" w:color="auto"/>
              </w:rPr>
              <w:t>（</w:t>
            </w:r>
            <w:r>
              <w:rPr>
                <w:rFonts w:hint="eastAsia" w:ascii="Times New Roman" w:hAnsi="Times New Roman" w:eastAsia="宋体" w:cs="Times New Roman"/>
                <w:color w:val="auto"/>
                <w:sz w:val="24"/>
                <w:u w:val="none" w:color="auto"/>
                <w:lang w:val="en-US" w:eastAsia="zh-CN"/>
              </w:rPr>
              <w:t>1440</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/a）</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其</w:t>
            </w:r>
            <w:r>
              <w:rPr>
                <w:rFonts w:hint="default" w:ascii="Times New Roman" w:hAnsi="Times New Roman" w:eastAsia="宋体" w:cs="Times New Roman"/>
                <w:color w:val="auto"/>
                <w:sz w:val="24"/>
                <w:u w:val="none" w:color="auto"/>
              </w:rPr>
              <w:t>主要污染物为SS</w:t>
            </w:r>
            <w:r>
              <w:rPr>
                <w:rFonts w:hint="eastAsia" w:ascii="Times New Roman" w:hAnsi="Times New Roman" w:eastAsia="宋体" w:cs="Times New Roman"/>
                <w:color w:val="auto"/>
                <w:sz w:val="24"/>
                <w:u w:val="none" w:color="auto"/>
                <w:lang w:val="en-US" w:eastAsia="zh-CN"/>
              </w:rPr>
              <w:t>，</w:t>
            </w:r>
            <w:r>
              <w:rPr>
                <w:rFonts w:hint="default" w:ascii="Times New Roman" w:hAnsi="Times New Roman" w:eastAsia="宋体" w:cs="Times New Roman"/>
                <w:color w:val="auto"/>
                <w:sz w:val="24"/>
                <w:u w:val="none" w:color="auto"/>
                <w:lang w:val="en-US" w:eastAsia="zh-CN"/>
              </w:rPr>
              <w:t>经</w:t>
            </w:r>
            <w:r>
              <w:rPr>
                <w:rFonts w:hint="default" w:ascii="Times New Roman" w:hAnsi="Times New Roman" w:eastAsia="宋体" w:cs="Times New Roman"/>
                <w:color w:val="auto"/>
                <w:sz w:val="24"/>
                <w:u w:val="none" w:color="auto"/>
                <w:lang w:eastAsia="zh-CN"/>
              </w:rPr>
              <w:t>初期雨水收集沉淀池</w:t>
            </w: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lang w:val="en-US" w:eastAsia="zh-CN"/>
              </w:rPr>
              <w:t>3#</w:t>
            </w:r>
            <w:r>
              <w:rPr>
                <w:rFonts w:hint="eastAsia"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处理</w:t>
            </w:r>
            <w:r>
              <w:rPr>
                <w:rFonts w:hint="default" w:ascii="Times New Roman" w:hAnsi="Times New Roman" w:eastAsia="宋体" w:cs="Times New Roman"/>
                <w:color w:val="auto"/>
                <w:sz w:val="24"/>
                <w:u w:val="none" w:color="auto"/>
              </w:rPr>
              <w:t>后，用于生产</w:t>
            </w:r>
            <w:r>
              <w:rPr>
                <w:rFonts w:hint="default" w:ascii="Times New Roman" w:hAnsi="Times New Roman" w:eastAsia="宋体" w:cs="Times New Roman"/>
                <w:color w:val="auto"/>
                <w:sz w:val="24"/>
                <w:u w:val="none" w:color="auto"/>
                <w:lang w:val="en-US" w:eastAsia="zh-CN"/>
              </w:rPr>
              <w:t>厂区降尘用水。</w:t>
            </w:r>
            <w:r>
              <w:rPr>
                <w:rFonts w:hint="default" w:ascii="Times New Roman" w:hAnsi="Times New Roman" w:eastAsia="宋体" w:cs="Times New Roman"/>
                <w:bCs w:val="0"/>
                <w:color w:val="auto"/>
                <w:sz w:val="24"/>
                <w:u w:val="none" w:color="auto"/>
                <w:lang w:val="en-US" w:eastAsia="zh-CN"/>
              </w:rPr>
              <w:t>在</w:t>
            </w:r>
            <w:r>
              <w:rPr>
                <w:rFonts w:ascii="Times New Roman" w:hAnsi="Times New Roman" w:eastAsia="宋体" w:cs="Times New Roman"/>
                <w:bCs w:val="0"/>
                <w:color w:val="auto"/>
                <w:sz w:val="24"/>
                <w:u w:val="none" w:color="auto"/>
              </w:rPr>
              <w:t>生产区四周修建雨水导流沟，并</w:t>
            </w:r>
            <w:r>
              <w:rPr>
                <w:rFonts w:hint="default" w:ascii="Times New Roman" w:hAnsi="Times New Roman" w:eastAsia="宋体" w:cs="Times New Roman"/>
                <w:bCs w:val="0"/>
                <w:color w:val="auto"/>
                <w:sz w:val="24"/>
                <w:u w:val="none" w:color="auto"/>
                <w:lang w:val="en-US" w:eastAsia="zh-CN"/>
              </w:rPr>
              <w:t>于</w:t>
            </w:r>
            <w:r>
              <w:rPr>
                <w:rFonts w:ascii="Times New Roman" w:hAnsi="Times New Roman" w:eastAsia="宋体" w:cs="Times New Roman"/>
                <w:bCs w:val="0"/>
                <w:color w:val="auto"/>
                <w:sz w:val="24"/>
                <w:u w:val="none" w:color="auto"/>
              </w:rPr>
              <w:t>厂区</w:t>
            </w:r>
            <w:r>
              <w:rPr>
                <w:rFonts w:hint="default" w:ascii="Times New Roman" w:hAnsi="Times New Roman" w:eastAsia="宋体" w:cs="Times New Roman"/>
                <w:bCs w:val="0"/>
                <w:color w:val="auto"/>
                <w:sz w:val="24"/>
                <w:u w:val="none" w:color="auto"/>
                <w:lang w:val="en-US" w:eastAsia="zh-CN"/>
              </w:rPr>
              <w:t>东北侧</w:t>
            </w:r>
            <w:r>
              <w:rPr>
                <w:rFonts w:ascii="Times New Roman" w:hAnsi="Times New Roman" w:eastAsia="宋体" w:cs="Times New Roman"/>
                <w:bCs w:val="0"/>
                <w:color w:val="auto"/>
                <w:sz w:val="24"/>
                <w:u w:val="none" w:color="auto"/>
              </w:rPr>
              <w:t>设置初期</w:t>
            </w:r>
            <w:r>
              <w:rPr>
                <w:rFonts w:ascii="Times New Roman" w:hAnsi="Times New Roman" w:eastAsia="宋体" w:cs="Times New Roman"/>
                <w:color w:val="auto"/>
                <w:sz w:val="24"/>
                <w:u w:val="none" w:color="auto"/>
              </w:rPr>
              <w:t>雨水收集沉淀池</w:t>
            </w:r>
            <w:r>
              <w:rPr>
                <w:rFonts w:hint="eastAsia" w:ascii="Times New Roman" w:hAnsi="Times New Roman" w:eastAsia="宋体" w:cs="Times New Roman"/>
                <w:color w:val="auto"/>
                <w:sz w:val="24"/>
                <w:u w:val="none" w:color="auto"/>
                <w:lang w:eastAsia="zh-CN"/>
              </w:rPr>
              <w:t>（</w:t>
            </w:r>
            <w:r>
              <w:rPr>
                <w:rFonts w:ascii="Times New Roman" w:hAnsi="Times New Roman" w:eastAsia="宋体" w:cs="Times New Roman"/>
                <w:color w:val="auto"/>
                <w:sz w:val="24"/>
                <w:u w:val="none" w:color="auto"/>
              </w:rPr>
              <w:t>规格为</w:t>
            </w:r>
            <w:r>
              <w:rPr>
                <w:rFonts w:hint="eastAsia" w:ascii="Times New Roman" w:hAnsi="Times New Roman"/>
                <w:color w:val="auto"/>
                <w:sz w:val="24"/>
                <w:szCs w:val="24"/>
                <w:u w:val="none" w:color="auto"/>
                <w:shd w:val="clear"/>
                <w:lang w:val="en-US" w:eastAsia="zh-CN"/>
              </w:rPr>
              <w:t>6m</w:t>
            </w:r>
            <w:r>
              <w:rPr>
                <w:rFonts w:ascii="Times New Roman" w:hAnsi="Times New Roman"/>
                <w:color w:val="auto"/>
                <w:sz w:val="24"/>
                <w:szCs w:val="24"/>
                <w:u w:val="none" w:color="auto"/>
              </w:rPr>
              <w:t>×</w:t>
            </w:r>
            <w:r>
              <w:rPr>
                <w:rFonts w:hint="eastAsia" w:ascii="Times New Roman" w:hAnsi="Times New Roman"/>
                <w:color w:val="auto"/>
                <w:sz w:val="24"/>
                <w:szCs w:val="24"/>
                <w:u w:val="none" w:color="auto"/>
                <w:lang w:val="en-US" w:eastAsia="zh-CN"/>
              </w:rPr>
              <w:t>4m</w:t>
            </w:r>
            <w:r>
              <w:rPr>
                <w:rFonts w:ascii="Times New Roman" w:hAnsi="Times New Roman"/>
                <w:color w:val="auto"/>
                <w:sz w:val="24"/>
                <w:szCs w:val="24"/>
                <w:u w:val="none" w:color="auto"/>
              </w:rPr>
              <w:t>×</w:t>
            </w:r>
            <w:r>
              <w:rPr>
                <w:rFonts w:hint="eastAsia" w:ascii="Times New Roman" w:hAnsi="Times New Roman"/>
                <w:color w:val="auto"/>
                <w:sz w:val="24"/>
                <w:szCs w:val="24"/>
                <w:u w:val="none" w:color="auto"/>
                <w:lang w:val="en-US" w:eastAsia="zh-CN"/>
              </w:rPr>
              <w:t>3</w:t>
            </w:r>
            <w:r>
              <w:rPr>
                <w:rFonts w:ascii="Times New Roman" w:hAnsi="Times New Roman"/>
                <w:color w:val="auto"/>
                <w:sz w:val="24"/>
                <w:szCs w:val="24"/>
                <w:u w:val="none" w:color="auto"/>
              </w:rPr>
              <w:t>m</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总容积</w:t>
            </w:r>
            <w:r>
              <w:rPr>
                <w:rFonts w:hint="eastAsia" w:ascii="Times New Roman" w:hAnsi="Times New Roman" w:eastAsia="宋体" w:cs="Times New Roman"/>
                <w:color w:val="auto"/>
                <w:sz w:val="24"/>
                <w:u w:val="none" w:color="auto"/>
                <w:lang w:val="en-US" w:eastAsia="zh-CN"/>
              </w:rPr>
              <w:t>72</w:t>
            </w:r>
            <w:r>
              <w:rPr>
                <w:rFonts w:ascii="Times New Roman" w:hAnsi="Times New Roman" w:eastAsia="宋体" w:cs="Times New Roman"/>
                <w:color w:val="auto"/>
                <w:sz w:val="24"/>
                <w:u w:val="none" w:color="auto"/>
              </w:rPr>
              <w:t>m</w:t>
            </w:r>
            <w:r>
              <w:rPr>
                <w:rFonts w:ascii="Times New Roman" w:hAnsi="Times New Roman" w:eastAsia="宋体" w:cs="Times New Roman"/>
                <w:color w:val="auto"/>
                <w:sz w:val="24"/>
                <w:u w:val="none" w:color="auto"/>
                <w:vertAlign w:val="superscript"/>
              </w:rPr>
              <w:t>3</w:t>
            </w: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bCs w:val="0"/>
                <w:color w:val="auto"/>
                <w:sz w:val="24"/>
                <w:u w:val="none" w:color="auto"/>
                <w:lang w:eastAsia="zh-CN"/>
              </w:rPr>
              <w:t>，</w:t>
            </w:r>
            <w:r>
              <w:rPr>
                <w:rFonts w:ascii="Times New Roman" w:hAnsi="Times New Roman" w:eastAsia="宋体" w:cs="Times New Roman"/>
                <w:color w:val="auto"/>
                <w:sz w:val="24"/>
                <w:szCs w:val="22"/>
                <w:u w:val="none" w:color="auto"/>
              </w:rPr>
              <w:t>初期雨水收集沉淀池平时处于打开状态，暴雨后15min</w:t>
            </w:r>
            <w:r>
              <w:rPr>
                <w:rFonts w:hint="default" w:ascii="Times New Roman" w:hAnsi="Times New Roman" w:eastAsia="宋体" w:cs="Times New Roman"/>
                <w:color w:val="auto"/>
                <w:sz w:val="24"/>
                <w:szCs w:val="22"/>
                <w:u w:val="none" w:color="auto"/>
                <w:lang w:val="en-US" w:eastAsia="zh-CN"/>
              </w:rPr>
              <w:t>后</w:t>
            </w:r>
            <w:r>
              <w:rPr>
                <w:rFonts w:ascii="Times New Roman" w:hAnsi="Times New Roman" w:eastAsia="宋体" w:cs="Times New Roman"/>
                <w:color w:val="auto"/>
                <w:sz w:val="24"/>
                <w:szCs w:val="22"/>
                <w:u w:val="none" w:color="auto"/>
              </w:rPr>
              <w:t>人工关闭切换阀</w:t>
            </w:r>
            <w:r>
              <w:rPr>
                <w:rFonts w:hint="default" w:ascii="Times New Roman" w:hAnsi="Times New Roman" w:eastAsia="宋体" w:cs="Times New Roman"/>
                <w:color w:val="auto"/>
                <w:sz w:val="24"/>
                <w:szCs w:val="22"/>
                <w:u w:val="none" w:color="auto"/>
                <w:lang w:eastAsia="zh-CN"/>
              </w:rPr>
              <w:t>。</w:t>
            </w:r>
          </w:p>
          <w:p w14:paraId="602F02C1">
            <w:pPr>
              <w:adjustRightInd w:val="0"/>
              <w:snapToGrid w:val="0"/>
              <w:spacing w:line="360" w:lineRule="auto"/>
              <w:ind w:firstLine="482" w:firstLineChars="200"/>
              <w:jc w:val="left"/>
              <w:rPr>
                <w:rFonts w:hint="default" w:ascii="Times New Roman" w:hAnsi="Times New Roman" w:cs="Times New Roman"/>
                <w:b/>
                <w:bCs/>
                <w:color w:val="auto"/>
                <w:sz w:val="24"/>
                <w:u w:val="none" w:color="auto"/>
              </w:rPr>
            </w:pPr>
            <w:r>
              <w:rPr>
                <w:rFonts w:hint="default" w:ascii="Times New Roman" w:hAnsi="Times New Roman" w:cs="Times New Roman"/>
                <w:b/>
                <w:bCs/>
                <w:color w:val="auto"/>
                <w:sz w:val="24"/>
                <w:u w:val="none" w:color="auto"/>
              </w:rPr>
              <w:t>2.</w:t>
            </w:r>
            <w:r>
              <w:rPr>
                <w:rFonts w:hint="eastAsia" w:ascii="Times New Roman" w:hAnsi="Times New Roman" w:cs="Times New Roman"/>
                <w:b/>
                <w:bCs/>
                <w:color w:val="auto"/>
                <w:sz w:val="24"/>
                <w:u w:val="none" w:color="auto"/>
                <w:lang w:val="en-US" w:eastAsia="zh-CN"/>
              </w:rPr>
              <w:t>2</w:t>
            </w:r>
            <w:r>
              <w:rPr>
                <w:rFonts w:hint="default" w:ascii="Times New Roman" w:hAnsi="Times New Roman" w:cs="Times New Roman"/>
                <w:b/>
                <w:bCs/>
                <w:color w:val="auto"/>
                <w:sz w:val="24"/>
                <w:u w:val="none" w:color="auto"/>
                <w:lang w:val="en-US" w:eastAsia="zh-CN"/>
              </w:rPr>
              <w:t>水</w:t>
            </w:r>
            <w:r>
              <w:rPr>
                <w:rFonts w:hint="default" w:ascii="Times New Roman" w:hAnsi="Times New Roman" w:cs="Times New Roman"/>
                <w:b/>
                <w:bCs/>
                <w:color w:val="auto"/>
                <w:sz w:val="24"/>
                <w:u w:val="none" w:color="auto"/>
              </w:rPr>
              <w:t>污染物排放信息</w:t>
            </w:r>
          </w:p>
          <w:p w14:paraId="3922BC8A">
            <w:pPr>
              <w:snapToGrid w:val="0"/>
              <w:spacing w:line="360" w:lineRule="auto"/>
              <w:ind w:firstLine="470" w:firstLineChars="196"/>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废水类别、污染物及污染治理设施信息，详见表4-</w:t>
            </w:r>
            <w:r>
              <w:rPr>
                <w:rFonts w:hint="default" w:ascii="Times New Roman" w:hAnsi="Times New Roman" w:cs="Times New Roman"/>
                <w:color w:val="auto"/>
                <w:sz w:val="24"/>
                <w:u w:val="none" w:color="auto"/>
                <w:lang w:val="en-US" w:eastAsia="zh-CN"/>
              </w:rPr>
              <w:t>4</w:t>
            </w:r>
            <w:r>
              <w:rPr>
                <w:rFonts w:hint="default" w:ascii="Times New Roman" w:hAnsi="Times New Roman" w:cs="Times New Roman"/>
                <w:color w:val="auto"/>
                <w:sz w:val="24"/>
                <w:u w:val="none" w:color="auto"/>
              </w:rPr>
              <w:t>。</w:t>
            </w:r>
          </w:p>
          <w:p w14:paraId="1AD422AD">
            <w:pPr>
              <w:snapToGrid w:val="0"/>
              <w:jc w:val="center"/>
              <w:rPr>
                <w:rFonts w:hint="default" w:ascii="Times New Roman" w:hAnsi="Times New Roman" w:cs="Times New Roman"/>
                <w:b/>
                <w:bCs/>
                <w:color w:val="auto"/>
                <w:sz w:val="24"/>
                <w:u w:val="none" w:color="auto"/>
              </w:rPr>
            </w:pPr>
            <w:r>
              <w:rPr>
                <w:rFonts w:hint="default" w:ascii="Times New Roman" w:hAnsi="Times New Roman" w:cs="Times New Roman"/>
                <w:b/>
                <w:bCs/>
                <w:color w:val="auto"/>
                <w:sz w:val="24"/>
                <w:u w:val="none" w:color="auto"/>
              </w:rPr>
              <w:t>表4-</w:t>
            </w:r>
            <w:r>
              <w:rPr>
                <w:rFonts w:hint="default" w:ascii="Times New Roman" w:hAnsi="Times New Roman" w:cs="Times New Roman"/>
                <w:b/>
                <w:bCs/>
                <w:color w:val="auto"/>
                <w:sz w:val="24"/>
                <w:u w:val="none" w:color="auto"/>
                <w:lang w:val="en-US" w:eastAsia="zh-CN"/>
              </w:rPr>
              <w:t>4</w:t>
            </w:r>
            <w:r>
              <w:rPr>
                <w:rFonts w:hint="default" w:ascii="Times New Roman" w:hAnsi="Times New Roman" w:cs="Times New Roman"/>
                <w:b/>
                <w:bCs/>
                <w:color w:val="auto"/>
                <w:sz w:val="24"/>
                <w:u w:val="none" w:color="auto"/>
              </w:rPr>
              <w:t xml:space="preserve">  废水类别、污染物及污染治理设施信息表</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5"/>
              <w:gridCol w:w="891"/>
              <w:gridCol w:w="873"/>
              <w:gridCol w:w="707"/>
              <w:gridCol w:w="963"/>
              <w:gridCol w:w="1074"/>
              <w:gridCol w:w="1036"/>
              <w:gridCol w:w="702"/>
              <w:gridCol w:w="903"/>
              <w:gridCol w:w="532"/>
            </w:tblGrid>
            <w:tr w14:paraId="61F8E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restart"/>
                  <w:tcBorders>
                    <w:tl2br w:val="nil"/>
                    <w:tr2bl w:val="nil"/>
                  </w:tcBorders>
                  <w:noWrap w:val="0"/>
                  <w:vAlign w:val="center"/>
                </w:tcPr>
                <w:p w14:paraId="0958DCE4">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序号</w:t>
                  </w:r>
                </w:p>
              </w:tc>
              <w:tc>
                <w:tcPr>
                  <w:tcW w:w="555" w:type="pct"/>
                  <w:vMerge w:val="restart"/>
                  <w:tcBorders>
                    <w:tl2br w:val="nil"/>
                    <w:tr2bl w:val="nil"/>
                  </w:tcBorders>
                  <w:noWrap w:val="0"/>
                  <w:vAlign w:val="center"/>
                </w:tcPr>
                <w:p w14:paraId="5F850DB5">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废水类别</w:t>
                  </w:r>
                </w:p>
              </w:tc>
              <w:tc>
                <w:tcPr>
                  <w:tcW w:w="544" w:type="pct"/>
                  <w:vMerge w:val="restart"/>
                  <w:tcBorders>
                    <w:tl2br w:val="nil"/>
                    <w:tr2bl w:val="nil"/>
                  </w:tcBorders>
                  <w:noWrap w:val="0"/>
                  <w:vAlign w:val="center"/>
                </w:tcPr>
                <w:p w14:paraId="37969977">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排放去向</w:t>
                  </w:r>
                </w:p>
              </w:tc>
              <w:tc>
                <w:tcPr>
                  <w:tcW w:w="440" w:type="pct"/>
                  <w:vMerge w:val="restart"/>
                  <w:tcBorders>
                    <w:tl2br w:val="nil"/>
                    <w:tr2bl w:val="nil"/>
                  </w:tcBorders>
                  <w:noWrap w:val="0"/>
                  <w:vAlign w:val="center"/>
                </w:tcPr>
                <w:p w14:paraId="59EB24D7">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排放规律</w:t>
                  </w:r>
                </w:p>
              </w:tc>
              <w:tc>
                <w:tcPr>
                  <w:tcW w:w="1916" w:type="pct"/>
                  <w:gridSpan w:val="3"/>
                  <w:tcBorders>
                    <w:tl2br w:val="nil"/>
                    <w:tr2bl w:val="nil"/>
                  </w:tcBorders>
                  <w:noWrap w:val="0"/>
                  <w:vAlign w:val="center"/>
                </w:tcPr>
                <w:p w14:paraId="7677BED7">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污染治理设施</w:t>
                  </w:r>
                </w:p>
              </w:tc>
              <w:tc>
                <w:tcPr>
                  <w:tcW w:w="437" w:type="pct"/>
                  <w:vMerge w:val="restart"/>
                  <w:tcBorders>
                    <w:tl2br w:val="nil"/>
                    <w:tr2bl w:val="nil"/>
                  </w:tcBorders>
                  <w:noWrap w:val="0"/>
                  <w:vAlign w:val="center"/>
                </w:tcPr>
                <w:p w14:paraId="6FC06403">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排放口编号</w:t>
                  </w:r>
                </w:p>
              </w:tc>
              <w:tc>
                <w:tcPr>
                  <w:tcW w:w="563" w:type="pct"/>
                  <w:vMerge w:val="restart"/>
                  <w:tcBorders>
                    <w:tl2br w:val="nil"/>
                    <w:tr2bl w:val="nil"/>
                  </w:tcBorders>
                  <w:noWrap w:val="0"/>
                  <w:vAlign w:val="center"/>
                </w:tcPr>
                <w:p w14:paraId="07B16D94">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排放口设置是否符合要求</w:t>
                  </w:r>
                </w:p>
              </w:tc>
              <w:tc>
                <w:tcPr>
                  <w:tcW w:w="331" w:type="pct"/>
                  <w:vMerge w:val="restart"/>
                  <w:tcBorders>
                    <w:tl2br w:val="nil"/>
                    <w:tr2bl w:val="nil"/>
                  </w:tcBorders>
                  <w:noWrap w:val="0"/>
                  <w:vAlign w:val="center"/>
                </w:tcPr>
                <w:p w14:paraId="46AA4C1E">
                  <w:pPr>
                    <w:adjustRightInd w:val="0"/>
                    <w:snapToGrid w:val="0"/>
                    <w:ind w:left="-105" w:leftChars="-50" w:right="-105" w:rightChars="-5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排放口类型</w:t>
                  </w:r>
                </w:p>
              </w:tc>
            </w:tr>
            <w:tr w14:paraId="498FF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tcBorders>
                    <w:tl2br w:val="nil"/>
                    <w:tr2bl w:val="nil"/>
                  </w:tcBorders>
                  <w:noWrap w:val="0"/>
                  <w:vAlign w:val="center"/>
                </w:tcPr>
                <w:p w14:paraId="6DF87E01">
                  <w:pPr>
                    <w:adjustRightInd w:val="0"/>
                    <w:snapToGrid w:val="0"/>
                    <w:jc w:val="center"/>
                    <w:rPr>
                      <w:rFonts w:hint="default" w:ascii="Times New Roman" w:hAnsi="Times New Roman" w:cs="Times New Roman"/>
                      <w:b/>
                      <w:color w:val="auto"/>
                      <w:szCs w:val="21"/>
                      <w:u w:val="none" w:color="auto"/>
                    </w:rPr>
                  </w:pPr>
                </w:p>
              </w:tc>
              <w:tc>
                <w:tcPr>
                  <w:tcW w:w="555" w:type="pct"/>
                  <w:vMerge w:val="continue"/>
                  <w:tcBorders>
                    <w:tl2br w:val="nil"/>
                    <w:tr2bl w:val="nil"/>
                  </w:tcBorders>
                  <w:noWrap w:val="0"/>
                  <w:vAlign w:val="center"/>
                </w:tcPr>
                <w:p w14:paraId="1EFD119D">
                  <w:pPr>
                    <w:adjustRightInd w:val="0"/>
                    <w:snapToGrid w:val="0"/>
                    <w:jc w:val="center"/>
                    <w:rPr>
                      <w:rFonts w:hint="default" w:ascii="Times New Roman" w:hAnsi="Times New Roman" w:cs="Times New Roman"/>
                      <w:b/>
                      <w:color w:val="auto"/>
                      <w:szCs w:val="21"/>
                      <w:u w:val="none" w:color="auto"/>
                    </w:rPr>
                  </w:pPr>
                </w:p>
              </w:tc>
              <w:tc>
                <w:tcPr>
                  <w:tcW w:w="544" w:type="pct"/>
                  <w:vMerge w:val="continue"/>
                  <w:tcBorders>
                    <w:tl2br w:val="nil"/>
                    <w:tr2bl w:val="nil"/>
                  </w:tcBorders>
                  <w:noWrap w:val="0"/>
                  <w:vAlign w:val="center"/>
                </w:tcPr>
                <w:p w14:paraId="27D78FCF">
                  <w:pPr>
                    <w:adjustRightInd w:val="0"/>
                    <w:snapToGrid w:val="0"/>
                    <w:jc w:val="center"/>
                    <w:rPr>
                      <w:rFonts w:hint="default" w:ascii="Times New Roman" w:hAnsi="Times New Roman" w:cs="Times New Roman"/>
                      <w:b/>
                      <w:color w:val="auto"/>
                      <w:szCs w:val="21"/>
                      <w:u w:val="none" w:color="auto"/>
                    </w:rPr>
                  </w:pPr>
                </w:p>
              </w:tc>
              <w:tc>
                <w:tcPr>
                  <w:tcW w:w="440" w:type="pct"/>
                  <w:vMerge w:val="continue"/>
                  <w:tcBorders>
                    <w:tl2br w:val="nil"/>
                    <w:tr2bl w:val="nil"/>
                  </w:tcBorders>
                  <w:noWrap w:val="0"/>
                  <w:vAlign w:val="center"/>
                </w:tcPr>
                <w:p w14:paraId="1914AA43">
                  <w:pPr>
                    <w:adjustRightInd w:val="0"/>
                    <w:snapToGrid w:val="0"/>
                    <w:jc w:val="center"/>
                    <w:rPr>
                      <w:rFonts w:hint="default" w:ascii="Times New Roman" w:hAnsi="Times New Roman" w:cs="Times New Roman"/>
                      <w:b/>
                      <w:color w:val="auto"/>
                      <w:szCs w:val="21"/>
                      <w:u w:val="none" w:color="auto"/>
                    </w:rPr>
                  </w:pPr>
                </w:p>
              </w:tc>
              <w:tc>
                <w:tcPr>
                  <w:tcW w:w="600" w:type="pct"/>
                  <w:tcBorders>
                    <w:tl2br w:val="nil"/>
                    <w:tr2bl w:val="nil"/>
                  </w:tcBorders>
                  <w:noWrap w:val="0"/>
                  <w:vAlign w:val="center"/>
                </w:tcPr>
                <w:p w14:paraId="0B92C100">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污染治理设施编号</w:t>
                  </w:r>
                </w:p>
              </w:tc>
              <w:tc>
                <w:tcPr>
                  <w:tcW w:w="669" w:type="pct"/>
                  <w:tcBorders>
                    <w:tl2br w:val="nil"/>
                    <w:tr2bl w:val="nil"/>
                  </w:tcBorders>
                  <w:noWrap w:val="0"/>
                  <w:vAlign w:val="center"/>
                </w:tcPr>
                <w:p w14:paraId="16272CAC">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污染治理设施名称</w:t>
                  </w:r>
                </w:p>
              </w:tc>
              <w:tc>
                <w:tcPr>
                  <w:tcW w:w="646" w:type="pct"/>
                  <w:tcBorders>
                    <w:tl2br w:val="nil"/>
                    <w:tr2bl w:val="nil"/>
                  </w:tcBorders>
                  <w:noWrap w:val="0"/>
                  <w:vAlign w:val="center"/>
                </w:tcPr>
                <w:p w14:paraId="457A9EF9">
                  <w:pPr>
                    <w:adjustRightInd w:val="0"/>
                    <w:snapToGrid w:val="0"/>
                    <w:jc w:val="center"/>
                    <w:rPr>
                      <w:rFonts w:hint="default" w:ascii="Times New Roman" w:hAnsi="Times New Roman" w:cs="Times New Roman"/>
                      <w:b/>
                      <w:color w:val="auto"/>
                      <w:szCs w:val="21"/>
                      <w:u w:val="none" w:color="auto"/>
                    </w:rPr>
                  </w:pPr>
                  <w:r>
                    <w:rPr>
                      <w:rFonts w:hint="default" w:ascii="Times New Roman" w:hAnsi="Times New Roman" w:cs="Times New Roman"/>
                      <w:b/>
                      <w:color w:val="auto"/>
                      <w:szCs w:val="21"/>
                      <w:u w:val="none" w:color="auto"/>
                    </w:rPr>
                    <w:t>污染治理设施工艺</w:t>
                  </w:r>
                </w:p>
              </w:tc>
              <w:tc>
                <w:tcPr>
                  <w:tcW w:w="437" w:type="pct"/>
                  <w:vMerge w:val="continue"/>
                  <w:tcBorders>
                    <w:tl2br w:val="nil"/>
                    <w:tr2bl w:val="nil"/>
                  </w:tcBorders>
                  <w:noWrap w:val="0"/>
                  <w:vAlign w:val="center"/>
                </w:tcPr>
                <w:p w14:paraId="096EC400">
                  <w:pPr>
                    <w:pStyle w:val="15"/>
                    <w:jc w:val="center"/>
                    <w:rPr>
                      <w:rFonts w:hint="default" w:ascii="Times New Roman" w:hAnsi="Times New Roman" w:cs="Times New Roman"/>
                      <w:color w:val="auto"/>
                      <w:sz w:val="21"/>
                      <w:szCs w:val="21"/>
                      <w:u w:val="none" w:color="auto"/>
                    </w:rPr>
                  </w:pPr>
                </w:p>
              </w:tc>
              <w:tc>
                <w:tcPr>
                  <w:tcW w:w="563" w:type="pct"/>
                  <w:vMerge w:val="continue"/>
                  <w:tcBorders>
                    <w:tl2br w:val="nil"/>
                    <w:tr2bl w:val="nil"/>
                  </w:tcBorders>
                  <w:noWrap w:val="0"/>
                  <w:vAlign w:val="center"/>
                </w:tcPr>
                <w:p w14:paraId="116B1949">
                  <w:pPr>
                    <w:pStyle w:val="15"/>
                    <w:jc w:val="center"/>
                    <w:rPr>
                      <w:rFonts w:hint="default" w:ascii="Times New Roman" w:hAnsi="Times New Roman" w:cs="Times New Roman"/>
                      <w:color w:val="auto"/>
                      <w:sz w:val="21"/>
                      <w:szCs w:val="21"/>
                      <w:u w:val="none" w:color="auto"/>
                    </w:rPr>
                  </w:pPr>
                </w:p>
              </w:tc>
              <w:tc>
                <w:tcPr>
                  <w:tcW w:w="331" w:type="pct"/>
                  <w:vMerge w:val="continue"/>
                  <w:tcBorders>
                    <w:tl2br w:val="nil"/>
                    <w:tr2bl w:val="nil"/>
                  </w:tcBorders>
                  <w:noWrap w:val="0"/>
                  <w:vAlign w:val="center"/>
                </w:tcPr>
                <w:p w14:paraId="0C97FC9C">
                  <w:pPr>
                    <w:pStyle w:val="15"/>
                    <w:jc w:val="center"/>
                    <w:rPr>
                      <w:rFonts w:hint="default" w:ascii="Times New Roman" w:hAnsi="Times New Roman" w:cs="Times New Roman"/>
                      <w:color w:val="auto"/>
                      <w:sz w:val="21"/>
                      <w:szCs w:val="21"/>
                      <w:u w:val="none" w:color="auto"/>
                    </w:rPr>
                  </w:pPr>
                </w:p>
              </w:tc>
            </w:tr>
            <w:tr w14:paraId="36482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tcBorders>
                    <w:tl2br w:val="nil"/>
                    <w:tr2bl w:val="nil"/>
                  </w:tcBorders>
                  <w:noWrap w:val="0"/>
                  <w:vAlign w:val="center"/>
                </w:tcPr>
                <w:p w14:paraId="49D9CE8B">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1</w:t>
                  </w:r>
                </w:p>
              </w:tc>
              <w:tc>
                <w:tcPr>
                  <w:tcW w:w="555" w:type="pct"/>
                  <w:tcBorders>
                    <w:tl2br w:val="nil"/>
                    <w:tr2bl w:val="nil"/>
                  </w:tcBorders>
                  <w:noWrap w:val="0"/>
                  <w:vAlign w:val="center"/>
                </w:tcPr>
                <w:p w14:paraId="3CA4A93A">
                  <w:pPr>
                    <w:snapToGrid w:val="0"/>
                    <w:jc w:val="center"/>
                    <w:rPr>
                      <w:rFonts w:hint="eastAsia" w:ascii="Times New Roman" w:hAnsi="Times New Roman" w:cs="Times New Roman" w:eastAsiaTheme="minorEastAsia"/>
                      <w:color w:val="auto"/>
                      <w:szCs w:val="21"/>
                      <w:u w:val="none" w:color="auto"/>
                      <w:lang w:val="en-US" w:eastAsia="zh-CN"/>
                    </w:rPr>
                  </w:pPr>
                  <w:r>
                    <w:rPr>
                      <w:rFonts w:ascii="Times New Roman" w:hAnsi="Times New Roman" w:cs="Times New Roman"/>
                      <w:color w:val="auto"/>
                      <w:szCs w:val="21"/>
                      <w:u w:val="none" w:color="auto"/>
                    </w:rPr>
                    <w:t>车辆冲洗</w:t>
                  </w:r>
                  <w:r>
                    <w:rPr>
                      <w:rFonts w:hint="eastAsia" w:ascii="Times New Roman" w:hAnsi="Times New Roman" w:cs="Times New Roman"/>
                      <w:color w:val="auto"/>
                      <w:szCs w:val="21"/>
                      <w:u w:val="none" w:color="auto"/>
                      <w:lang w:val="en-US" w:eastAsia="zh-CN"/>
                    </w:rPr>
                    <w:t>废</w:t>
                  </w:r>
                  <w:r>
                    <w:rPr>
                      <w:rFonts w:ascii="Times New Roman" w:hAnsi="Times New Roman" w:cs="Times New Roman"/>
                      <w:color w:val="auto"/>
                      <w:szCs w:val="21"/>
                      <w:u w:val="none" w:color="auto"/>
                    </w:rPr>
                    <w:t>水</w:t>
                  </w:r>
                </w:p>
              </w:tc>
              <w:tc>
                <w:tcPr>
                  <w:tcW w:w="544" w:type="pct"/>
                  <w:tcBorders>
                    <w:tl2br w:val="nil"/>
                    <w:tr2bl w:val="nil"/>
                  </w:tcBorders>
                  <w:noWrap w:val="0"/>
                  <w:vAlign w:val="center"/>
                </w:tcPr>
                <w:p w14:paraId="5961C843">
                  <w:pPr>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cs="Times New Roman"/>
                      <w:color w:val="auto"/>
                      <w:szCs w:val="21"/>
                      <w:u w:val="none" w:color="auto"/>
                    </w:rPr>
                    <w:t>回用于生产</w:t>
                  </w:r>
                  <w:r>
                    <w:rPr>
                      <w:rFonts w:hint="default" w:ascii="Times New Roman" w:hAnsi="Times New Roman" w:cs="Times New Roman"/>
                      <w:color w:val="auto"/>
                      <w:szCs w:val="21"/>
                      <w:u w:val="none" w:color="auto"/>
                      <w:lang w:eastAsia="zh-CN"/>
                    </w:rPr>
                    <w:t>，</w:t>
                  </w:r>
                  <w:r>
                    <w:rPr>
                      <w:rFonts w:hint="default" w:ascii="Times New Roman" w:hAnsi="Times New Roman" w:cs="Times New Roman"/>
                      <w:color w:val="auto"/>
                      <w:szCs w:val="21"/>
                      <w:u w:val="none" w:color="auto"/>
                      <w:lang w:val="en-US" w:eastAsia="zh-CN"/>
                    </w:rPr>
                    <w:t>不外排</w:t>
                  </w:r>
                </w:p>
              </w:tc>
              <w:tc>
                <w:tcPr>
                  <w:tcW w:w="440" w:type="pct"/>
                  <w:tcBorders>
                    <w:tl2br w:val="nil"/>
                    <w:tr2bl w:val="nil"/>
                  </w:tcBorders>
                  <w:noWrap w:val="0"/>
                  <w:vAlign w:val="center"/>
                </w:tcPr>
                <w:p w14:paraId="07BE743F">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连续排放</w:t>
                  </w:r>
                </w:p>
              </w:tc>
              <w:tc>
                <w:tcPr>
                  <w:tcW w:w="600" w:type="pct"/>
                  <w:tcBorders>
                    <w:tl2br w:val="nil"/>
                    <w:tr2bl w:val="nil"/>
                  </w:tcBorders>
                  <w:noWrap w:val="0"/>
                  <w:vAlign w:val="center"/>
                </w:tcPr>
                <w:p w14:paraId="53C264CF">
                  <w:pPr>
                    <w:adjustRightInd w:val="0"/>
                    <w:snapToGrid w:val="0"/>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TW002</w:t>
                  </w:r>
                </w:p>
              </w:tc>
              <w:tc>
                <w:tcPr>
                  <w:tcW w:w="669" w:type="pct"/>
                  <w:vMerge w:val="restart"/>
                  <w:tcBorders>
                    <w:tl2br w:val="nil"/>
                    <w:tr2bl w:val="nil"/>
                  </w:tcBorders>
                  <w:noWrap w:val="0"/>
                  <w:vAlign w:val="center"/>
                </w:tcPr>
                <w:p w14:paraId="62BC5DD9">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生产废水处理设施</w:t>
                  </w:r>
                </w:p>
              </w:tc>
              <w:tc>
                <w:tcPr>
                  <w:tcW w:w="646" w:type="pct"/>
                  <w:tcBorders>
                    <w:tl2br w:val="nil"/>
                    <w:tr2bl w:val="nil"/>
                  </w:tcBorders>
                  <w:noWrap w:val="0"/>
                  <w:vAlign w:val="center"/>
                </w:tcPr>
                <w:p w14:paraId="4FFF7707">
                  <w:pPr>
                    <w:adjustRightInd w:val="0"/>
                    <w:snapToGrid w:val="0"/>
                    <w:jc w:val="center"/>
                    <w:rPr>
                      <w:rFonts w:hint="eastAsia" w:ascii="Times New Roman" w:hAnsi="Times New Roman" w:cs="Times New Roman" w:eastAsiaTheme="minorEastAsia"/>
                      <w:color w:val="auto"/>
                      <w:szCs w:val="21"/>
                      <w:u w:val="none" w:color="auto"/>
                      <w:lang w:val="en-US" w:eastAsia="zh-CN"/>
                    </w:rPr>
                  </w:pPr>
                  <w:r>
                    <w:rPr>
                      <w:rFonts w:hint="default" w:ascii="Times New Roman" w:hAnsi="Times New Roman" w:cs="Times New Roman"/>
                      <w:color w:val="auto"/>
                      <w:szCs w:val="21"/>
                      <w:u w:val="none" w:color="auto"/>
                    </w:rPr>
                    <w:t>沉淀</w:t>
                  </w:r>
                  <w:r>
                    <w:rPr>
                      <w:rFonts w:hint="eastAsia" w:ascii="Times New Roman" w:hAnsi="Times New Roman" w:cs="Times New Roman"/>
                      <w:color w:val="auto"/>
                      <w:szCs w:val="21"/>
                      <w:u w:val="none" w:color="auto"/>
                      <w:lang w:val="en-US" w:eastAsia="zh-CN"/>
                    </w:rPr>
                    <w:t>池（2#）</w:t>
                  </w:r>
                </w:p>
              </w:tc>
              <w:tc>
                <w:tcPr>
                  <w:tcW w:w="437" w:type="pct"/>
                  <w:tcBorders>
                    <w:tl2br w:val="nil"/>
                    <w:tr2bl w:val="nil"/>
                  </w:tcBorders>
                  <w:noWrap w:val="0"/>
                  <w:vAlign w:val="center"/>
                </w:tcPr>
                <w:p w14:paraId="6B8DD2A7">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563" w:type="pct"/>
                  <w:tcBorders>
                    <w:tl2br w:val="nil"/>
                    <w:tr2bl w:val="nil"/>
                  </w:tcBorders>
                  <w:noWrap w:val="0"/>
                  <w:vAlign w:val="center"/>
                </w:tcPr>
                <w:p w14:paraId="18578528">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331" w:type="pct"/>
                  <w:tcBorders>
                    <w:tl2br w:val="nil"/>
                    <w:tr2bl w:val="nil"/>
                  </w:tcBorders>
                  <w:noWrap w:val="0"/>
                  <w:vAlign w:val="center"/>
                </w:tcPr>
                <w:p w14:paraId="79336AD4">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r>
            <w:tr w14:paraId="7967C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tcBorders>
                    <w:tl2br w:val="nil"/>
                    <w:tr2bl w:val="nil"/>
                  </w:tcBorders>
                  <w:noWrap w:val="0"/>
                  <w:vAlign w:val="center"/>
                </w:tcPr>
                <w:p w14:paraId="1C8A5AE7">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2</w:t>
                  </w:r>
                </w:p>
              </w:tc>
              <w:tc>
                <w:tcPr>
                  <w:tcW w:w="555" w:type="pct"/>
                  <w:tcBorders>
                    <w:tl2br w:val="nil"/>
                    <w:tr2bl w:val="nil"/>
                  </w:tcBorders>
                  <w:noWrap w:val="0"/>
                  <w:vAlign w:val="center"/>
                </w:tcPr>
                <w:p w14:paraId="58C07769">
                  <w:pPr>
                    <w:snapToGrid w:val="0"/>
                    <w:jc w:val="center"/>
                    <w:rPr>
                      <w:rFonts w:hint="default" w:ascii="Times New Roman" w:hAnsi="Times New Roman" w:cs="Times New Roman"/>
                      <w:color w:val="auto"/>
                      <w:szCs w:val="21"/>
                      <w:u w:val="none" w:color="auto"/>
                    </w:rPr>
                  </w:pPr>
                  <w:r>
                    <w:rPr>
                      <w:rFonts w:ascii="Times New Roman" w:hAnsi="Times New Roman" w:cs="Times New Roman"/>
                      <w:color w:val="auto"/>
                      <w:szCs w:val="21"/>
                      <w:u w:val="none" w:color="auto"/>
                    </w:rPr>
                    <w:t>设备</w:t>
                  </w:r>
                  <w:r>
                    <w:rPr>
                      <w:rFonts w:hint="eastAsia" w:ascii="Times New Roman" w:hAnsi="Times New Roman" w:cs="Times New Roman"/>
                      <w:color w:val="auto"/>
                      <w:szCs w:val="21"/>
                      <w:u w:val="none" w:color="auto"/>
                      <w:lang w:val="en-US" w:eastAsia="zh-CN"/>
                    </w:rPr>
                    <w:t>冲洗废</w:t>
                  </w:r>
                  <w:r>
                    <w:rPr>
                      <w:rFonts w:ascii="Times New Roman" w:hAnsi="Times New Roman" w:cs="Times New Roman"/>
                      <w:color w:val="auto"/>
                      <w:szCs w:val="21"/>
                      <w:u w:val="none" w:color="auto"/>
                    </w:rPr>
                    <w:t>水</w:t>
                  </w:r>
                </w:p>
              </w:tc>
              <w:tc>
                <w:tcPr>
                  <w:tcW w:w="544" w:type="pct"/>
                  <w:vMerge w:val="restart"/>
                  <w:tcBorders>
                    <w:tl2br w:val="nil"/>
                    <w:tr2bl w:val="nil"/>
                  </w:tcBorders>
                  <w:noWrap w:val="0"/>
                  <w:vAlign w:val="center"/>
                </w:tcPr>
                <w:p w14:paraId="60DA941F">
                  <w:pPr>
                    <w:adjustRightInd w:val="0"/>
                    <w:snapToGrid w:val="0"/>
                    <w:jc w:val="center"/>
                    <w:rPr>
                      <w:rFonts w:hint="default" w:ascii="Times New Roman" w:hAnsi="Times New Roman" w:cs="Times New Roman"/>
                      <w:color w:val="auto"/>
                      <w:szCs w:val="21"/>
                      <w:u w:val="none" w:color="auto"/>
                    </w:rPr>
                  </w:pPr>
                </w:p>
              </w:tc>
              <w:tc>
                <w:tcPr>
                  <w:tcW w:w="440" w:type="pct"/>
                  <w:tcBorders>
                    <w:tl2br w:val="nil"/>
                    <w:tr2bl w:val="nil"/>
                  </w:tcBorders>
                  <w:noWrap w:val="0"/>
                  <w:vAlign w:val="center"/>
                </w:tcPr>
                <w:p w14:paraId="70781D04">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连续排放</w:t>
                  </w:r>
                </w:p>
              </w:tc>
              <w:tc>
                <w:tcPr>
                  <w:tcW w:w="600" w:type="pct"/>
                  <w:vMerge w:val="restart"/>
                  <w:tcBorders>
                    <w:tl2br w:val="nil"/>
                    <w:tr2bl w:val="nil"/>
                  </w:tcBorders>
                  <w:noWrap w:val="0"/>
                  <w:vAlign w:val="center"/>
                </w:tcPr>
                <w:p w14:paraId="4578FCAE">
                  <w:pPr>
                    <w:adjustRightInd w:val="0"/>
                    <w:snapToGrid w:val="0"/>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TW001</w:t>
                  </w:r>
                </w:p>
              </w:tc>
              <w:tc>
                <w:tcPr>
                  <w:tcW w:w="669" w:type="pct"/>
                  <w:vMerge w:val="continue"/>
                  <w:tcBorders>
                    <w:tl2br w:val="nil"/>
                    <w:tr2bl w:val="nil"/>
                  </w:tcBorders>
                  <w:noWrap w:val="0"/>
                  <w:vAlign w:val="center"/>
                </w:tcPr>
                <w:p w14:paraId="4AC60933">
                  <w:pPr>
                    <w:adjustRightInd w:val="0"/>
                    <w:snapToGrid w:val="0"/>
                    <w:jc w:val="center"/>
                    <w:rPr>
                      <w:rFonts w:hint="default" w:ascii="Times New Roman" w:hAnsi="Times New Roman" w:cs="Times New Roman"/>
                      <w:color w:val="auto"/>
                      <w:szCs w:val="21"/>
                      <w:u w:val="none" w:color="auto"/>
                    </w:rPr>
                  </w:pPr>
                </w:p>
              </w:tc>
              <w:tc>
                <w:tcPr>
                  <w:tcW w:w="646" w:type="pct"/>
                  <w:vMerge w:val="restart"/>
                  <w:tcBorders>
                    <w:tl2br w:val="nil"/>
                    <w:tr2bl w:val="nil"/>
                  </w:tcBorders>
                  <w:noWrap w:val="0"/>
                  <w:vAlign w:val="center"/>
                </w:tcPr>
                <w:p w14:paraId="4AC5BB6B">
                  <w:pPr>
                    <w:adjustRightInd w:val="0"/>
                    <w:snapToGrid w:val="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lang w:val="en-US" w:eastAsia="zh-CN"/>
                    </w:rPr>
                    <w:t>三</w:t>
                  </w:r>
                  <w:r>
                    <w:rPr>
                      <w:rFonts w:hint="default" w:ascii="Times New Roman" w:hAnsi="Times New Roman" w:cs="Times New Roman"/>
                      <w:color w:val="auto"/>
                      <w:szCs w:val="21"/>
                      <w:u w:val="none" w:color="auto"/>
                      <w:lang w:val="en-US" w:eastAsia="zh-CN"/>
                    </w:rPr>
                    <w:t>级</w:t>
                  </w:r>
                  <w:r>
                    <w:rPr>
                      <w:rFonts w:hint="default" w:ascii="Times New Roman" w:hAnsi="Times New Roman" w:cs="Times New Roman"/>
                      <w:color w:val="auto"/>
                      <w:szCs w:val="21"/>
                      <w:u w:val="none" w:color="auto"/>
                    </w:rPr>
                    <w:t>沉淀</w:t>
                  </w:r>
                  <w:r>
                    <w:rPr>
                      <w:rFonts w:hint="eastAsia" w:ascii="Times New Roman" w:hAnsi="Times New Roman" w:cs="Times New Roman"/>
                      <w:color w:val="auto"/>
                      <w:szCs w:val="21"/>
                      <w:u w:val="none" w:color="auto"/>
                      <w:lang w:val="en-US" w:eastAsia="zh-CN"/>
                    </w:rPr>
                    <w:t>池（1#）</w:t>
                  </w:r>
                </w:p>
              </w:tc>
              <w:tc>
                <w:tcPr>
                  <w:tcW w:w="437" w:type="pct"/>
                  <w:vMerge w:val="restart"/>
                  <w:tcBorders>
                    <w:tl2br w:val="nil"/>
                    <w:tr2bl w:val="nil"/>
                  </w:tcBorders>
                  <w:noWrap w:val="0"/>
                  <w:vAlign w:val="center"/>
                </w:tcPr>
                <w:p w14:paraId="7BADC0D9">
                  <w:pPr>
                    <w:adjustRightInd w:val="0"/>
                    <w:snapToGrid w:val="0"/>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color w:val="auto"/>
                      <w:szCs w:val="21"/>
                      <w:u w:val="none" w:color="auto"/>
                    </w:rPr>
                    <w:t>/</w:t>
                  </w:r>
                </w:p>
              </w:tc>
              <w:tc>
                <w:tcPr>
                  <w:tcW w:w="563" w:type="pct"/>
                  <w:vMerge w:val="restart"/>
                  <w:tcBorders>
                    <w:tl2br w:val="nil"/>
                    <w:tr2bl w:val="nil"/>
                  </w:tcBorders>
                  <w:noWrap w:val="0"/>
                  <w:vAlign w:val="center"/>
                </w:tcPr>
                <w:p w14:paraId="5CAA6C40">
                  <w:pPr>
                    <w:adjustRightInd w:val="0"/>
                    <w:snapToGrid w:val="0"/>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color w:val="auto"/>
                      <w:szCs w:val="21"/>
                      <w:u w:val="none" w:color="auto"/>
                    </w:rPr>
                    <w:t>/</w:t>
                  </w:r>
                </w:p>
              </w:tc>
              <w:tc>
                <w:tcPr>
                  <w:tcW w:w="331" w:type="pct"/>
                  <w:vMerge w:val="restart"/>
                  <w:tcBorders>
                    <w:tl2br w:val="nil"/>
                    <w:tr2bl w:val="nil"/>
                  </w:tcBorders>
                  <w:noWrap w:val="0"/>
                  <w:vAlign w:val="center"/>
                </w:tcPr>
                <w:p w14:paraId="5F4CDD0A">
                  <w:pPr>
                    <w:adjustRightInd w:val="0"/>
                    <w:snapToGrid w:val="0"/>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color w:val="auto"/>
                      <w:szCs w:val="21"/>
                      <w:u w:val="none" w:color="auto"/>
                    </w:rPr>
                    <w:t>/</w:t>
                  </w:r>
                </w:p>
              </w:tc>
            </w:tr>
            <w:tr w14:paraId="62276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tcBorders>
                    <w:tl2br w:val="nil"/>
                    <w:tr2bl w:val="nil"/>
                  </w:tcBorders>
                  <w:noWrap w:val="0"/>
                  <w:vAlign w:val="center"/>
                </w:tcPr>
                <w:p w14:paraId="068A3C3F">
                  <w:pPr>
                    <w:adjustRightInd w:val="0"/>
                    <w:snapToGrid w:val="0"/>
                    <w:jc w:val="center"/>
                    <w:rPr>
                      <w:rFonts w:hint="eastAsia"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3</w:t>
                  </w:r>
                </w:p>
              </w:tc>
              <w:tc>
                <w:tcPr>
                  <w:tcW w:w="555" w:type="pct"/>
                  <w:tcBorders>
                    <w:tl2br w:val="nil"/>
                    <w:tr2bl w:val="nil"/>
                  </w:tcBorders>
                  <w:noWrap w:val="0"/>
                  <w:vAlign w:val="center"/>
                </w:tcPr>
                <w:p w14:paraId="557706C3">
                  <w:pPr>
                    <w:snapToGrid w:val="0"/>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地面冲洗废水</w:t>
                  </w:r>
                </w:p>
              </w:tc>
              <w:tc>
                <w:tcPr>
                  <w:tcW w:w="544" w:type="pct"/>
                  <w:vMerge w:val="continue"/>
                  <w:tcBorders>
                    <w:tl2br w:val="nil"/>
                    <w:tr2bl w:val="nil"/>
                  </w:tcBorders>
                  <w:noWrap w:val="0"/>
                  <w:vAlign w:val="center"/>
                </w:tcPr>
                <w:p w14:paraId="1F644D1A">
                  <w:pPr>
                    <w:adjustRightInd w:val="0"/>
                    <w:snapToGrid w:val="0"/>
                    <w:jc w:val="center"/>
                    <w:rPr>
                      <w:rFonts w:hint="default" w:ascii="Times New Roman" w:hAnsi="Times New Roman" w:cs="Times New Roman"/>
                      <w:color w:val="auto"/>
                      <w:szCs w:val="21"/>
                      <w:u w:val="none" w:color="auto"/>
                    </w:rPr>
                  </w:pPr>
                </w:p>
              </w:tc>
              <w:tc>
                <w:tcPr>
                  <w:tcW w:w="440" w:type="pct"/>
                  <w:tcBorders>
                    <w:tl2br w:val="nil"/>
                    <w:tr2bl w:val="nil"/>
                  </w:tcBorders>
                  <w:noWrap w:val="0"/>
                  <w:vAlign w:val="center"/>
                </w:tcPr>
                <w:p w14:paraId="306315D9">
                  <w:pPr>
                    <w:adjustRightInd w:val="0"/>
                    <w:snapToGrid w:val="0"/>
                    <w:jc w:val="center"/>
                    <w:rPr>
                      <w:rFonts w:hint="default" w:ascii="Times New Roman" w:hAnsi="Times New Roman" w:cs="Times New Roman"/>
                      <w:color w:val="auto"/>
                      <w:szCs w:val="21"/>
                      <w:u w:val="none" w:color="auto"/>
                      <w:lang w:val="en-US" w:eastAsia="zh-CN"/>
                    </w:rPr>
                  </w:pPr>
                  <w:r>
                    <w:rPr>
                      <w:rFonts w:hint="default" w:ascii="Times New Roman" w:hAnsi="Times New Roman" w:cs="Times New Roman"/>
                      <w:color w:val="auto"/>
                      <w:szCs w:val="21"/>
                      <w:u w:val="none" w:color="auto"/>
                    </w:rPr>
                    <w:t>连续排放</w:t>
                  </w:r>
                </w:p>
              </w:tc>
              <w:tc>
                <w:tcPr>
                  <w:tcW w:w="600" w:type="pct"/>
                  <w:vMerge w:val="continue"/>
                  <w:tcBorders>
                    <w:tl2br w:val="nil"/>
                    <w:tr2bl w:val="nil"/>
                  </w:tcBorders>
                  <w:noWrap w:val="0"/>
                  <w:vAlign w:val="center"/>
                </w:tcPr>
                <w:p w14:paraId="4B7EF6B7">
                  <w:pPr>
                    <w:adjustRightInd w:val="0"/>
                    <w:snapToGrid w:val="0"/>
                    <w:jc w:val="center"/>
                    <w:rPr>
                      <w:rFonts w:hint="eastAsia" w:ascii="Times New Roman" w:hAnsi="Times New Roman" w:cs="Times New Roman" w:eastAsiaTheme="minorEastAsia"/>
                      <w:color w:val="auto"/>
                      <w:szCs w:val="21"/>
                      <w:u w:val="none" w:color="auto"/>
                      <w:lang w:val="en-US" w:eastAsia="zh-CN"/>
                    </w:rPr>
                  </w:pPr>
                </w:p>
              </w:tc>
              <w:tc>
                <w:tcPr>
                  <w:tcW w:w="669" w:type="pct"/>
                  <w:vMerge w:val="continue"/>
                  <w:tcBorders>
                    <w:tl2br w:val="nil"/>
                    <w:tr2bl w:val="nil"/>
                  </w:tcBorders>
                  <w:noWrap w:val="0"/>
                  <w:vAlign w:val="center"/>
                </w:tcPr>
                <w:p w14:paraId="360E07A8">
                  <w:pPr>
                    <w:adjustRightInd w:val="0"/>
                    <w:snapToGrid w:val="0"/>
                    <w:jc w:val="center"/>
                    <w:rPr>
                      <w:rFonts w:hint="default" w:ascii="Times New Roman" w:hAnsi="Times New Roman" w:cs="Times New Roman"/>
                      <w:color w:val="auto"/>
                      <w:szCs w:val="21"/>
                      <w:u w:val="none" w:color="auto"/>
                    </w:rPr>
                  </w:pPr>
                </w:p>
              </w:tc>
              <w:tc>
                <w:tcPr>
                  <w:tcW w:w="646" w:type="pct"/>
                  <w:vMerge w:val="continue"/>
                  <w:tcBorders>
                    <w:tl2br w:val="nil"/>
                    <w:tr2bl w:val="nil"/>
                  </w:tcBorders>
                  <w:noWrap w:val="0"/>
                  <w:vAlign w:val="center"/>
                </w:tcPr>
                <w:p w14:paraId="746DE2F7">
                  <w:pPr>
                    <w:adjustRightInd w:val="0"/>
                    <w:snapToGrid w:val="0"/>
                    <w:jc w:val="center"/>
                    <w:rPr>
                      <w:rFonts w:hint="default" w:ascii="Times New Roman" w:hAnsi="Times New Roman" w:cs="Times New Roman"/>
                      <w:color w:val="auto"/>
                      <w:szCs w:val="21"/>
                      <w:u w:val="none" w:color="auto"/>
                    </w:rPr>
                  </w:pPr>
                </w:p>
              </w:tc>
              <w:tc>
                <w:tcPr>
                  <w:tcW w:w="437" w:type="pct"/>
                  <w:vMerge w:val="continue"/>
                  <w:tcBorders>
                    <w:tl2br w:val="nil"/>
                    <w:tr2bl w:val="nil"/>
                  </w:tcBorders>
                  <w:noWrap w:val="0"/>
                  <w:vAlign w:val="center"/>
                </w:tcPr>
                <w:p w14:paraId="4F4D7C40">
                  <w:pPr>
                    <w:adjustRightInd w:val="0"/>
                    <w:snapToGrid w:val="0"/>
                    <w:jc w:val="center"/>
                    <w:rPr>
                      <w:rFonts w:hint="default" w:ascii="Times New Roman" w:hAnsi="Times New Roman" w:cs="Times New Roman"/>
                      <w:color w:val="auto"/>
                      <w:szCs w:val="21"/>
                      <w:u w:val="none" w:color="auto"/>
                    </w:rPr>
                  </w:pPr>
                </w:p>
              </w:tc>
              <w:tc>
                <w:tcPr>
                  <w:tcW w:w="563" w:type="pct"/>
                  <w:vMerge w:val="continue"/>
                  <w:tcBorders>
                    <w:tl2br w:val="nil"/>
                    <w:tr2bl w:val="nil"/>
                  </w:tcBorders>
                  <w:noWrap w:val="0"/>
                  <w:vAlign w:val="center"/>
                </w:tcPr>
                <w:p w14:paraId="094ADF15">
                  <w:pPr>
                    <w:adjustRightInd w:val="0"/>
                    <w:snapToGrid w:val="0"/>
                    <w:jc w:val="center"/>
                    <w:rPr>
                      <w:rFonts w:hint="default" w:ascii="Times New Roman" w:hAnsi="Times New Roman" w:cs="Times New Roman"/>
                      <w:color w:val="auto"/>
                      <w:szCs w:val="21"/>
                      <w:u w:val="none" w:color="auto"/>
                    </w:rPr>
                  </w:pPr>
                </w:p>
              </w:tc>
              <w:tc>
                <w:tcPr>
                  <w:tcW w:w="331" w:type="pct"/>
                  <w:vMerge w:val="continue"/>
                  <w:tcBorders>
                    <w:tl2br w:val="nil"/>
                    <w:tr2bl w:val="nil"/>
                  </w:tcBorders>
                  <w:noWrap w:val="0"/>
                  <w:vAlign w:val="center"/>
                </w:tcPr>
                <w:p w14:paraId="4CA30DDD">
                  <w:pPr>
                    <w:adjustRightInd w:val="0"/>
                    <w:snapToGrid w:val="0"/>
                    <w:jc w:val="center"/>
                    <w:rPr>
                      <w:rFonts w:hint="default" w:ascii="Times New Roman" w:hAnsi="Times New Roman" w:cs="Times New Roman"/>
                      <w:color w:val="auto"/>
                      <w:szCs w:val="21"/>
                      <w:u w:val="none" w:color="auto"/>
                    </w:rPr>
                  </w:pPr>
                </w:p>
              </w:tc>
            </w:tr>
            <w:tr w14:paraId="5AD48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tcBorders>
                    <w:tl2br w:val="nil"/>
                    <w:tr2bl w:val="nil"/>
                  </w:tcBorders>
                  <w:noWrap w:val="0"/>
                  <w:vAlign w:val="center"/>
                </w:tcPr>
                <w:p w14:paraId="697351E6">
                  <w:pPr>
                    <w:adjustRightInd w:val="0"/>
                    <w:snapToGrid w:val="0"/>
                    <w:jc w:val="center"/>
                    <w:rPr>
                      <w:rFonts w:hint="eastAsia"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4</w:t>
                  </w:r>
                </w:p>
              </w:tc>
              <w:tc>
                <w:tcPr>
                  <w:tcW w:w="555" w:type="pct"/>
                  <w:tcBorders>
                    <w:tl2br w:val="nil"/>
                    <w:tr2bl w:val="nil"/>
                  </w:tcBorders>
                  <w:noWrap w:val="0"/>
                  <w:vAlign w:val="center"/>
                </w:tcPr>
                <w:p w14:paraId="3E929885">
                  <w:pPr>
                    <w:snapToGrid w:val="0"/>
                    <w:jc w:val="center"/>
                    <w:rPr>
                      <w:rFonts w:hint="default" w:ascii="Times New Roman" w:hAnsi="Times New Roman" w:eastAsia="宋体" w:cs="Times New Roman"/>
                      <w:color w:val="auto"/>
                      <w:szCs w:val="21"/>
                      <w:u w:val="none" w:color="auto"/>
                      <w:lang w:eastAsia="zh-CN"/>
                    </w:rPr>
                  </w:pPr>
                  <w:r>
                    <w:rPr>
                      <w:rFonts w:hint="default" w:ascii="Times New Roman" w:hAnsi="Times New Roman" w:cs="Times New Roman"/>
                      <w:color w:val="auto"/>
                      <w:szCs w:val="21"/>
                      <w:u w:val="none" w:color="auto"/>
                    </w:rPr>
                    <w:t>初期雨水</w:t>
                  </w:r>
                </w:p>
              </w:tc>
              <w:tc>
                <w:tcPr>
                  <w:tcW w:w="544" w:type="pct"/>
                  <w:vMerge w:val="continue"/>
                  <w:tcBorders>
                    <w:tl2br w:val="nil"/>
                    <w:tr2bl w:val="nil"/>
                  </w:tcBorders>
                  <w:noWrap w:val="0"/>
                  <w:vAlign w:val="center"/>
                </w:tcPr>
                <w:p w14:paraId="4266BECA">
                  <w:pPr>
                    <w:adjustRightInd w:val="0"/>
                    <w:snapToGrid w:val="0"/>
                    <w:jc w:val="center"/>
                    <w:rPr>
                      <w:rFonts w:hint="default" w:ascii="Times New Roman" w:hAnsi="Times New Roman" w:cs="Times New Roman"/>
                      <w:color w:val="auto"/>
                      <w:szCs w:val="21"/>
                      <w:u w:val="none" w:color="auto"/>
                    </w:rPr>
                  </w:pPr>
                </w:p>
              </w:tc>
              <w:tc>
                <w:tcPr>
                  <w:tcW w:w="440" w:type="pct"/>
                  <w:tcBorders>
                    <w:tl2br w:val="nil"/>
                    <w:tr2bl w:val="nil"/>
                  </w:tcBorders>
                  <w:noWrap w:val="0"/>
                  <w:vAlign w:val="center"/>
                </w:tcPr>
                <w:p w14:paraId="1901B620">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lang w:val="en-US" w:eastAsia="zh-CN"/>
                    </w:rPr>
                    <w:t>间歇</w:t>
                  </w:r>
                  <w:r>
                    <w:rPr>
                      <w:rFonts w:hint="default" w:ascii="Times New Roman" w:hAnsi="Times New Roman" w:cs="Times New Roman"/>
                      <w:color w:val="auto"/>
                      <w:szCs w:val="21"/>
                      <w:u w:val="none" w:color="auto"/>
                    </w:rPr>
                    <w:t>排放</w:t>
                  </w:r>
                </w:p>
              </w:tc>
              <w:tc>
                <w:tcPr>
                  <w:tcW w:w="600" w:type="pct"/>
                  <w:tcBorders>
                    <w:tl2br w:val="nil"/>
                    <w:tr2bl w:val="nil"/>
                  </w:tcBorders>
                  <w:noWrap w:val="0"/>
                  <w:vAlign w:val="center"/>
                </w:tcPr>
                <w:p w14:paraId="15E006D6">
                  <w:pPr>
                    <w:adjustRightInd w:val="0"/>
                    <w:snapToGrid w:val="0"/>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TW003</w:t>
                  </w:r>
                </w:p>
              </w:tc>
              <w:tc>
                <w:tcPr>
                  <w:tcW w:w="669" w:type="pct"/>
                  <w:vMerge w:val="continue"/>
                  <w:tcBorders>
                    <w:tl2br w:val="nil"/>
                    <w:tr2bl w:val="nil"/>
                  </w:tcBorders>
                  <w:noWrap w:val="0"/>
                  <w:vAlign w:val="center"/>
                </w:tcPr>
                <w:p w14:paraId="0FCECC41">
                  <w:pPr>
                    <w:adjustRightInd w:val="0"/>
                    <w:snapToGrid w:val="0"/>
                    <w:jc w:val="center"/>
                    <w:rPr>
                      <w:rFonts w:hint="default" w:ascii="Times New Roman" w:hAnsi="Times New Roman" w:cs="Times New Roman"/>
                      <w:color w:val="auto"/>
                      <w:szCs w:val="21"/>
                      <w:u w:val="none" w:color="auto"/>
                    </w:rPr>
                  </w:pPr>
                </w:p>
              </w:tc>
              <w:tc>
                <w:tcPr>
                  <w:tcW w:w="646" w:type="pct"/>
                  <w:tcBorders>
                    <w:tl2br w:val="nil"/>
                    <w:tr2bl w:val="nil"/>
                  </w:tcBorders>
                  <w:noWrap w:val="0"/>
                  <w:vAlign w:val="center"/>
                </w:tcPr>
                <w:p w14:paraId="77FF602F">
                  <w:pPr>
                    <w:adjustRightInd w:val="0"/>
                    <w:snapToGrid w:val="0"/>
                    <w:jc w:val="center"/>
                    <w:rPr>
                      <w:rFonts w:hint="eastAsia" w:ascii="Times New Roman" w:hAnsi="Times New Roman" w:cs="Times New Roman" w:eastAsiaTheme="minorEastAsia"/>
                      <w:color w:val="auto"/>
                      <w:szCs w:val="21"/>
                      <w:u w:val="none" w:color="auto"/>
                      <w:lang w:eastAsia="zh-CN"/>
                    </w:rPr>
                  </w:pPr>
                  <w:r>
                    <w:rPr>
                      <w:rFonts w:hint="eastAsia" w:ascii="Times New Roman" w:hAnsi="Times New Roman" w:cs="Times New Roman"/>
                      <w:color w:val="auto"/>
                      <w:szCs w:val="21"/>
                      <w:u w:val="none" w:color="auto"/>
                      <w:lang w:val="en-US" w:eastAsia="zh-CN"/>
                    </w:rPr>
                    <w:t>初期雨水收集</w:t>
                  </w:r>
                  <w:r>
                    <w:rPr>
                      <w:rFonts w:hint="default" w:ascii="Times New Roman" w:hAnsi="Times New Roman" w:cs="Times New Roman"/>
                      <w:color w:val="auto"/>
                      <w:szCs w:val="21"/>
                      <w:u w:val="none" w:color="auto"/>
                    </w:rPr>
                    <w:t>沉淀池</w:t>
                  </w:r>
                  <w:r>
                    <w:rPr>
                      <w:rFonts w:hint="eastAsia" w:ascii="Times New Roman" w:hAnsi="Times New Roman" w:cs="Times New Roman"/>
                      <w:color w:val="auto"/>
                      <w:szCs w:val="21"/>
                      <w:u w:val="none" w:color="auto"/>
                      <w:lang w:eastAsia="zh-CN"/>
                    </w:rPr>
                    <w:t>（</w:t>
                  </w:r>
                  <w:r>
                    <w:rPr>
                      <w:rFonts w:hint="eastAsia" w:ascii="Times New Roman" w:hAnsi="Times New Roman" w:cs="Times New Roman"/>
                      <w:color w:val="auto"/>
                      <w:szCs w:val="21"/>
                      <w:u w:val="none" w:color="auto"/>
                      <w:lang w:val="en-US" w:eastAsia="zh-CN"/>
                    </w:rPr>
                    <w:t>3#</w:t>
                  </w:r>
                  <w:r>
                    <w:rPr>
                      <w:rFonts w:hint="eastAsia" w:ascii="Times New Roman" w:hAnsi="Times New Roman" w:cs="Times New Roman"/>
                      <w:color w:val="auto"/>
                      <w:szCs w:val="21"/>
                      <w:u w:val="none" w:color="auto"/>
                      <w:lang w:eastAsia="zh-CN"/>
                    </w:rPr>
                    <w:t>）</w:t>
                  </w:r>
                </w:p>
              </w:tc>
              <w:tc>
                <w:tcPr>
                  <w:tcW w:w="437" w:type="pct"/>
                  <w:tcBorders>
                    <w:tl2br w:val="nil"/>
                    <w:tr2bl w:val="nil"/>
                  </w:tcBorders>
                  <w:noWrap w:val="0"/>
                  <w:vAlign w:val="center"/>
                </w:tcPr>
                <w:p w14:paraId="66E13AA3">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563" w:type="pct"/>
                  <w:tcBorders>
                    <w:tl2br w:val="nil"/>
                    <w:tr2bl w:val="nil"/>
                  </w:tcBorders>
                  <w:noWrap w:val="0"/>
                  <w:vAlign w:val="center"/>
                </w:tcPr>
                <w:p w14:paraId="7094EDE1">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331" w:type="pct"/>
                  <w:tcBorders>
                    <w:tl2br w:val="nil"/>
                    <w:tr2bl w:val="nil"/>
                  </w:tcBorders>
                  <w:noWrap w:val="0"/>
                  <w:vAlign w:val="center"/>
                </w:tcPr>
                <w:p w14:paraId="798298A4">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r>
            <w:tr w14:paraId="3375B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tcBorders>
                    <w:tl2br w:val="nil"/>
                    <w:tr2bl w:val="nil"/>
                  </w:tcBorders>
                  <w:noWrap w:val="0"/>
                  <w:vAlign w:val="center"/>
                </w:tcPr>
                <w:p w14:paraId="653B184F">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5</w:t>
                  </w:r>
                </w:p>
              </w:tc>
              <w:tc>
                <w:tcPr>
                  <w:tcW w:w="555" w:type="pct"/>
                  <w:tcBorders>
                    <w:tl2br w:val="nil"/>
                    <w:tr2bl w:val="nil"/>
                  </w:tcBorders>
                  <w:noWrap w:val="0"/>
                  <w:vAlign w:val="center"/>
                </w:tcPr>
                <w:p w14:paraId="3919142E">
                  <w:pPr>
                    <w:pStyle w:val="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w:t>
                  </w:r>
                </w:p>
              </w:tc>
              <w:tc>
                <w:tcPr>
                  <w:tcW w:w="544" w:type="pct"/>
                  <w:tcBorders>
                    <w:tl2br w:val="nil"/>
                    <w:tr2bl w:val="nil"/>
                  </w:tcBorders>
                  <w:noWrap w:val="0"/>
                  <w:vAlign w:val="center"/>
                </w:tcPr>
                <w:p w14:paraId="7BB8EBF6">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用于</w:t>
                  </w:r>
                  <w:r>
                    <w:rPr>
                      <w:rFonts w:hint="default" w:ascii="Times New Roman" w:hAnsi="Times New Roman" w:cs="Times New Roman"/>
                      <w:color w:val="auto"/>
                      <w:u w:val="none" w:color="auto"/>
                    </w:rPr>
                    <w:t>周边</w:t>
                  </w:r>
                  <w:r>
                    <w:rPr>
                      <w:rFonts w:hint="default" w:ascii="Times New Roman" w:hAnsi="Times New Roman" w:cs="Times New Roman"/>
                      <w:color w:val="auto"/>
                      <w:u w:val="none" w:color="auto"/>
                      <w:lang w:val="en-US" w:eastAsia="zh-CN"/>
                    </w:rPr>
                    <w:t>菜地</w:t>
                  </w:r>
                  <w:r>
                    <w:rPr>
                      <w:rFonts w:hint="default" w:ascii="Times New Roman" w:hAnsi="Times New Roman" w:cs="Times New Roman"/>
                      <w:color w:val="auto"/>
                      <w:u w:val="none" w:color="auto"/>
                    </w:rPr>
                    <w:t>施肥</w:t>
                  </w:r>
                  <w:r>
                    <w:rPr>
                      <w:rFonts w:hint="default" w:ascii="Times New Roman" w:hAnsi="Times New Roman" w:cs="Times New Roman"/>
                      <w:color w:val="auto"/>
                      <w:szCs w:val="21"/>
                      <w:u w:val="none" w:color="auto"/>
                    </w:rPr>
                    <w:t>，不外排</w:t>
                  </w:r>
                </w:p>
              </w:tc>
              <w:tc>
                <w:tcPr>
                  <w:tcW w:w="440" w:type="pct"/>
                  <w:tcBorders>
                    <w:tl2br w:val="nil"/>
                    <w:tr2bl w:val="nil"/>
                  </w:tcBorders>
                  <w:noWrap w:val="0"/>
                  <w:vAlign w:val="center"/>
                </w:tcPr>
                <w:p w14:paraId="33E9D6A9">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连续排放</w:t>
                  </w:r>
                </w:p>
              </w:tc>
              <w:tc>
                <w:tcPr>
                  <w:tcW w:w="600" w:type="pct"/>
                  <w:tcBorders>
                    <w:tl2br w:val="nil"/>
                    <w:tr2bl w:val="nil"/>
                  </w:tcBorders>
                  <w:noWrap w:val="0"/>
                  <w:vAlign w:val="center"/>
                </w:tcPr>
                <w:p w14:paraId="4D29A788">
                  <w:pPr>
                    <w:adjustRightInd w:val="0"/>
                    <w:snapToGrid w:val="0"/>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TW004</w:t>
                  </w:r>
                </w:p>
              </w:tc>
              <w:tc>
                <w:tcPr>
                  <w:tcW w:w="669" w:type="pct"/>
                  <w:tcBorders>
                    <w:tl2br w:val="nil"/>
                    <w:tr2bl w:val="nil"/>
                  </w:tcBorders>
                  <w:noWrap w:val="0"/>
                  <w:vAlign w:val="center"/>
                </w:tcPr>
                <w:p w14:paraId="011B1897">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生活污水处理设施</w:t>
                  </w:r>
                </w:p>
              </w:tc>
              <w:tc>
                <w:tcPr>
                  <w:tcW w:w="646" w:type="pct"/>
                  <w:tcBorders>
                    <w:tl2br w:val="nil"/>
                    <w:tr2bl w:val="nil"/>
                  </w:tcBorders>
                  <w:noWrap w:val="0"/>
                  <w:vAlign w:val="center"/>
                </w:tcPr>
                <w:p w14:paraId="2D714BD0">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化粪池</w:t>
                  </w:r>
                </w:p>
              </w:tc>
              <w:tc>
                <w:tcPr>
                  <w:tcW w:w="437" w:type="pct"/>
                  <w:tcBorders>
                    <w:tl2br w:val="nil"/>
                    <w:tr2bl w:val="nil"/>
                  </w:tcBorders>
                  <w:noWrap w:val="0"/>
                  <w:vAlign w:val="center"/>
                </w:tcPr>
                <w:p w14:paraId="238A4042">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563" w:type="pct"/>
                  <w:tcBorders>
                    <w:tl2br w:val="nil"/>
                    <w:tr2bl w:val="nil"/>
                  </w:tcBorders>
                  <w:noWrap w:val="0"/>
                  <w:vAlign w:val="center"/>
                </w:tcPr>
                <w:p w14:paraId="36D72257">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c>
                <w:tcPr>
                  <w:tcW w:w="331" w:type="pct"/>
                  <w:tcBorders>
                    <w:tl2br w:val="nil"/>
                    <w:tr2bl w:val="nil"/>
                  </w:tcBorders>
                  <w:noWrap w:val="0"/>
                  <w:vAlign w:val="center"/>
                </w:tcPr>
                <w:p w14:paraId="28B731B1">
                  <w:pPr>
                    <w:adjustRightInd w:val="0"/>
                    <w:snapToGrid w:val="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w:t>
                  </w:r>
                </w:p>
              </w:tc>
            </w:tr>
          </w:tbl>
          <w:p w14:paraId="22634EF8">
            <w:pPr>
              <w:pStyle w:val="16"/>
              <w:tabs>
                <w:tab w:val="left" w:pos="0"/>
              </w:tabs>
              <w:spacing w:line="360" w:lineRule="auto"/>
              <w:ind w:firstLine="482" w:firstLineChars="200"/>
              <w:rPr>
                <w:rFonts w:hint="default" w:ascii="Times New Roman" w:hAnsi="Times New Roman" w:cs="Times New Roman"/>
                <w:b/>
                <w:bCs/>
                <w:color w:val="auto"/>
                <w:sz w:val="24"/>
                <w:szCs w:val="24"/>
                <w:highlight w:val="none"/>
                <w:u w:val="none" w:color="auto"/>
              </w:rPr>
            </w:pPr>
            <w:r>
              <w:rPr>
                <w:rFonts w:hint="default" w:ascii="Times New Roman" w:hAnsi="Times New Roman" w:cs="Times New Roman"/>
                <w:b/>
                <w:bCs/>
                <w:color w:val="auto"/>
                <w:sz w:val="24"/>
                <w:szCs w:val="24"/>
                <w:highlight w:val="none"/>
                <w:u w:val="none" w:color="auto"/>
              </w:rPr>
              <w:t>2.3废水治理措施</w:t>
            </w:r>
            <w:r>
              <w:rPr>
                <w:rFonts w:hint="default" w:ascii="Times New Roman" w:hAnsi="Times New Roman" w:cs="Times New Roman"/>
                <w:b/>
                <w:bCs/>
                <w:color w:val="auto"/>
                <w:sz w:val="24"/>
                <w:highlight w:val="none"/>
                <w:u w:val="none" w:color="auto"/>
              </w:rPr>
              <w:t>可行性分析</w:t>
            </w:r>
          </w:p>
          <w:p w14:paraId="0538D4F6">
            <w:pPr>
              <w:keepNext w:val="0"/>
              <w:keepLines w:val="0"/>
              <w:pageBreakBefore w:val="0"/>
              <w:kinsoku/>
              <w:wordWrap/>
              <w:overflowPunct/>
              <w:topLinePunct w:val="0"/>
              <w:autoSpaceDE/>
              <w:autoSpaceDN/>
              <w:bidi w:val="0"/>
              <w:snapToGrid w:val="0"/>
              <w:spacing w:line="360" w:lineRule="auto"/>
              <w:ind w:right="0" w:firstLine="480" w:firstLineChars="200"/>
              <w:jc w:val="both"/>
              <w:textAlignment w:val="auto"/>
              <w:rPr>
                <w:rFonts w:hint="default" w:ascii="Times New Roman" w:hAnsi="Times New Roman" w:cs="Times New Roman"/>
                <w:color w:val="auto"/>
                <w:sz w:val="24"/>
                <w:szCs w:val="24"/>
                <w:highlight w:val="lightGray"/>
                <w:u w:val="none" w:color="auto"/>
                <w:lang w:val="en-US" w:eastAsia="zh-CN"/>
              </w:rPr>
            </w:pP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lang w:val="en-US" w:eastAsia="zh-CN"/>
              </w:rPr>
              <w:t>1</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生活污水处理措施可行性分析</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生活污水</w:t>
            </w:r>
            <w:r>
              <w:rPr>
                <w:rFonts w:hint="default" w:ascii="Times New Roman" w:hAnsi="Times New Roman" w:cs="Times New Roman"/>
                <w:color w:val="auto"/>
                <w:sz w:val="24"/>
                <w:szCs w:val="24"/>
                <w:highlight w:val="none"/>
                <w:u w:val="none" w:color="auto"/>
                <w:lang w:eastAsia="zh-CN"/>
              </w:rPr>
              <w:t>（</w:t>
            </w:r>
            <w:r>
              <w:rPr>
                <w:rFonts w:hint="eastAsia" w:ascii="Times New Roman" w:hAnsi="Times New Roman" w:cs="Times New Roman"/>
                <w:color w:val="auto"/>
                <w:sz w:val="24"/>
                <w:szCs w:val="24"/>
                <w:highlight w:val="none"/>
                <w:u w:val="none" w:color="auto"/>
                <w:lang w:val="en-US" w:eastAsia="zh-CN"/>
              </w:rPr>
              <w:t>1.6</w:t>
            </w:r>
            <w:r>
              <w:rPr>
                <w:rFonts w:hint="default" w:ascii="Times New Roman" w:hAnsi="Times New Roman" w:cs="Times New Roman"/>
                <w:color w:val="auto"/>
                <w:sz w:val="24"/>
                <w:szCs w:val="24"/>
                <w:highlight w:val="none"/>
                <w:u w:val="none" w:color="auto"/>
                <w:lang w:val="en-US" w:eastAsia="zh-CN"/>
              </w:rPr>
              <w:t>m</w:t>
            </w:r>
            <w:r>
              <w:rPr>
                <w:rFonts w:hint="default" w:ascii="Times New Roman" w:hAnsi="Times New Roman" w:cs="Times New Roman"/>
                <w:color w:val="auto"/>
                <w:sz w:val="24"/>
                <w:szCs w:val="24"/>
                <w:highlight w:val="none"/>
                <w:u w:val="none" w:color="auto"/>
                <w:vertAlign w:val="superscript"/>
                <w:lang w:val="en-US" w:eastAsia="zh-CN"/>
              </w:rPr>
              <w:t>3</w:t>
            </w:r>
            <w:r>
              <w:rPr>
                <w:rFonts w:hint="default" w:ascii="Times New Roman" w:hAnsi="Times New Roman" w:cs="Times New Roman"/>
                <w:color w:val="auto"/>
                <w:sz w:val="24"/>
                <w:szCs w:val="24"/>
                <w:highlight w:val="none"/>
                <w:u w:val="none" w:color="auto"/>
                <w:lang w:val="en-US" w:eastAsia="zh-CN"/>
              </w:rPr>
              <w:t>/d</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通过化粪池处理</w:t>
            </w:r>
            <w:r>
              <w:rPr>
                <w:rFonts w:hint="default" w:ascii="Times New Roman" w:hAnsi="Times New Roman" w:cs="Times New Roman"/>
                <w:color w:val="auto"/>
                <w:sz w:val="24"/>
                <w:szCs w:val="24"/>
                <w:highlight w:val="none"/>
                <w:u w:val="none" w:color="auto"/>
                <w:lang w:val="en-US" w:eastAsia="zh-CN"/>
              </w:rPr>
              <w:t>后用于周边</w:t>
            </w:r>
            <w:r>
              <w:rPr>
                <w:rFonts w:hint="eastAsia" w:ascii="Times New Roman" w:hAnsi="Times New Roman" w:cs="Times New Roman"/>
                <w:color w:val="auto"/>
                <w:sz w:val="24"/>
                <w:szCs w:val="24"/>
                <w:highlight w:val="none"/>
                <w:u w:val="none" w:color="auto"/>
                <w:lang w:val="en-US" w:eastAsia="zh-CN"/>
              </w:rPr>
              <w:t>林地施肥</w:t>
            </w:r>
            <w:r>
              <w:rPr>
                <w:rFonts w:hint="default" w:ascii="Times New Roman" w:hAnsi="Times New Roman" w:cs="Times New Roman"/>
                <w:color w:val="auto"/>
                <w:sz w:val="24"/>
                <w:szCs w:val="24"/>
                <w:highlight w:val="none"/>
                <w:u w:val="none" w:color="auto"/>
                <w:lang w:val="en-US" w:eastAsia="zh-CN"/>
              </w:rPr>
              <w:t>。厂界周边</w:t>
            </w:r>
            <w:r>
              <w:rPr>
                <w:rFonts w:hint="eastAsia" w:ascii="Times New Roman" w:hAnsi="Times New Roman" w:cs="Times New Roman"/>
                <w:color w:val="auto"/>
                <w:sz w:val="24"/>
                <w:szCs w:val="24"/>
                <w:highlight w:val="none"/>
                <w:u w:val="none" w:color="auto"/>
                <w:lang w:val="en-US" w:eastAsia="zh-CN"/>
              </w:rPr>
              <w:t>1km</w:t>
            </w:r>
            <w:r>
              <w:rPr>
                <w:rFonts w:hint="default" w:ascii="Times New Roman" w:hAnsi="Times New Roman" w:cs="Times New Roman"/>
                <w:color w:val="auto"/>
                <w:sz w:val="24"/>
                <w:szCs w:val="24"/>
                <w:highlight w:val="none"/>
                <w:u w:val="none" w:color="auto"/>
                <w:lang w:val="en-US" w:eastAsia="zh-CN"/>
              </w:rPr>
              <w:t>范围内分布有足量</w:t>
            </w:r>
            <w:r>
              <w:rPr>
                <w:rFonts w:hint="eastAsia" w:ascii="Times New Roman" w:hAnsi="Times New Roman" w:cs="Times New Roman"/>
                <w:color w:val="auto"/>
                <w:sz w:val="24"/>
                <w:szCs w:val="24"/>
                <w:highlight w:val="none"/>
                <w:u w:val="none" w:color="auto"/>
                <w:lang w:val="en-US" w:eastAsia="zh-CN"/>
              </w:rPr>
              <w:t>的林地</w:t>
            </w:r>
            <w:r>
              <w:rPr>
                <w:rFonts w:hint="default" w:ascii="Times New Roman" w:hAnsi="Times New Roman" w:cs="Times New Roman"/>
                <w:color w:val="auto"/>
                <w:sz w:val="24"/>
                <w:szCs w:val="24"/>
                <w:highlight w:val="none"/>
                <w:u w:val="none" w:color="auto"/>
                <w:lang w:val="en-US" w:eastAsia="zh-CN"/>
              </w:rPr>
              <w:t>，完全有能力消纳项目生活污水，生活污水不会影响区域地表水环境。</w:t>
            </w:r>
          </w:p>
          <w:p w14:paraId="184267D4">
            <w:pPr>
              <w:keepNext w:val="0"/>
              <w:keepLines w:val="0"/>
              <w:pageBreakBefore w:val="0"/>
              <w:kinsoku/>
              <w:wordWrap/>
              <w:overflowPunct/>
              <w:topLinePunct w:val="0"/>
              <w:autoSpaceDE/>
              <w:autoSpaceDN/>
              <w:bidi w:val="0"/>
              <w:snapToGrid w:val="0"/>
              <w:spacing w:line="360" w:lineRule="auto"/>
              <w:ind w:right="0" w:firstLine="480" w:firstLineChars="200"/>
              <w:jc w:val="both"/>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lang w:val="en-US" w:eastAsia="zh-CN"/>
              </w:rPr>
              <w:t>2</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lang w:val="en-US" w:eastAsia="zh-CN"/>
              </w:rPr>
              <w:t>生产废水处理措施可行性分析</w:t>
            </w:r>
          </w:p>
          <w:p w14:paraId="3694CDBA">
            <w:pPr>
              <w:keepNext w:val="0"/>
              <w:keepLines w:val="0"/>
              <w:pageBreakBefore w:val="0"/>
              <w:kinsoku/>
              <w:wordWrap/>
              <w:overflowPunct/>
              <w:topLinePunct w:val="0"/>
              <w:autoSpaceDE/>
              <w:autoSpaceDN/>
              <w:bidi w:val="0"/>
              <w:snapToGrid w:val="0"/>
              <w:spacing w:line="360" w:lineRule="auto"/>
              <w:ind w:right="0" w:firstLine="480" w:firstLineChars="200"/>
              <w:jc w:val="both"/>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①</w:t>
            </w:r>
            <w:r>
              <w:rPr>
                <w:rFonts w:hint="default" w:ascii="Times New Roman" w:hAnsi="Times New Roman" w:cs="Times New Roman"/>
                <w:color w:val="auto"/>
                <w:sz w:val="24"/>
                <w:szCs w:val="24"/>
                <w:highlight w:val="none"/>
                <w:u w:val="none" w:color="auto"/>
                <w:lang w:val="en-US" w:eastAsia="zh-CN"/>
              </w:rPr>
              <w:t>初期雨水处理措施可行性分析</w:t>
            </w:r>
          </w:p>
          <w:p w14:paraId="27B2F138">
            <w:pPr>
              <w:keepNext w:val="0"/>
              <w:keepLines w:val="0"/>
              <w:pageBreakBefore w:val="0"/>
              <w:kinsoku/>
              <w:wordWrap/>
              <w:overflowPunct/>
              <w:topLinePunct w:val="0"/>
              <w:autoSpaceDE/>
              <w:autoSpaceDN/>
              <w:bidi w:val="0"/>
              <w:snapToGrid w:val="0"/>
              <w:spacing w:line="360" w:lineRule="auto"/>
              <w:ind w:right="0" w:firstLine="480" w:firstLineChars="200"/>
              <w:jc w:val="both"/>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项目设置雨水收集系统，并安装可切换的阀门，降雨历时一段时间（取15min）后，通过切换阀门，后期雨水顺地势排入</w:t>
            </w:r>
            <w:r>
              <w:rPr>
                <w:rFonts w:hint="eastAsia" w:ascii="Times New Roman" w:hAnsi="Times New Roman" w:cs="Times New Roman"/>
                <w:color w:val="auto"/>
                <w:sz w:val="24"/>
                <w:szCs w:val="24"/>
                <w:highlight w:val="none"/>
                <w:u w:val="none" w:color="auto"/>
                <w:lang w:val="en-US" w:eastAsia="zh-CN"/>
              </w:rPr>
              <w:t>外环境</w:t>
            </w:r>
            <w:r>
              <w:rPr>
                <w:rFonts w:hint="default" w:ascii="Times New Roman" w:hAnsi="Times New Roman" w:cs="Times New Roman"/>
                <w:color w:val="auto"/>
                <w:sz w:val="24"/>
                <w:szCs w:val="24"/>
                <w:highlight w:val="none"/>
                <w:u w:val="none" w:color="auto"/>
                <w:lang w:val="en-US" w:eastAsia="zh-CN"/>
              </w:rPr>
              <w:t>。</w:t>
            </w:r>
          </w:p>
          <w:p w14:paraId="4EA89CDE">
            <w:pPr>
              <w:keepNext w:val="0"/>
              <w:keepLines w:val="0"/>
              <w:pageBreakBefore w:val="0"/>
              <w:kinsoku/>
              <w:wordWrap/>
              <w:overflowPunct/>
              <w:topLinePunct w:val="0"/>
              <w:autoSpaceDE/>
              <w:autoSpaceDN/>
              <w:bidi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rPr>
              <w:t>初期雨水</w:t>
            </w:r>
            <w:r>
              <w:rPr>
                <w:rFonts w:hint="default" w:ascii="Times New Roman" w:hAnsi="Times New Roman" w:cs="Times New Roman"/>
                <w:color w:val="auto"/>
                <w:sz w:val="24"/>
                <w:szCs w:val="24"/>
                <w:highlight w:val="none"/>
                <w:u w:val="none" w:color="auto"/>
                <w:lang w:val="en-US" w:eastAsia="zh-CN"/>
              </w:rPr>
              <w:t>经收集系统导入</w:t>
            </w:r>
            <w:r>
              <w:rPr>
                <w:rFonts w:hint="eastAsia" w:ascii="Times New Roman" w:hAnsi="Times New Roman" w:cs="Times New Roman"/>
                <w:color w:val="auto"/>
                <w:sz w:val="24"/>
                <w:szCs w:val="24"/>
                <w:highlight w:val="none"/>
                <w:u w:val="none" w:color="auto"/>
                <w:lang w:val="en-US" w:eastAsia="zh-CN"/>
              </w:rPr>
              <w:t>初期雨水收集</w:t>
            </w:r>
            <w:r>
              <w:rPr>
                <w:rFonts w:hint="default" w:ascii="Times New Roman" w:hAnsi="Times New Roman" w:cs="Times New Roman"/>
                <w:color w:val="auto"/>
                <w:sz w:val="24"/>
                <w:szCs w:val="24"/>
                <w:highlight w:val="none"/>
                <w:u w:val="none" w:color="auto"/>
                <w:lang w:val="en-US" w:eastAsia="zh-CN"/>
              </w:rPr>
              <w:t>沉淀池，经</w:t>
            </w:r>
            <w:r>
              <w:rPr>
                <w:rFonts w:hint="default" w:ascii="Times New Roman" w:hAnsi="Times New Roman" w:eastAsia="宋体" w:cs="Times New Roman"/>
                <w:color w:val="auto"/>
                <w:sz w:val="24"/>
                <w:szCs w:val="24"/>
                <w:highlight w:val="none"/>
                <w:u w:val="none" w:color="auto"/>
                <w:lang w:val="en-US" w:eastAsia="zh-CN"/>
              </w:rPr>
              <w:t>沉淀池</w:t>
            </w:r>
            <w:r>
              <w:rPr>
                <w:rFonts w:hint="default" w:ascii="Times New Roman" w:hAnsi="Times New Roman" w:eastAsia="宋体" w:cs="Times New Roman"/>
                <w:color w:val="auto"/>
                <w:sz w:val="24"/>
                <w:highlight w:val="none"/>
                <w:u w:val="none" w:color="auto"/>
              </w:rPr>
              <w:t>处理后</w:t>
            </w:r>
            <w:r>
              <w:rPr>
                <w:rFonts w:hint="default" w:ascii="Times New Roman" w:hAnsi="Times New Roman" w:eastAsia="宋体" w:cs="Times New Roman"/>
                <w:color w:val="auto"/>
                <w:sz w:val="24"/>
                <w:szCs w:val="24"/>
                <w:highlight w:val="none"/>
                <w:u w:val="none" w:color="auto"/>
                <w:vertAlign w:val="baseline"/>
                <w:lang w:val="en-US" w:eastAsia="zh-CN"/>
              </w:rPr>
              <w:t>回用于</w:t>
            </w:r>
            <w:r>
              <w:rPr>
                <w:rFonts w:hint="eastAsia" w:ascii="Times New Roman" w:hAnsi="Times New Roman" w:eastAsia="宋体" w:cs="Times New Roman"/>
                <w:color w:val="auto"/>
                <w:sz w:val="24"/>
                <w:szCs w:val="24"/>
                <w:highlight w:val="none"/>
                <w:u w:val="none" w:color="auto"/>
                <w:vertAlign w:val="baseline"/>
                <w:lang w:val="en-US" w:eastAsia="zh-CN"/>
              </w:rPr>
              <w:t>厂区洒水降尘</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水质</w:t>
            </w:r>
            <w:r>
              <w:rPr>
                <w:rFonts w:hint="default" w:ascii="Times New Roman" w:hAnsi="Times New Roman" w:eastAsia="宋体" w:cs="Times New Roman"/>
                <w:color w:val="auto"/>
                <w:sz w:val="24"/>
                <w:szCs w:val="24"/>
                <w:highlight w:val="none"/>
                <w:u w:val="none" w:color="auto"/>
                <w:lang w:val="en-US" w:eastAsia="zh-CN"/>
              </w:rPr>
              <w:t>可满足</w:t>
            </w:r>
            <w:r>
              <w:rPr>
                <w:rFonts w:hint="eastAsia" w:ascii="Times New Roman" w:hAnsi="Times New Roman" w:eastAsia="宋体" w:cs="Times New Roman"/>
                <w:color w:val="auto"/>
                <w:sz w:val="24"/>
                <w:szCs w:val="24"/>
                <w:highlight w:val="none"/>
                <w:u w:val="none" w:color="auto"/>
                <w:vertAlign w:val="baseline"/>
                <w:lang w:val="en-US" w:eastAsia="zh-CN"/>
              </w:rPr>
              <w:t>洒水降尘用水</w:t>
            </w:r>
            <w:r>
              <w:rPr>
                <w:rFonts w:hint="default" w:ascii="Times New Roman" w:hAnsi="Times New Roman" w:eastAsia="宋体" w:cs="Times New Roman"/>
                <w:color w:val="auto"/>
                <w:sz w:val="24"/>
                <w:szCs w:val="24"/>
                <w:highlight w:val="none"/>
                <w:u w:val="none" w:color="auto"/>
                <w:lang w:val="en-US" w:eastAsia="zh-CN"/>
              </w:rPr>
              <w:t>要求。</w:t>
            </w:r>
            <w:r>
              <w:rPr>
                <w:rFonts w:hint="default" w:ascii="Times New Roman" w:hAnsi="Times New Roman" w:cs="Times New Roman"/>
                <w:color w:val="auto"/>
                <w:sz w:val="24"/>
                <w:highlight w:val="none"/>
                <w:u w:val="none" w:color="auto"/>
              </w:rPr>
              <w:t>初期雨水产生量为</w:t>
            </w:r>
            <w:r>
              <w:rPr>
                <w:rFonts w:hint="eastAsia" w:ascii="Times New Roman" w:hAnsi="Times New Roman" w:cs="Times New Roman"/>
                <w:color w:val="auto"/>
                <w:sz w:val="24"/>
                <w:highlight w:val="none"/>
                <w:u w:val="none" w:color="auto"/>
                <w:lang w:val="en-US" w:eastAsia="zh-CN"/>
              </w:rPr>
              <w:t>59.05</w:t>
            </w:r>
            <w:r>
              <w:rPr>
                <w:rFonts w:hint="default" w:ascii="Times New Roman" w:hAnsi="Times New Roman" w:cs="Times New Roman"/>
                <w:color w:val="auto"/>
                <w:sz w:val="24"/>
                <w:highlight w:val="none"/>
                <w:u w:val="none" w:color="auto"/>
              </w:rPr>
              <w:t>m</w:t>
            </w:r>
            <w:r>
              <w:rPr>
                <w:rFonts w:hint="default" w:ascii="Times New Roman" w:hAnsi="Times New Roman" w:cs="Times New Roman"/>
                <w:color w:val="auto"/>
                <w:sz w:val="24"/>
                <w:highlight w:val="none"/>
                <w:u w:val="none" w:color="auto"/>
                <w:vertAlign w:val="superscript"/>
              </w:rPr>
              <w:t>3</w:t>
            </w:r>
            <w:r>
              <w:rPr>
                <w:rFonts w:hint="default" w:ascii="Times New Roman" w:hAnsi="Times New Roman" w:cs="Times New Roman"/>
                <w:color w:val="auto"/>
                <w:sz w:val="24"/>
                <w:highlight w:val="none"/>
                <w:u w:val="none" w:color="auto"/>
              </w:rPr>
              <w:t>/次</w:t>
            </w:r>
            <w:r>
              <w:rPr>
                <w:rFonts w:hint="default" w:ascii="Times New Roman" w:hAnsi="Times New Roman" w:cs="Times New Roman"/>
                <w:color w:val="auto"/>
                <w:sz w:val="24"/>
                <w:highlight w:val="none"/>
                <w:u w:val="none" w:color="auto"/>
                <w:lang w:eastAsia="zh-CN"/>
              </w:rPr>
              <w:t>，</w:t>
            </w:r>
            <w:r>
              <w:rPr>
                <w:rFonts w:hint="eastAsia" w:ascii="Times New Roman" w:hAnsi="Times New Roman" w:cs="Times New Roman"/>
                <w:color w:val="auto"/>
                <w:sz w:val="24"/>
                <w:szCs w:val="24"/>
                <w:highlight w:val="none"/>
                <w:u w:val="none" w:color="auto"/>
                <w:lang w:val="en-US" w:eastAsia="zh-CN"/>
              </w:rPr>
              <w:t>初期雨水收集</w:t>
            </w:r>
            <w:r>
              <w:rPr>
                <w:rFonts w:hint="default" w:ascii="Times New Roman" w:hAnsi="Times New Roman" w:cs="Times New Roman"/>
                <w:color w:val="auto"/>
                <w:sz w:val="24"/>
                <w:szCs w:val="24"/>
                <w:highlight w:val="none"/>
                <w:u w:val="none" w:color="auto"/>
                <w:lang w:val="en-US" w:eastAsia="zh-CN"/>
              </w:rPr>
              <w:t>沉淀池</w:t>
            </w:r>
            <w:r>
              <w:rPr>
                <w:rFonts w:hint="default" w:ascii="Times New Roman" w:hAnsi="Times New Roman" w:cs="Times New Roman"/>
                <w:color w:val="auto"/>
                <w:sz w:val="24"/>
                <w:highlight w:val="none"/>
                <w:u w:val="none" w:color="auto"/>
                <w:lang w:val="en-US" w:eastAsia="zh-CN"/>
              </w:rPr>
              <w:t>容积为</w:t>
            </w:r>
            <w:r>
              <w:rPr>
                <w:rFonts w:hint="eastAsia" w:ascii="Times New Roman" w:hAnsi="Times New Roman" w:cs="Times New Roman"/>
                <w:color w:val="auto"/>
                <w:sz w:val="24"/>
                <w:highlight w:val="none"/>
                <w:u w:val="none" w:color="auto"/>
                <w:lang w:val="en-US" w:eastAsia="zh-CN"/>
              </w:rPr>
              <w:t>72</w:t>
            </w:r>
            <w:r>
              <w:rPr>
                <w:rFonts w:hint="default" w:ascii="Times New Roman" w:hAnsi="Times New Roman" w:cs="Times New Roman"/>
                <w:color w:val="auto"/>
                <w:sz w:val="24"/>
                <w:highlight w:val="none"/>
                <w:u w:val="none" w:color="auto"/>
                <w:lang w:val="en-US" w:eastAsia="zh-CN"/>
              </w:rPr>
              <w:t>m</w:t>
            </w:r>
            <w:r>
              <w:rPr>
                <w:rFonts w:hint="default" w:ascii="Times New Roman" w:hAnsi="Times New Roman" w:cs="Times New Roman"/>
                <w:color w:val="auto"/>
                <w:sz w:val="24"/>
                <w:highlight w:val="none"/>
                <w:u w:val="none" w:color="auto"/>
                <w:vertAlign w:val="superscript"/>
                <w:lang w:val="en-US" w:eastAsia="zh-CN"/>
              </w:rPr>
              <w:t>3</w:t>
            </w:r>
            <w:r>
              <w:rPr>
                <w:rFonts w:hint="default" w:ascii="Times New Roman" w:hAnsi="Times New Roman" w:cs="Times New Roman"/>
                <w:color w:val="auto"/>
                <w:sz w:val="24"/>
                <w:highlight w:val="none"/>
                <w:u w:val="none" w:color="auto"/>
                <w:lang w:val="en-US" w:eastAsia="zh-CN"/>
              </w:rPr>
              <w:t>，</w:t>
            </w:r>
            <w:r>
              <w:rPr>
                <w:rFonts w:ascii="Times New Roman" w:hAnsi="Times New Roman" w:eastAsia="宋体" w:cs="Times New Roman"/>
                <w:color w:val="auto"/>
                <w:sz w:val="24"/>
                <w:u w:val="none" w:color="auto"/>
              </w:rPr>
              <w:t>可满足初期雨水</w:t>
            </w:r>
            <w:r>
              <w:rPr>
                <w:rFonts w:hint="eastAsia" w:ascii="Times New Roman" w:hAnsi="Times New Roman" w:eastAsia="宋体" w:cs="Times New Roman"/>
                <w:color w:val="auto"/>
                <w:sz w:val="24"/>
                <w:u w:val="none" w:color="auto"/>
                <w:lang w:val="en-US" w:eastAsia="zh-CN"/>
              </w:rPr>
              <w:t>的</w:t>
            </w:r>
            <w:r>
              <w:rPr>
                <w:rFonts w:hint="default" w:ascii="Times New Roman" w:hAnsi="Times New Roman" w:eastAsia="宋体" w:cs="Times New Roman"/>
                <w:color w:val="auto"/>
                <w:sz w:val="24"/>
                <w:u w:val="none" w:color="auto"/>
                <w:lang w:val="en-US" w:eastAsia="zh-CN"/>
              </w:rPr>
              <w:t>暂存及处理</w:t>
            </w:r>
            <w:r>
              <w:rPr>
                <w:rFonts w:hint="eastAsia" w:ascii="Times New Roman" w:hAnsi="Times New Roman" w:eastAsia="宋体" w:cs="Times New Roman"/>
                <w:color w:val="auto"/>
                <w:sz w:val="24"/>
                <w:szCs w:val="24"/>
                <w:highlight w:val="none"/>
                <w:u w:val="none" w:color="auto"/>
                <w:lang w:val="en-US" w:eastAsia="zh-CN"/>
              </w:rPr>
              <w:t>需</w:t>
            </w:r>
            <w:r>
              <w:rPr>
                <w:rFonts w:hint="default" w:ascii="Times New Roman" w:hAnsi="Times New Roman" w:eastAsia="宋体" w:cs="Times New Roman"/>
                <w:color w:val="auto"/>
                <w:sz w:val="24"/>
                <w:szCs w:val="24"/>
                <w:highlight w:val="none"/>
                <w:u w:val="none" w:color="auto"/>
              </w:rPr>
              <w:t>求。</w:t>
            </w:r>
          </w:p>
          <w:p w14:paraId="739320F4">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Theme="minorEastAsia"/>
                <w:color w:val="auto"/>
                <w:sz w:val="24"/>
                <w:szCs w:val="32"/>
                <w:u w:val="none" w:color="auto"/>
                <w:lang w:val="en-US" w:eastAsia="zh-CN"/>
              </w:rPr>
            </w:pPr>
            <w:r>
              <w:rPr>
                <w:rFonts w:hAnsi="Times New Roman"/>
                <w:color w:val="auto"/>
                <w:sz w:val="24"/>
                <w:szCs w:val="22"/>
                <w:u w:val="none" w:color="auto"/>
              </w:rPr>
              <w:t>②</w:t>
            </w:r>
            <w:r>
              <w:rPr>
                <w:rFonts w:hint="eastAsia" w:hAnsi="Times New Roman"/>
                <w:color w:val="auto"/>
                <w:sz w:val="24"/>
                <w:szCs w:val="22"/>
                <w:u w:val="none" w:color="auto"/>
                <w:lang w:val="en-US" w:eastAsia="zh-CN"/>
              </w:rPr>
              <w:t>生产</w:t>
            </w:r>
            <w:r>
              <w:rPr>
                <w:rFonts w:ascii="Times New Roman" w:hAnsi="Times New Roman"/>
                <w:color w:val="auto"/>
                <w:sz w:val="24"/>
                <w:szCs w:val="32"/>
                <w:u w:val="none" w:color="auto"/>
              </w:rPr>
              <w:t>废水循环</w:t>
            </w:r>
            <w:r>
              <w:rPr>
                <w:rFonts w:ascii="Times New Roman" w:hAnsi="Times New Roman"/>
                <w:color w:val="auto"/>
                <w:sz w:val="24"/>
                <w:szCs w:val="24"/>
                <w:u w:val="none" w:color="auto"/>
              </w:rPr>
              <w:t>利用</w:t>
            </w:r>
            <w:r>
              <w:rPr>
                <w:rFonts w:ascii="Times New Roman" w:hAnsi="Times New Roman"/>
                <w:color w:val="auto"/>
                <w:sz w:val="24"/>
                <w:szCs w:val="32"/>
                <w:u w:val="none" w:color="auto"/>
              </w:rPr>
              <w:t>可行性</w:t>
            </w:r>
            <w:r>
              <w:rPr>
                <w:rFonts w:hint="eastAsia" w:ascii="Times New Roman" w:hAnsi="Times New Roman"/>
                <w:color w:val="auto"/>
                <w:sz w:val="24"/>
                <w:szCs w:val="32"/>
                <w:u w:val="none" w:color="auto"/>
                <w:lang w:val="en-US" w:eastAsia="zh-CN"/>
              </w:rPr>
              <w:t>分析</w:t>
            </w:r>
          </w:p>
          <w:p w14:paraId="0669F4F9">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highlight w:val="none"/>
                <w:u w:val="none" w:color="auto"/>
                <w:lang w:eastAsia="zh-CN"/>
              </w:rPr>
            </w:pPr>
            <w:r>
              <w:rPr>
                <w:rFonts w:hint="eastAsia" w:ascii="Times New Roman" w:hAnsi="Times New Roman"/>
                <w:color w:val="auto"/>
                <w:sz w:val="24"/>
                <w:szCs w:val="24"/>
                <w:u w:val="none" w:color="auto"/>
                <w:lang w:val="en-US" w:eastAsia="zh-CN"/>
              </w:rPr>
              <w:t>项目</w:t>
            </w:r>
            <w:r>
              <w:rPr>
                <w:rFonts w:ascii="Times New Roman" w:hAnsi="Times New Roman" w:cs="Times New Roman"/>
                <w:color w:val="auto"/>
                <w:sz w:val="24"/>
                <w:u w:val="none" w:color="auto"/>
              </w:rPr>
              <w:t>车辆</w:t>
            </w:r>
            <w:r>
              <w:rPr>
                <w:rFonts w:hint="eastAsia" w:ascii="Times New Roman" w:hAnsi="Times New Roman" w:cs="Times New Roman"/>
                <w:color w:val="auto"/>
                <w:sz w:val="24"/>
                <w:u w:val="none" w:color="auto"/>
                <w:lang w:eastAsia="zh-CN"/>
              </w:rPr>
              <w:t>冲洗废水</w:t>
            </w:r>
            <w:r>
              <w:rPr>
                <w:rFonts w:hint="eastAsia" w:ascii="Times New Roman" w:hAnsi="Times New Roman"/>
                <w:color w:val="auto"/>
                <w:sz w:val="24"/>
                <w:szCs w:val="24"/>
                <w:u w:val="none" w:color="auto"/>
                <w:lang w:val="en-US" w:eastAsia="zh-CN"/>
              </w:rPr>
              <w:t>产</w:t>
            </w:r>
            <w:r>
              <w:rPr>
                <w:rFonts w:hint="default" w:ascii="Times New Roman" w:hAnsi="Times New Roman" w:cs="Times New Roman"/>
                <w:color w:val="auto"/>
                <w:sz w:val="24"/>
                <w:szCs w:val="24"/>
                <w:u w:val="none" w:color="auto"/>
                <w:lang w:val="en-US" w:eastAsia="zh-CN"/>
              </w:rPr>
              <w:t>生量为</w:t>
            </w:r>
            <w:r>
              <w:rPr>
                <w:rFonts w:hint="eastAsia" w:ascii="Times New Roman" w:hAnsi="Times New Roman" w:cs="Times New Roman"/>
                <w:color w:val="auto"/>
                <w:sz w:val="24"/>
                <w:szCs w:val="24"/>
                <w:u w:val="none" w:color="auto"/>
                <w:lang w:val="en-US" w:eastAsia="zh-CN"/>
              </w:rPr>
              <w:t>20.88</w:t>
            </w:r>
            <w:r>
              <w:rPr>
                <w:rFonts w:hint="default" w:ascii="Times New Roman" w:hAnsi="Times New Roman" w:cs="Times New Roman"/>
                <w:color w:val="auto"/>
                <w:sz w:val="24"/>
                <w:szCs w:val="22"/>
                <w:u w:val="none" w:color="auto"/>
              </w:rPr>
              <w:t>m</w:t>
            </w:r>
            <w:r>
              <w:rPr>
                <w:rFonts w:hint="default" w:ascii="Times New Roman" w:hAnsi="Times New Roman" w:cs="Times New Roman"/>
                <w:color w:val="auto"/>
                <w:sz w:val="24"/>
                <w:szCs w:val="22"/>
                <w:u w:val="none" w:color="auto"/>
                <w:vertAlign w:val="superscript"/>
              </w:rPr>
              <w:t>3</w:t>
            </w:r>
            <w:r>
              <w:rPr>
                <w:rFonts w:hint="default" w:ascii="Times New Roman" w:hAnsi="Times New Roman" w:cs="Times New Roman"/>
                <w:color w:val="auto"/>
                <w:sz w:val="24"/>
                <w:szCs w:val="22"/>
                <w:u w:val="none" w:color="auto"/>
              </w:rPr>
              <w:t>/d</w:t>
            </w:r>
            <w:r>
              <w:rPr>
                <w:rFonts w:hint="default" w:ascii="Times New Roman" w:hAnsi="Times New Roman" w:cs="Times New Roman"/>
                <w:color w:val="auto"/>
                <w:sz w:val="24"/>
                <w:szCs w:val="24"/>
                <w:u w:val="none" w:color="auto"/>
                <w:lang w:val="en-US" w:eastAsia="zh-CN"/>
              </w:rPr>
              <w:t>，</w:t>
            </w:r>
            <w:r>
              <w:rPr>
                <w:rFonts w:hint="default" w:ascii="Times New Roman" w:hAnsi="Times New Roman" w:cs="Times New Roman"/>
                <w:color w:val="auto"/>
                <w:sz w:val="24"/>
                <w:szCs w:val="22"/>
                <w:u w:val="none" w:color="auto"/>
              </w:rPr>
              <w:t>经沉淀</w:t>
            </w:r>
            <w:r>
              <w:rPr>
                <w:rFonts w:hint="eastAsia" w:ascii="Times New Roman" w:hAnsi="Times New Roman" w:cs="Times New Roman"/>
                <w:color w:val="auto"/>
                <w:sz w:val="24"/>
                <w:szCs w:val="22"/>
                <w:u w:val="none" w:color="auto"/>
                <w:lang w:val="en-US" w:eastAsia="zh-CN"/>
              </w:rPr>
              <w:t>池2#（32.4m</w:t>
            </w:r>
            <w:r>
              <w:rPr>
                <w:rFonts w:hint="eastAsia" w:ascii="Times New Roman" w:hAnsi="Times New Roman" w:cs="Times New Roman"/>
                <w:color w:val="auto"/>
                <w:sz w:val="24"/>
                <w:szCs w:val="22"/>
                <w:u w:val="none" w:color="auto"/>
                <w:vertAlign w:val="superscript"/>
                <w:lang w:val="en-US" w:eastAsia="zh-CN"/>
              </w:rPr>
              <w:t>3</w:t>
            </w:r>
            <w:r>
              <w:rPr>
                <w:rFonts w:hint="eastAsia" w:ascii="Times New Roman" w:hAnsi="Times New Roman" w:cs="Times New Roman"/>
                <w:color w:val="auto"/>
                <w:sz w:val="24"/>
                <w:szCs w:val="22"/>
                <w:u w:val="none" w:color="auto"/>
                <w:lang w:val="en-US" w:eastAsia="zh-CN"/>
              </w:rPr>
              <w:t>）</w:t>
            </w:r>
            <w:r>
              <w:rPr>
                <w:rFonts w:hint="default" w:ascii="Times New Roman" w:hAnsi="Times New Roman" w:cs="Times New Roman"/>
                <w:color w:val="auto"/>
                <w:sz w:val="24"/>
                <w:szCs w:val="22"/>
                <w:u w:val="none" w:color="auto"/>
              </w:rPr>
              <w:t>后回用于生产</w:t>
            </w:r>
            <w:r>
              <w:rPr>
                <w:rFonts w:hint="eastAsia" w:ascii="Times New Roman" w:hAnsi="Times New Roman" w:cs="Times New Roman"/>
                <w:color w:val="auto"/>
                <w:sz w:val="24"/>
                <w:szCs w:val="22"/>
                <w:u w:val="none" w:color="auto"/>
                <w:lang w:eastAsia="zh-CN"/>
              </w:rPr>
              <w:t>；</w:t>
            </w:r>
            <w:r>
              <w:rPr>
                <w:rFonts w:ascii="Times New Roman" w:hAnsi="Times New Roman" w:cs="Times New Roman"/>
                <w:color w:val="auto"/>
                <w:sz w:val="24"/>
                <w:u w:val="none" w:color="auto"/>
              </w:rPr>
              <w:t>设备冲洗废水、地面冲洗废水</w:t>
            </w:r>
            <w:r>
              <w:rPr>
                <w:rFonts w:hint="eastAsia" w:ascii="Times New Roman" w:hAnsi="Times New Roman"/>
                <w:color w:val="auto"/>
                <w:sz w:val="24"/>
                <w:szCs w:val="24"/>
                <w:u w:val="none" w:color="auto"/>
                <w:lang w:val="en-US" w:eastAsia="zh-CN"/>
              </w:rPr>
              <w:t>产</w:t>
            </w:r>
            <w:r>
              <w:rPr>
                <w:rFonts w:hint="default" w:ascii="Times New Roman" w:hAnsi="Times New Roman" w:cs="Times New Roman"/>
                <w:color w:val="auto"/>
                <w:sz w:val="24"/>
                <w:szCs w:val="24"/>
                <w:u w:val="none" w:color="auto"/>
                <w:lang w:val="en-US" w:eastAsia="zh-CN"/>
              </w:rPr>
              <w:t>生量为</w:t>
            </w:r>
            <w:r>
              <w:rPr>
                <w:rFonts w:hint="eastAsia" w:ascii="Times New Roman" w:hAnsi="Times New Roman" w:cs="Times New Roman"/>
                <w:color w:val="auto"/>
                <w:sz w:val="24"/>
                <w:szCs w:val="24"/>
                <w:u w:val="none" w:color="auto"/>
                <w:lang w:val="en-US" w:eastAsia="zh-CN"/>
              </w:rPr>
              <w:t>1.99</w:t>
            </w:r>
            <w:r>
              <w:rPr>
                <w:rFonts w:hint="default" w:ascii="Times New Roman" w:hAnsi="Times New Roman" w:cs="Times New Roman"/>
                <w:color w:val="auto"/>
                <w:sz w:val="24"/>
                <w:szCs w:val="22"/>
                <w:u w:val="none" w:color="auto"/>
              </w:rPr>
              <w:t>m</w:t>
            </w:r>
            <w:r>
              <w:rPr>
                <w:rFonts w:hint="default" w:ascii="Times New Roman" w:hAnsi="Times New Roman" w:cs="Times New Roman"/>
                <w:color w:val="auto"/>
                <w:sz w:val="24"/>
                <w:szCs w:val="22"/>
                <w:u w:val="none" w:color="auto"/>
                <w:vertAlign w:val="superscript"/>
              </w:rPr>
              <w:t>3</w:t>
            </w:r>
            <w:r>
              <w:rPr>
                <w:rFonts w:hint="default" w:ascii="Times New Roman" w:hAnsi="Times New Roman" w:cs="Times New Roman"/>
                <w:color w:val="auto"/>
                <w:sz w:val="24"/>
                <w:szCs w:val="22"/>
                <w:u w:val="none" w:color="auto"/>
              </w:rPr>
              <w:t>/d</w:t>
            </w:r>
            <w:r>
              <w:rPr>
                <w:rFonts w:hint="default" w:ascii="Times New Roman" w:hAnsi="Times New Roman" w:cs="Times New Roman"/>
                <w:color w:val="auto"/>
                <w:sz w:val="24"/>
                <w:szCs w:val="24"/>
                <w:u w:val="none" w:color="auto"/>
                <w:lang w:val="en-US" w:eastAsia="zh-CN"/>
              </w:rPr>
              <w:t>，</w:t>
            </w:r>
            <w:r>
              <w:rPr>
                <w:rFonts w:hint="default" w:ascii="Times New Roman" w:hAnsi="Times New Roman" w:cs="Times New Roman"/>
                <w:color w:val="auto"/>
                <w:sz w:val="24"/>
                <w:szCs w:val="22"/>
                <w:u w:val="none" w:color="auto"/>
              </w:rPr>
              <w:t>经沉淀</w:t>
            </w:r>
            <w:r>
              <w:rPr>
                <w:rFonts w:hint="eastAsia" w:ascii="Times New Roman" w:hAnsi="Times New Roman" w:cs="Times New Roman"/>
                <w:color w:val="auto"/>
                <w:sz w:val="24"/>
                <w:szCs w:val="22"/>
                <w:u w:val="none" w:color="auto"/>
                <w:lang w:val="en-US" w:eastAsia="zh-CN"/>
              </w:rPr>
              <w:t>池1#（57.6m</w:t>
            </w:r>
            <w:r>
              <w:rPr>
                <w:rFonts w:hint="eastAsia" w:ascii="Times New Roman" w:hAnsi="Times New Roman" w:cs="Times New Roman"/>
                <w:color w:val="auto"/>
                <w:sz w:val="24"/>
                <w:szCs w:val="22"/>
                <w:u w:val="none" w:color="auto"/>
                <w:vertAlign w:val="superscript"/>
                <w:lang w:val="en-US" w:eastAsia="zh-CN"/>
              </w:rPr>
              <w:t>3</w:t>
            </w:r>
            <w:r>
              <w:rPr>
                <w:rFonts w:hint="eastAsia" w:ascii="Times New Roman" w:hAnsi="Times New Roman" w:cs="Times New Roman"/>
                <w:color w:val="auto"/>
                <w:sz w:val="24"/>
                <w:szCs w:val="22"/>
                <w:u w:val="none" w:color="auto"/>
                <w:lang w:val="en-US" w:eastAsia="zh-CN"/>
              </w:rPr>
              <w:t>）</w:t>
            </w:r>
            <w:r>
              <w:rPr>
                <w:rFonts w:hint="default" w:ascii="Times New Roman" w:hAnsi="Times New Roman" w:cs="Times New Roman"/>
                <w:color w:val="auto"/>
                <w:sz w:val="24"/>
                <w:szCs w:val="22"/>
                <w:u w:val="none" w:color="auto"/>
              </w:rPr>
              <w:t>后回用于生产</w:t>
            </w:r>
            <w:r>
              <w:rPr>
                <w:rFonts w:hint="eastAsia" w:ascii="Times New Roman" w:hAnsi="Times New Roman" w:cs="Times New Roman"/>
                <w:color w:val="auto"/>
                <w:sz w:val="24"/>
                <w:szCs w:val="22"/>
                <w:u w:val="none" w:color="auto"/>
                <w:lang w:eastAsia="zh-CN"/>
              </w:rPr>
              <w:t>，</w:t>
            </w:r>
            <w:r>
              <w:rPr>
                <w:rFonts w:hint="eastAsia" w:ascii="Times New Roman" w:hAnsi="Times New Roman" w:cs="Times New Roman"/>
                <w:color w:val="auto"/>
                <w:sz w:val="24"/>
                <w:szCs w:val="22"/>
                <w:u w:val="none" w:color="auto"/>
                <w:lang w:val="en-US" w:eastAsia="zh-CN"/>
              </w:rPr>
              <w:t>可</w:t>
            </w:r>
            <w:r>
              <w:rPr>
                <w:rFonts w:ascii="Times New Roman" w:hAnsi="Times New Roman"/>
                <w:color w:val="auto"/>
                <w:sz w:val="24"/>
                <w:szCs w:val="22"/>
                <w:u w:val="none" w:color="auto"/>
              </w:rPr>
              <w:t>满足项目生产废水</w:t>
            </w:r>
            <w:r>
              <w:rPr>
                <w:rFonts w:hint="eastAsia" w:ascii="Times New Roman" w:hAnsi="Times New Roman"/>
                <w:color w:val="auto"/>
                <w:sz w:val="24"/>
                <w:szCs w:val="22"/>
                <w:u w:val="none" w:color="auto"/>
                <w:lang w:val="en-US" w:eastAsia="zh-CN"/>
              </w:rPr>
              <w:t>的暂存和处理需求</w:t>
            </w:r>
            <w:r>
              <w:rPr>
                <w:rFonts w:ascii="Times New Roman" w:hAnsi="Times New Roman"/>
                <w:color w:val="auto"/>
                <w:sz w:val="24"/>
                <w:szCs w:val="22"/>
                <w:u w:val="none" w:color="auto"/>
              </w:rPr>
              <w:t>。</w:t>
            </w:r>
            <w:r>
              <w:rPr>
                <w:rFonts w:hint="default" w:ascii="Times New Roman" w:hAnsi="Times New Roman" w:eastAsia="宋体" w:cs="Times New Roman"/>
                <w:color w:val="auto"/>
                <w:sz w:val="24"/>
                <w:szCs w:val="24"/>
                <w:highlight w:val="none"/>
                <w:u w:val="none" w:color="auto"/>
                <w:lang w:eastAsia="zh-CN"/>
              </w:rPr>
              <w:t>沉淀池是应用沉淀作用去除水中悬浮物的一种构筑物，沉淀池在废水处理中广为使用。</w:t>
            </w:r>
            <w:r>
              <w:rPr>
                <w:rFonts w:hint="eastAsia" w:ascii="Times New Roman" w:hAnsi="Times New Roman" w:eastAsia="宋体" w:cs="Times New Roman"/>
                <w:color w:val="auto"/>
                <w:sz w:val="24"/>
                <w:szCs w:val="24"/>
                <w:highlight w:val="none"/>
                <w:u w:val="none" w:color="auto"/>
                <w:lang w:val="en-US" w:eastAsia="zh-CN"/>
              </w:rPr>
              <w:t>项目</w:t>
            </w:r>
            <w:r>
              <w:rPr>
                <w:rFonts w:hint="default" w:ascii="Times New Roman" w:hAnsi="Times New Roman" w:eastAsia="宋体" w:cs="Times New Roman"/>
                <w:color w:val="auto"/>
                <w:sz w:val="24"/>
                <w:szCs w:val="24"/>
                <w:highlight w:val="none"/>
                <w:u w:val="none" w:color="auto"/>
                <w:lang w:eastAsia="zh-CN"/>
              </w:rPr>
              <w:t>废水经</w:t>
            </w:r>
            <w:r>
              <w:rPr>
                <w:rFonts w:hint="default" w:ascii="Times New Roman" w:hAnsi="Times New Roman" w:eastAsia="宋体" w:cs="Times New Roman"/>
                <w:color w:val="auto"/>
                <w:sz w:val="24"/>
                <w:szCs w:val="24"/>
                <w:highlight w:val="none"/>
                <w:u w:val="none" w:color="auto"/>
                <w:lang w:val="en-US" w:eastAsia="zh-CN"/>
              </w:rPr>
              <w:t>收集系统</w:t>
            </w:r>
            <w:r>
              <w:rPr>
                <w:rFonts w:hint="default" w:ascii="Times New Roman" w:hAnsi="Times New Roman" w:eastAsia="宋体" w:cs="Times New Roman"/>
                <w:color w:val="auto"/>
                <w:sz w:val="24"/>
                <w:szCs w:val="24"/>
                <w:highlight w:val="none"/>
                <w:u w:val="none" w:color="auto"/>
                <w:lang w:eastAsia="zh-CN"/>
              </w:rPr>
              <w:t>进入</w:t>
            </w:r>
            <w:r>
              <w:rPr>
                <w:rFonts w:hint="eastAsia" w:ascii="Times New Roman" w:hAnsi="Times New Roman" w:eastAsia="宋体" w:cs="Times New Roman"/>
                <w:color w:val="auto"/>
                <w:sz w:val="24"/>
                <w:szCs w:val="24"/>
                <w:highlight w:val="none"/>
                <w:u w:val="none" w:color="auto"/>
                <w:lang w:val="en-US" w:eastAsia="zh-CN"/>
              </w:rPr>
              <w:t>三</w:t>
            </w:r>
            <w:r>
              <w:rPr>
                <w:rFonts w:hint="default" w:ascii="Times New Roman" w:hAnsi="Times New Roman" w:eastAsia="宋体" w:cs="Times New Roman"/>
                <w:color w:val="auto"/>
                <w:sz w:val="24"/>
                <w:szCs w:val="24"/>
                <w:highlight w:val="none"/>
                <w:u w:val="none" w:color="auto"/>
                <w:lang w:eastAsia="zh-CN"/>
              </w:rPr>
              <w:t>级沉淀池（总容积为</w:t>
            </w:r>
            <w:r>
              <w:rPr>
                <w:rFonts w:hint="eastAsia" w:ascii="Times New Roman" w:hAnsi="Times New Roman" w:eastAsia="宋体" w:cs="Times New Roman"/>
                <w:color w:val="auto"/>
                <w:sz w:val="24"/>
                <w:szCs w:val="24"/>
                <w:highlight w:val="none"/>
                <w:u w:val="none" w:color="auto"/>
                <w:lang w:val="en-US" w:eastAsia="zh-CN"/>
              </w:rPr>
              <w:t>57.6</w:t>
            </w:r>
            <w:r>
              <w:rPr>
                <w:rFonts w:hint="default" w:ascii="Times New Roman" w:hAnsi="Times New Roman" w:eastAsia="宋体" w:cs="Times New Roman"/>
                <w:color w:val="auto"/>
                <w:sz w:val="24"/>
                <w:szCs w:val="24"/>
                <w:highlight w:val="none"/>
                <w:u w:val="none" w:color="auto"/>
                <w:lang w:eastAsia="zh-CN"/>
              </w:rPr>
              <w:t>m</w:t>
            </w:r>
            <w:r>
              <w:rPr>
                <w:rFonts w:hint="default" w:ascii="Times New Roman" w:hAnsi="Times New Roman" w:eastAsia="宋体" w:cs="Times New Roman"/>
                <w:color w:val="auto"/>
                <w:sz w:val="24"/>
                <w:szCs w:val="24"/>
                <w:highlight w:val="none"/>
                <w:u w:val="none" w:color="auto"/>
                <w:vertAlign w:val="superscript"/>
                <w:lang w:eastAsia="zh-CN"/>
              </w:rPr>
              <w:t>3</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每级沉淀池容积均</w:t>
            </w:r>
            <w:r>
              <w:rPr>
                <w:rFonts w:hint="default" w:ascii="Times New Roman" w:hAnsi="Times New Roman" w:eastAsia="宋体" w:cs="Times New Roman"/>
                <w:color w:val="auto"/>
                <w:sz w:val="24"/>
                <w:szCs w:val="24"/>
                <w:highlight w:val="none"/>
                <w:u w:val="none" w:color="auto"/>
                <w:lang w:eastAsia="zh-CN"/>
              </w:rPr>
              <w:t>为</w:t>
            </w:r>
            <w:r>
              <w:rPr>
                <w:rFonts w:hint="eastAsia" w:ascii="Times New Roman" w:hAnsi="Times New Roman" w:eastAsia="宋体" w:cs="Times New Roman"/>
                <w:color w:val="auto"/>
                <w:sz w:val="24"/>
                <w:szCs w:val="24"/>
                <w:highlight w:val="none"/>
                <w:u w:val="none" w:color="auto"/>
                <w:lang w:val="en-US" w:eastAsia="zh-CN"/>
              </w:rPr>
              <w:t>19.2</w:t>
            </w:r>
            <w:r>
              <w:rPr>
                <w:rFonts w:hint="default" w:ascii="Times New Roman" w:hAnsi="Times New Roman" w:eastAsia="宋体" w:cs="Times New Roman"/>
                <w:color w:val="auto"/>
                <w:sz w:val="24"/>
                <w:szCs w:val="24"/>
                <w:highlight w:val="none"/>
                <w:u w:val="none" w:color="auto"/>
                <w:lang w:eastAsia="zh-CN"/>
              </w:rPr>
              <w:t>m</w:t>
            </w:r>
            <w:r>
              <w:rPr>
                <w:rFonts w:hint="default" w:ascii="Times New Roman" w:hAnsi="Times New Roman" w:eastAsia="宋体" w:cs="Times New Roman"/>
                <w:color w:val="auto"/>
                <w:sz w:val="24"/>
                <w:szCs w:val="24"/>
                <w:highlight w:val="none"/>
                <w:u w:val="none" w:color="auto"/>
                <w:vertAlign w:val="superscript"/>
                <w:lang w:eastAsia="zh-CN"/>
              </w:rPr>
              <w:t>3</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在</w:t>
            </w:r>
            <w:r>
              <w:rPr>
                <w:rFonts w:hint="default" w:ascii="Times New Roman" w:hAnsi="Times New Roman" w:eastAsia="宋体" w:cs="Times New Roman"/>
                <w:color w:val="auto"/>
                <w:sz w:val="24"/>
                <w:szCs w:val="24"/>
                <w:highlight w:val="none"/>
                <w:u w:val="none" w:color="auto"/>
                <w:lang w:eastAsia="zh-CN"/>
              </w:rPr>
              <w:t>一级沉淀池</w:t>
            </w:r>
            <w:r>
              <w:rPr>
                <w:rFonts w:hint="eastAsia" w:ascii="Times New Roman" w:hAnsi="Times New Roman" w:eastAsia="宋体" w:cs="Times New Roman"/>
                <w:color w:val="auto"/>
                <w:sz w:val="24"/>
                <w:szCs w:val="24"/>
                <w:highlight w:val="none"/>
                <w:u w:val="none" w:color="auto"/>
                <w:lang w:val="en-US" w:eastAsia="zh-CN"/>
              </w:rPr>
              <w:t>内通过</w:t>
            </w:r>
            <w:r>
              <w:rPr>
                <w:rFonts w:hint="default" w:ascii="Times New Roman" w:hAnsi="Times New Roman" w:eastAsia="宋体" w:cs="Times New Roman"/>
                <w:color w:val="auto"/>
                <w:sz w:val="24"/>
                <w:szCs w:val="24"/>
                <w:highlight w:val="none"/>
                <w:u w:val="none" w:color="auto"/>
                <w:lang w:eastAsia="zh-CN"/>
              </w:rPr>
              <w:t>自然重力沉降进行初步沉淀，</w:t>
            </w:r>
            <w:r>
              <w:rPr>
                <w:rFonts w:hint="eastAsia" w:ascii="Times New Roman" w:hAnsi="Times New Roman" w:eastAsia="宋体" w:cs="Times New Roman"/>
                <w:color w:val="auto"/>
                <w:sz w:val="24"/>
                <w:szCs w:val="24"/>
                <w:highlight w:val="none"/>
                <w:u w:val="none" w:color="auto"/>
                <w:lang w:val="en-US" w:eastAsia="zh-CN"/>
              </w:rPr>
              <w:t>去除废水中砂石等大粒径物质，再进入</w:t>
            </w:r>
            <w:r>
              <w:rPr>
                <w:rFonts w:hint="default" w:ascii="Times New Roman" w:hAnsi="Times New Roman" w:eastAsia="宋体" w:cs="Times New Roman"/>
                <w:color w:val="auto"/>
                <w:sz w:val="24"/>
                <w:szCs w:val="24"/>
                <w:highlight w:val="none"/>
                <w:u w:val="none" w:color="auto"/>
                <w:lang w:eastAsia="zh-CN"/>
              </w:rPr>
              <w:t>二</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三</w:t>
            </w:r>
            <w:r>
              <w:rPr>
                <w:rFonts w:hint="default" w:ascii="Times New Roman" w:hAnsi="Times New Roman" w:eastAsia="宋体" w:cs="Times New Roman"/>
                <w:color w:val="auto"/>
                <w:sz w:val="24"/>
                <w:szCs w:val="24"/>
                <w:highlight w:val="none"/>
                <w:u w:val="none" w:color="auto"/>
                <w:lang w:eastAsia="zh-CN"/>
              </w:rPr>
              <w:t>级沉淀池</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作进一步沉淀</w:t>
            </w:r>
            <w:r>
              <w:rPr>
                <w:rFonts w:hint="default" w:ascii="Times New Roman" w:hAnsi="Times New Roman" w:eastAsia="宋体" w:cs="Times New Roman"/>
                <w:color w:val="auto"/>
                <w:sz w:val="24"/>
                <w:szCs w:val="24"/>
                <w:highlight w:val="none"/>
                <w:u w:val="none" w:color="auto"/>
                <w:lang w:eastAsia="zh-CN"/>
              </w:rPr>
              <w:t>处理</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废水的悬浮物在足够停留时间内大部分沉淀至池底，上</w:t>
            </w:r>
            <w:r>
              <w:rPr>
                <w:rFonts w:hint="default" w:ascii="Times New Roman" w:hAnsi="Times New Roman" w:eastAsia="宋体" w:cs="Times New Roman"/>
                <w:color w:val="auto"/>
                <w:sz w:val="24"/>
                <w:szCs w:val="24"/>
                <w:highlight w:val="none"/>
                <w:u w:val="none" w:color="auto"/>
                <w:lang w:eastAsia="zh-CN"/>
              </w:rPr>
              <w:t>清</w:t>
            </w:r>
            <w:r>
              <w:rPr>
                <w:rFonts w:hint="eastAsia" w:ascii="Times New Roman" w:hAnsi="Times New Roman" w:eastAsia="宋体" w:cs="Times New Roman"/>
                <w:color w:val="auto"/>
                <w:sz w:val="24"/>
                <w:szCs w:val="24"/>
                <w:highlight w:val="none"/>
                <w:u w:val="none" w:color="auto"/>
                <w:lang w:val="en-US" w:eastAsia="zh-CN"/>
              </w:rPr>
              <w:t>液可</w:t>
            </w:r>
            <w:r>
              <w:rPr>
                <w:rFonts w:hint="default" w:ascii="Times New Roman" w:hAnsi="Times New Roman" w:eastAsia="宋体" w:cs="Times New Roman"/>
                <w:color w:val="auto"/>
                <w:sz w:val="24"/>
                <w:szCs w:val="24"/>
                <w:highlight w:val="none"/>
                <w:u w:val="none" w:color="auto"/>
                <w:lang w:eastAsia="zh-CN"/>
              </w:rPr>
              <w:t>回用于</w:t>
            </w:r>
            <w:r>
              <w:rPr>
                <w:rFonts w:hint="default" w:ascii="Times New Roman" w:hAnsi="Times New Roman" w:eastAsia="宋体" w:cs="Times New Roman"/>
                <w:color w:val="auto"/>
                <w:sz w:val="24"/>
                <w:szCs w:val="24"/>
                <w:highlight w:val="none"/>
                <w:u w:val="none" w:color="auto"/>
                <w:lang w:val="en-US" w:eastAsia="zh-CN"/>
              </w:rPr>
              <w:t>生产</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水质可满足生产用水要求</w:t>
            </w:r>
            <w:r>
              <w:rPr>
                <w:rFonts w:hint="default" w:ascii="Times New Roman" w:hAnsi="Times New Roman" w:eastAsia="宋体" w:cs="Times New Roman"/>
                <w:color w:val="auto"/>
                <w:sz w:val="24"/>
                <w:szCs w:val="24"/>
                <w:highlight w:val="none"/>
                <w:u w:val="none" w:color="auto"/>
                <w:lang w:val="en-US" w:eastAsia="zh-CN"/>
              </w:rPr>
              <w:t>。</w:t>
            </w:r>
          </w:p>
          <w:p w14:paraId="3B360724">
            <w:pPr>
              <w:pStyle w:val="16"/>
              <w:tabs>
                <w:tab w:val="left" w:pos="0"/>
              </w:tabs>
              <w:spacing w:line="360" w:lineRule="auto"/>
              <w:ind w:firstLine="482" w:firstLineChars="200"/>
              <w:rPr>
                <w:rFonts w:ascii="Times New Roman" w:hAnsi="Times New Roman"/>
                <w:b/>
                <w:bCs/>
                <w:color w:val="auto"/>
                <w:sz w:val="24"/>
                <w:szCs w:val="24"/>
                <w:u w:val="none" w:color="auto"/>
              </w:rPr>
            </w:pPr>
            <w:r>
              <w:rPr>
                <w:rFonts w:ascii="Times New Roman" w:hAnsi="Times New Roman"/>
                <w:b/>
                <w:bCs/>
                <w:color w:val="auto"/>
                <w:sz w:val="24"/>
                <w:szCs w:val="24"/>
                <w:u w:val="none" w:color="auto"/>
              </w:rPr>
              <w:t>2.4 废水监测要求</w:t>
            </w:r>
          </w:p>
          <w:p w14:paraId="61B4AF70">
            <w:pPr>
              <w:pStyle w:val="16"/>
              <w:tabs>
                <w:tab w:val="left" w:pos="0"/>
              </w:tabs>
              <w:spacing w:line="360" w:lineRule="auto"/>
              <w:ind w:firstLine="480" w:firstLineChars="200"/>
              <w:rPr>
                <w:rFonts w:ascii="Times New Roman" w:hAnsi="Times New Roman"/>
                <w:color w:val="auto"/>
                <w:sz w:val="24"/>
                <w:szCs w:val="32"/>
                <w:u w:val="none" w:color="auto"/>
              </w:rPr>
            </w:pPr>
            <w:r>
              <w:rPr>
                <w:rFonts w:hint="default" w:ascii="Times New Roman" w:hAnsi="Times New Roman" w:eastAsia="宋体" w:cs="Times New Roman"/>
                <w:bCs/>
                <w:color w:val="auto"/>
                <w:sz w:val="24"/>
                <w:szCs w:val="24"/>
                <w:u w:val="none" w:color="auto"/>
                <w:lang w:val="en-US" w:eastAsia="zh-CN"/>
              </w:rPr>
              <w:t>根据《排污单位自行监测技术指南 总则》（HJ819-2017）相关规定</w:t>
            </w:r>
            <w:r>
              <w:rPr>
                <w:rFonts w:hint="eastAsia" w:ascii="Times New Roman" w:hAnsi="Times New Roman" w:eastAsia="宋体" w:cs="Times New Roman"/>
                <w:bCs/>
                <w:color w:val="auto"/>
                <w:sz w:val="24"/>
                <w:szCs w:val="24"/>
                <w:u w:val="none" w:color="auto"/>
                <w:lang w:val="en-US" w:eastAsia="zh-CN"/>
              </w:rPr>
              <w:t>，</w:t>
            </w:r>
            <w:r>
              <w:rPr>
                <w:rFonts w:hint="default" w:ascii="Times New Roman" w:hAnsi="Times New Roman" w:eastAsia="宋体" w:cs="Times New Roman"/>
                <w:bCs/>
                <w:color w:val="auto"/>
                <w:sz w:val="24"/>
                <w:szCs w:val="24"/>
                <w:u w:val="none" w:color="auto"/>
                <w:lang w:val="en-US" w:eastAsia="zh-CN"/>
              </w:rPr>
              <w:t>本项目产生的废水</w:t>
            </w:r>
            <w:r>
              <w:rPr>
                <w:rFonts w:hint="eastAsia" w:ascii="Times New Roman" w:hAnsi="Times New Roman" w:eastAsia="宋体" w:cs="Times New Roman"/>
                <w:bCs/>
                <w:color w:val="auto"/>
                <w:sz w:val="24"/>
                <w:szCs w:val="24"/>
                <w:u w:val="none" w:color="auto"/>
                <w:lang w:val="en-US" w:eastAsia="zh-CN"/>
              </w:rPr>
              <w:t>均</w:t>
            </w:r>
            <w:r>
              <w:rPr>
                <w:rFonts w:hint="default" w:ascii="Times New Roman" w:hAnsi="Times New Roman" w:eastAsia="宋体" w:cs="Times New Roman"/>
                <w:bCs/>
                <w:color w:val="auto"/>
                <w:sz w:val="24"/>
                <w:szCs w:val="24"/>
                <w:u w:val="none" w:color="auto"/>
                <w:lang w:val="en-US" w:eastAsia="zh-CN"/>
              </w:rPr>
              <w:t>不外排，不设置废水排</w:t>
            </w:r>
            <w:r>
              <w:rPr>
                <w:rFonts w:hint="eastAsia" w:ascii="Times New Roman" w:hAnsi="Times New Roman" w:eastAsia="宋体" w:cs="Times New Roman"/>
                <w:bCs/>
                <w:color w:val="auto"/>
                <w:sz w:val="24"/>
                <w:szCs w:val="24"/>
                <w:u w:val="none" w:color="auto"/>
                <w:lang w:val="en-US" w:eastAsia="zh-CN"/>
              </w:rPr>
              <w:t>放</w:t>
            </w:r>
            <w:r>
              <w:rPr>
                <w:rFonts w:hint="default" w:ascii="Times New Roman" w:hAnsi="Times New Roman" w:eastAsia="宋体" w:cs="Times New Roman"/>
                <w:bCs/>
                <w:color w:val="auto"/>
                <w:sz w:val="24"/>
                <w:szCs w:val="24"/>
                <w:u w:val="none" w:color="auto"/>
                <w:lang w:val="en-US" w:eastAsia="zh-CN"/>
              </w:rPr>
              <w:t>口，</w:t>
            </w:r>
            <w:r>
              <w:rPr>
                <w:rFonts w:hint="eastAsia" w:ascii="Times New Roman" w:hAnsi="Times New Roman" w:eastAsia="宋体" w:cs="Times New Roman"/>
                <w:bCs/>
                <w:color w:val="auto"/>
                <w:sz w:val="24"/>
                <w:szCs w:val="24"/>
                <w:u w:val="none" w:color="auto"/>
                <w:lang w:val="en-US" w:eastAsia="zh-CN"/>
              </w:rPr>
              <w:t>无需制定</w:t>
            </w:r>
            <w:r>
              <w:rPr>
                <w:rFonts w:hint="default" w:ascii="Times New Roman" w:hAnsi="Times New Roman" w:eastAsia="宋体" w:cs="Times New Roman"/>
                <w:bCs/>
                <w:color w:val="auto"/>
                <w:sz w:val="24"/>
                <w:szCs w:val="24"/>
                <w:u w:val="none" w:color="auto"/>
                <w:lang w:val="en-US" w:eastAsia="zh-CN"/>
              </w:rPr>
              <w:t>废水监测计划。</w:t>
            </w:r>
          </w:p>
          <w:p w14:paraId="0D73B897">
            <w:pPr>
              <w:adjustRightInd w:val="0"/>
              <w:snapToGrid w:val="0"/>
              <w:spacing w:line="360" w:lineRule="auto"/>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3</w:t>
            </w:r>
            <w:r>
              <w:rPr>
                <w:rFonts w:hint="eastAsia" w:ascii="Times New Roman" w:hAnsi="Times New Roman" w:eastAsia="宋体" w:cs="Times New Roman"/>
                <w:b/>
                <w:color w:val="auto"/>
                <w:sz w:val="24"/>
                <w:szCs w:val="24"/>
                <w:u w:val="none" w:color="auto"/>
                <w:lang w:eastAsia="zh-CN"/>
              </w:rPr>
              <w:t>、</w:t>
            </w:r>
            <w:r>
              <w:rPr>
                <w:rFonts w:ascii="Times New Roman" w:hAnsi="Times New Roman" w:eastAsia="宋体" w:cs="Times New Roman"/>
                <w:b/>
                <w:color w:val="auto"/>
                <w:sz w:val="24"/>
                <w:szCs w:val="24"/>
                <w:u w:val="none" w:color="auto"/>
              </w:rPr>
              <w:t>噪声</w:t>
            </w:r>
          </w:p>
          <w:p w14:paraId="6BC3D255">
            <w:pPr>
              <w:adjustRightInd w:val="0"/>
              <w:snapToGrid w:val="0"/>
              <w:spacing w:line="360" w:lineRule="auto"/>
              <w:ind w:firstLine="482" w:firstLineChars="200"/>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3.1噪声源强及降噪措施</w:t>
            </w:r>
          </w:p>
          <w:p w14:paraId="0EBEE3C0">
            <w:pPr>
              <w:pStyle w:val="16"/>
              <w:tabs>
                <w:tab w:val="left" w:pos="0"/>
              </w:tabs>
              <w:spacing w:line="360" w:lineRule="auto"/>
              <w:ind w:firstLine="480" w:firstLineChars="200"/>
              <w:rPr>
                <w:rFonts w:ascii="Times New Roman" w:hAnsi="Times New Roman"/>
                <w:color w:val="auto"/>
                <w:sz w:val="24"/>
                <w:szCs w:val="32"/>
                <w:u w:val="none" w:color="auto"/>
              </w:rPr>
            </w:pPr>
            <w:r>
              <w:rPr>
                <w:rFonts w:ascii="Times New Roman" w:hAnsi="Times New Roman"/>
                <w:color w:val="auto"/>
                <w:sz w:val="24"/>
                <w:szCs w:val="32"/>
                <w:u w:val="none" w:color="auto"/>
              </w:rPr>
              <w:t>本项目产生噪声主要为搅拌站、运输车辆、输送机等机械设备产生的机械噪声，声源值在80dB(A)~</w:t>
            </w:r>
            <w:r>
              <w:rPr>
                <w:rFonts w:hint="eastAsia" w:ascii="Times New Roman" w:hAnsi="Times New Roman"/>
                <w:color w:val="auto"/>
                <w:sz w:val="24"/>
                <w:szCs w:val="32"/>
                <w:u w:val="none" w:color="auto"/>
                <w:lang w:val="en-US" w:eastAsia="zh-CN"/>
              </w:rPr>
              <w:t>8</w:t>
            </w:r>
            <w:r>
              <w:rPr>
                <w:rFonts w:ascii="Times New Roman" w:hAnsi="Times New Roman"/>
                <w:color w:val="auto"/>
                <w:sz w:val="24"/>
                <w:szCs w:val="32"/>
                <w:u w:val="none" w:color="auto"/>
              </w:rPr>
              <w:t>5dB(A)之间。其中主要噪声源及设备见下表。</w:t>
            </w:r>
          </w:p>
          <w:p w14:paraId="437F9DD0">
            <w:pPr>
              <w:ind w:right="113" w:firstLine="482" w:firstLineChars="200"/>
              <w:jc w:val="center"/>
              <w:rPr>
                <w:rFonts w:ascii="Times New Roman" w:hAnsi="Times New Roman" w:cs="Times New Roman"/>
                <w:b/>
                <w:color w:val="auto"/>
                <w:sz w:val="24"/>
                <w:u w:val="none" w:color="auto"/>
              </w:rPr>
            </w:pPr>
            <w:r>
              <w:rPr>
                <w:rFonts w:ascii="Times New Roman" w:hAnsi="Times New Roman" w:cs="Times New Roman"/>
                <w:b/>
                <w:color w:val="auto"/>
                <w:sz w:val="24"/>
                <w:u w:val="none" w:color="auto"/>
              </w:rPr>
              <w:t>表4-</w:t>
            </w:r>
            <w:r>
              <w:rPr>
                <w:rFonts w:hint="eastAsia" w:ascii="Times New Roman" w:hAnsi="Times New Roman" w:cs="Times New Roman"/>
                <w:b/>
                <w:color w:val="auto"/>
                <w:sz w:val="24"/>
                <w:u w:val="none" w:color="auto"/>
                <w:lang w:val="en-US" w:eastAsia="zh-CN"/>
              </w:rPr>
              <w:t xml:space="preserve">5  </w:t>
            </w:r>
            <w:r>
              <w:rPr>
                <w:rFonts w:hint="default" w:ascii="Times New Roman" w:hAnsi="Times New Roman" w:eastAsia="宋体" w:cs="Times New Roman"/>
                <w:b/>
                <w:bCs w:val="0"/>
                <w:color w:val="auto"/>
                <w:sz w:val="21"/>
                <w:szCs w:val="16"/>
                <w:u w:val="none" w:color="auto"/>
                <w:lang w:val="en-US" w:eastAsia="zh-CN"/>
              </w:rPr>
              <w:t>工业企业噪声源强调查清单（室内声源）</w:t>
            </w:r>
          </w:p>
          <w:tbl>
            <w:tblPr>
              <w:tblStyle w:val="26"/>
              <w:tblW w:w="499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9"/>
              <w:gridCol w:w="377"/>
              <w:gridCol w:w="1147"/>
              <w:gridCol w:w="734"/>
              <w:gridCol w:w="691"/>
              <w:gridCol w:w="312"/>
              <w:gridCol w:w="297"/>
              <w:gridCol w:w="342"/>
              <w:gridCol w:w="581"/>
              <w:gridCol w:w="592"/>
              <w:gridCol w:w="611"/>
              <w:gridCol w:w="727"/>
              <w:gridCol w:w="730"/>
              <w:gridCol w:w="642"/>
            </w:tblGrid>
            <w:tr w14:paraId="4A228B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2" w:type="pct"/>
                  <w:vMerge w:val="restart"/>
                  <w:tcBorders>
                    <w:tl2br w:val="nil"/>
                    <w:tr2bl w:val="nil"/>
                  </w:tcBorders>
                  <w:noWrap w:val="0"/>
                  <w:vAlign w:val="center"/>
                </w:tcPr>
                <w:p w14:paraId="4D8553CF">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序</w:t>
                  </w:r>
                </w:p>
                <w:p w14:paraId="49A38705">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号</w:t>
                  </w:r>
                </w:p>
              </w:tc>
              <w:tc>
                <w:tcPr>
                  <w:tcW w:w="235" w:type="pct"/>
                  <w:vMerge w:val="restart"/>
                  <w:tcBorders>
                    <w:tl2br w:val="nil"/>
                    <w:tr2bl w:val="nil"/>
                  </w:tcBorders>
                  <w:noWrap w:val="0"/>
                  <w:vAlign w:val="center"/>
                </w:tcPr>
                <w:p w14:paraId="1D0C3276">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位置</w:t>
                  </w:r>
                </w:p>
              </w:tc>
              <w:tc>
                <w:tcPr>
                  <w:tcW w:w="715" w:type="pct"/>
                  <w:vMerge w:val="restart"/>
                  <w:tcBorders>
                    <w:tl2br w:val="nil"/>
                    <w:tr2bl w:val="nil"/>
                  </w:tcBorders>
                  <w:noWrap w:val="0"/>
                  <w:vAlign w:val="center"/>
                </w:tcPr>
                <w:p w14:paraId="66AAAD0D">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设备</w:t>
                  </w:r>
                </w:p>
              </w:tc>
              <w:tc>
                <w:tcPr>
                  <w:tcW w:w="458" w:type="pct"/>
                  <w:vMerge w:val="restart"/>
                  <w:tcBorders>
                    <w:tl2br w:val="nil"/>
                    <w:tr2bl w:val="nil"/>
                  </w:tcBorders>
                  <w:noWrap w:val="0"/>
                  <w:vAlign w:val="center"/>
                </w:tcPr>
                <w:p w14:paraId="322845ED">
                  <w:pPr>
                    <w:keepNext w:val="0"/>
                    <w:keepLines w:val="0"/>
                    <w:pageBreakBefore w:val="0"/>
                    <w:widowControl/>
                    <w:tabs>
                      <w:tab w:val="left" w:pos="145"/>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噪声声级/dB（A）</w:t>
                  </w:r>
                </w:p>
              </w:tc>
              <w:tc>
                <w:tcPr>
                  <w:tcW w:w="431" w:type="pct"/>
                  <w:vMerge w:val="restart"/>
                  <w:tcBorders>
                    <w:tl2br w:val="nil"/>
                    <w:tr2bl w:val="nil"/>
                  </w:tcBorders>
                  <w:noWrap w:val="0"/>
                  <w:vAlign w:val="center"/>
                </w:tcPr>
                <w:p w14:paraId="65E9D4FF">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声源控制措施</w:t>
                  </w:r>
                </w:p>
              </w:tc>
              <w:tc>
                <w:tcPr>
                  <w:tcW w:w="592" w:type="pct"/>
                  <w:gridSpan w:val="3"/>
                  <w:tcBorders>
                    <w:tl2br w:val="nil"/>
                    <w:tr2bl w:val="nil"/>
                  </w:tcBorders>
                  <w:noWrap w:val="0"/>
                  <w:vAlign w:val="center"/>
                </w:tcPr>
                <w:p w14:paraId="1E81A771">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空间相对位置/m</w:t>
                  </w:r>
                </w:p>
              </w:tc>
              <w:tc>
                <w:tcPr>
                  <w:tcW w:w="362" w:type="pct"/>
                  <w:vMerge w:val="restart"/>
                  <w:tcBorders>
                    <w:tl2br w:val="nil"/>
                    <w:tr2bl w:val="nil"/>
                  </w:tcBorders>
                  <w:noWrap w:val="0"/>
                  <w:vAlign w:val="center"/>
                </w:tcPr>
                <w:p w14:paraId="68ADDD36">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距室内边界距离/m</w:t>
                  </w:r>
                </w:p>
              </w:tc>
              <w:tc>
                <w:tcPr>
                  <w:tcW w:w="369" w:type="pct"/>
                  <w:vMerge w:val="restart"/>
                  <w:tcBorders>
                    <w:tl2br w:val="nil"/>
                    <w:tr2bl w:val="nil"/>
                  </w:tcBorders>
                  <w:noWrap w:val="0"/>
                  <w:vAlign w:val="center"/>
                </w:tcPr>
                <w:p w14:paraId="700B1D7A">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室内边界噪声</w:t>
                  </w: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w:t>
                  </w: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dB（A）</w:t>
                  </w:r>
                </w:p>
              </w:tc>
              <w:tc>
                <w:tcPr>
                  <w:tcW w:w="381" w:type="pct"/>
                  <w:vMerge w:val="restart"/>
                  <w:tcBorders>
                    <w:tl2br w:val="nil"/>
                    <w:tr2bl w:val="nil"/>
                  </w:tcBorders>
                  <w:noWrap w:val="0"/>
                  <w:vAlign w:val="center"/>
                </w:tcPr>
                <w:p w14:paraId="0EEB874F">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运行时段</w:t>
                  </w:r>
                </w:p>
              </w:tc>
              <w:tc>
                <w:tcPr>
                  <w:tcW w:w="453" w:type="pct"/>
                  <w:vMerge w:val="restart"/>
                  <w:tcBorders>
                    <w:tl2br w:val="nil"/>
                    <w:tr2bl w:val="nil"/>
                  </w:tcBorders>
                  <w:noWrap w:val="0"/>
                  <w:vAlign w:val="center"/>
                </w:tcPr>
                <w:p w14:paraId="433BB428">
                  <w:pPr>
                    <w:keepNext w:val="0"/>
                    <w:keepLines w:val="0"/>
                    <w:pageBreakBefore w:val="0"/>
                    <w:widowControl/>
                    <w:tabs>
                      <w:tab w:val="left" w:pos="367"/>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建筑物插入损失/dB（A）</w:t>
                  </w:r>
                </w:p>
              </w:tc>
              <w:tc>
                <w:tcPr>
                  <w:tcW w:w="856" w:type="pct"/>
                  <w:gridSpan w:val="2"/>
                  <w:tcBorders>
                    <w:tl2br w:val="nil"/>
                    <w:tr2bl w:val="nil"/>
                  </w:tcBorders>
                  <w:noWrap w:val="0"/>
                  <w:vAlign w:val="center"/>
                </w:tcPr>
                <w:p w14:paraId="112AEDCE">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建筑物外噪声</w:t>
                  </w:r>
                </w:p>
              </w:tc>
            </w:tr>
            <w:tr w14:paraId="114A44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2" w:type="pct"/>
                  <w:vMerge w:val="continue"/>
                  <w:tcBorders>
                    <w:tl2br w:val="nil"/>
                    <w:tr2bl w:val="nil"/>
                  </w:tcBorders>
                  <w:noWrap w:val="0"/>
                  <w:vAlign w:val="center"/>
                </w:tcPr>
                <w:p w14:paraId="1FA65F5A">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5" w:type="pct"/>
                  <w:vMerge w:val="continue"/>
                  <w:tcBorders>
                    <w:tl2br w:val="nil"/>
                    <w:tr2bl w:val="nil"/>
                  </w:tcBorders>
                  <w:noWrap w:val="0"/>
                  <w:vAlign w:val="center"/>
                </w:tcPr>
                <w:p w14:paraId="2998D33A">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15" w:type="pct"/>
                  <w:vMerge w:val="continue"/>
                  <w:tcBorders>
                    <w:tl2br w:val="nil"/>
                    <w:tr2bl w:val="nil"/>
                  </w:tcBorders>
                  <w:noWrap w:val="0"/>
                  <w:vAlign w:val="center"/>
                </w:tcPr>
                <w:p w14:paraId="6AC6EBF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8" w:type="pct"/>
                  <w:vMerge w:val="continue"/>
                  <w:tcBorders>
                    <w:tl2br w:val="nil"/>
                    <w:tr2bl w:val="nil"/>
                  </w:tcBorders>
                  <w:noWrap w:val="0"/>
                  <w:vAlign w:val="center"/>
                </w:tcPr>
                <w:p w14:paraId="738ABA5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31" w:type="pct"/>
                  <w:vMerge w:val="continue"/>
                  <w:tcBorders>
                    <w:tl2br w:val="nil"/>
                    <w:tr2bl w:val="nil"/>
                  </w:tcBorders>
                  <w:noWrap w:val="0"/>
                  <w:vAlign w:val="center"/>
                </w:tcPr>
                <w:p w14:paraId="14BA965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94" w:type="pct"/>
                  <w:tcBorders>
                    <w:tl2br w:val="nil"/>
                    <w:tr2bl w:val="nil"/>
                  </w:tcBorders>
                  <w:noWrap w:val="0"/>
                  <w:vAlign w:val="center"/>
                </w:tcPr>
                <w:p w14:paraId="5E155372">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X</w:t>
                  </w:r>
                </w:p>
              </w:tc>
              <w:tc>
                <w:tcPr>
                  <w:tcW w:w="185" w:type="pct"/>
                  <w:tcBorders>
                    <w:tl2br w:val="nil"/>
                    <w:tr2bl w:val="nil"/>
                  </w:tcBorders>
                  <w:noWrap w:val="0"/>
                  <w:vAlign w:val="center"/>
                </w:tcPr>
                <w:p w14:paraId="53B299B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Y</w:t>
                  </w:r>
                </w:p>
              </w:tc>
              <w:tc>
                <w:tcPr>
                  <w:tcW w:w="213" w:type="pct"/>
                  <w:tcBorders>
                    <w:tl2br w:val="nil"/>
                    <w:tr2bl w:val="nil"/>
                  </w:tcBorders>
                  <w:noWrap w:val="0"/>
                  <w:vAlign w:val="center"/>
                </w:tcPr>
                <w:p w14:paraId="0C83C17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Z</w:t>
                  </w:r>
                </w:p>
              </w:tc>
              <w:tc>
                <w:tcPr>
                  <w:tcW w:w="362" w:type="pct"/>
                  <w:vMerge w:val="continue"/>
                  <w:tcBorders>
                    <w:tl2br w:val="nil"/>
                    <w:tr2bl w:val="nil"/>
                  </w:tcBorders>
                  <w:noWrap w:val="0"/>
                  <w:vAlign w:val="center"/>
                </w:tcPr>
                <w:p w14:paraId="6376D9C3">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369" w:type="pct"/>
                  <w:vMerge w:val="continue"/>
                  <w:tcBorders>
                    <w:tl2br w:val="nil"/>
                    <w:tr2bl w:val="nil"/>
                  </w:tcBorders>
                  <w:noWrap w:val="0"/>
                  <w:vAlign w:val="center"/>
                </w:tcPr>
                <w:p w14:paraId="27CD83F5">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381" w:type="pct"/>
                  <w:vMerge w:val="continue"/>
                  <w:tcBorders>
                    <w:tl2br w:val="nil"/>
                    <w:tr2bl w:val="nil"/>
                  </w:tcBorders>
                  <w:noWrap w:val="0"/>
                  <w:vAlign w:val="center"/>
                </w:tcPr>
                <w:p w14:paraId="25A5136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3" w:type="pct"/>
                  <w:vMerge w:val="continue"/>
                  <w:tcBorders>
                    <w:tl2br w:val="nil"/>
                    <w:tr2bl w:val="nil"/>
                  </w:tcBorders>
                  <w:noWrap w:val="0"/>
                  <w:vAlign w:val="center"/>
                </w:tcPr>
                <w:p w14:paraId="79B6E9C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5" w:type="pct"/>
                  <w:tcBorders>
                    <w:tl2br w:val="nil"/>
                    <w:tr2bl w:val="nil"/>
                  </w:tcBorders>
                  <w:noWrap w:val="0"/>
                  <w:vAlign w:val="center"/>
                </w:tcPr>
                <w:p w14:paraId="2FEE2EDA">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建筑物外噪声/dB（A）</w:t>
                  </w:r>
                </w:p>
              </w:tc>
              <w:tc>
                <w:tcPr>
                  <w:tcW w:w="400" w:type="pct"/>
                  <w:tcBorders>
                    <w:tl2br w:val="nil"/>
                    <w:tr2bl w:val="nil"/>
                  </w:tcBorders>
                  <w:noWrap w:val="0"/>
                  <w:vAlign w:val="center"/>
                </w:tcPr>
                <w:p w14:paraId="761E50A6">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建筑物外距离/m</w:t>
                  </w:r>
                </w:p>
              </w:tc>
            </w:tr>
            <w:tr w14:paraId="4F2BC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2" w:type="pct"/>
                  <w:tcBorders>
                    <w:tl2br w:val="nil"/>
                    <w:tr2bl w:val="nil"/>
                  </w:tcBorders>
                  <w:noWrap w:val="0"/>
                  <w:vAlign w:val="center"/>
                </w:tcPr>
                <w:p w14:paraId="590C6173">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235" w:type="pct"/>
                  <w:vMerge w:val="restart"/>
                  <w:tcBorders>
                    <w:tl2br w:val="nil"/>
                    <w:tr2bl w:val="nil"/>
                  </w:tcBorders>
                  <w:noWrap w:val="0"/>
                  <w:vAlign w:val="center"/>
                </w:tcPr>
                <w:p w14:paraId="5C4712D3">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厂区</w:t>
                  </w:r>
                </w:p>
              </w:tc>
              <w:tc>
                <w:tcPr>
                  <w:tcW w:w="715" w:type="pct"/>
                  <w:tcBorders>
                    <w:tl2br w:val="nil"/>
                    <w:tr2bl w:val="nil"/>
                  </w:tcBorders>
                  <w:noWrap w:val="0"/>
                  <w:vAlign w:val="center"/>
                </w:tcPr>
                <w:p w14:paraId="6600C638">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color w:val="auto"/>
                      <w:szCs w:val="21"/>
                      <w:u w:val="none" w:color="auto"/>
                    </w:rPr>
                    <w:t>皮带输送机</w:t>
                  </w:r>
                </w:p>
              </w:tc>
              <w:tc>
                <w:tcPr>
                  <w:tcW w:w="458" w:type="pct"/>
                  <w:tcBorders>
                    <w:tl2br w:val="nil"/>
                    <w:tr2bl w:val="nil"/>
                  </w:tcBorders>
                  <w:noWrap w:val="0"/>
                  <w:vAlign w:val="center"/>
                </w:tcPr>
                <w:p w14:paraId="028A4859">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ascii="Times New Roman" w:hAnsi="Times New Roman" w:cs="Times New Roman"/>
                      <w:color w:val="auto"/>
                      <w:szCs w:val="21"/>
                      <w:u w:val="none" w:color="auto"/>
                    </w:rPr>
                    <w:t>80</w:t>
                  </w:r>
                </w:p>
              </w:tc>
              <w:tc>
                <w:tcPr>
                  <w:tcW w:w="431" w:type="pct"/>
                  <w:vMerge w:val="restart"/>
                  <w:tcBorders>
                    <w:tl2br w:val="nil"/>
                    <w:tr2bl w:val="nil"/>
                  </w:tcBorders>
                  <w:noWrap w:val="0"/>
                  <w:vAlign w:val="center"/>
                </w:tcPr>
                <w:p w14:paraId="11749743">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both"/>
                    <w:textAlignment w:val="auto"/>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合理布局</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选用低噪声设备、基础减振</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厂房</w:t>
                  </w:r>
                  <w:r>
                    <w:rPr>
                      <w:rFonts w:hint="default" w:ascii="Times New Roman" w:hAnsi="Times New Roman" w:eastAsia="宋体" w:cs="Times New Roman"/>
                      <w:color w:val="auto"/>
                      <w:sz w:val="21"/>
                      <w:szCs w:val="21"/>
                      <w:u w:val="none" w:color="auto"/>
                    </w:rPr>
                    <w:t>隔声</w:t>
                  </w:r>
                  <w:r>
                    <w:rPr>
                      <w:rFonts w:hint="eastAsia" w:ascii="Times New Roman" w:hAnsi="Times New Roman" w:eastAsia="宋体" w:cs="Times New Roman"/>
                      <w:color w:val="auto"/>
                      <w:sz w:val="21"/>
                      <w:szCs w:val="21"/>
                      <w:u w:val="none" w:color="auto"/>
                      <w:lang w:val="en-US" w:eastAsia="zh-CN"/>
                    </w:rPr>
                    <w:t>等</w:t>
                  </w:r>
                </w:p>
              </w:tc>
              <w:tc>
                <w:tcPr>
                  <w:tcW w:w="194" w:type="pct"/>
                  <w:tcBorders>
                    <w:tl2br w:val="nil"/>
                    <w:tr2bl w:val="nil"/>
                  </w:tcBorders>
                  <w:noWrap w:val="0"/>
                  <w:vAlign w:val="center"/>
                </w:tcPr>
                <w:p w14:paraId="1045D93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60</w:t>
                  </w:r>
                </w:p>
              </w:tc>
              <w:tc>
                <w:tcPr>
                  <w:tcW w:w="185" w:type="pct"/>
                  <w:tcBorders>
                    <w:tl2br w:val="nil"/>
                    <w:tr2bl w:val="nil"/>
                  </w:tcBorders>
                  <w:noWrap w:val="0"/>
                  <w:vAlign w:val="center"/>
                </w:tcPr>
                <w:p w14:paraId="66FF8712">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20</w:t>
                  </w:r>
                </w:p>
              </w:tc>
              <w:tc>
                <w:tcPr>
                  <w:tcW w:w="213" w:type="pct"/>
                  <w:tcBorders>
                    <w:tl2br w:val="nil"/>
                    <w:tr2bl w:val="nil"/>
                  </w:tcBorders>
                  <w:noWrap w:val="0"/>
                  <w:vAlign w:val="center"/>
                </w:tcPr>
                <w:p w14:paraId="78F8EDD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w:t>
                  </w:r>
                </w:p>
              </w:tc>
              <w:tc>
                <w:tcPr>
                  <w:tcW w:w="362" w:type="pct"/>
                  <w:tcBorders>
                    <w:tl2br w:val="nil"/>
                    <w:tr2bl w:val="nil"/>
                  </w:tcBorders>
                  <w:noWrap w:val="0"/>
                  <w:vAlign w:val="center"/>
                </w:tcPr>
                <w:p w14:paraId="1252C72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w:t>
                  </w:r>
                </w:p>
              </w:tc>
              <w:tc>
                <w:tcPr>
                  <w:tcW w:w="369" w:type="pct"/>
                  <w:tcBorders>
                    <w:tl2br w:val="nil"/>
                    <w:tr2bl w:val="nil"/>
                  </w:tcBorders>
                  <w:noWrap w:val="0"/>
                  <w:vAlign w:val="center"/>
                </w:tcPr>
                <w:p w14:paraId="0061A551">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66.0</w:t>
                  </w:r>
                </w:p>
              </w:tc>
              <w:tc>
                <w:tcPr>
                  <w:tcW w:w="381" w:type="pct"/>
                  <w:vMerge w:val="restart"/>
                  <w:tcBorders>
                    <w:tl2br w:val="nil"/>
                    <w:tr2bl w:val="nil"/>
                  </w:tcBorders>
                  <w:noWrap w:val="0"/>
                  <w:vAlign w:val="center"/>
                </w:tcPr>
                <w:p w14:paraId="4EFB6865">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0</w:t>
                  </w: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8</w:t>
                  </w:r>
                  <w:r>
                    <w:rPr>
                      <w:rFonts w:hint="default" w:ascii="Times New Roman" w:hAnsi="Times New Roman" w:eastAsia="宋体" w:cs="Times New Roman"/>
                      <w:b w:val="0"/>
                      <w:bCs w:val="0"/>
                      <w:snapToGrid w:val="0"/>
                      <w:color w:val="auto"/>
                      <w:spacing w:val="0"/>
                      <w:w w:val="100"/>
                      <w:position w:val="0"/>
                      <w:sz w:val="21"/>
                      <w:szCs w:val="21"/>
                      <w:u w:val="none" w:color="auto"/>
                    </w:rPr>
                    <w:t>:00~</w:t>
                  </w:r>
                </w:p>
                <w:p w14:paraId="7B5F910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18</w:t>
                  </w:r>
                  <w:r>
                    <w:rPr>
                      <w:rFonts w:hint="default" w:ascii="Times New Roman" w:hAnsi="Times New Roman" w:eastAsia="宋体" w:cs="Times New Roman"/>
                      <w:b w:val="0"/>
                      <w:bCs w:val="0"/>
                      <w:snapToGrid w:val="0"/>
                      <w:color w:val="auto"/>
                      <w:spacing w:val="0"/>
                      <w:w w:val="100"/>
                      <w:position w:val="0"/>
                      <w:sz w:val="21"/>
                      <w:szCs w:val="21"/>
                      <w:u w:val="none" w:color="auto"/>
                    </w:rPr>
                    <w:t>:00</w:t>
                  </w:r>
                </w:p>
              </w:tc>
              <w:tc>
                <w:tcPr>
                  <w:tcW w:w="453" w:type="pct"/>
                  <w:vMerge w:val="restart"/>
                  <w:tcBorders>
                    <w:tl2br w:val="nil"/>
                    <w:tr2bl w:val="nil"/>
                  </w:tcBorders>
                  <w:noWrap w:val="0"/>
                  <w:vAlign w:val="center"/>
                </w:tcPr>
                <w:p w14:paraId="569B4EBF">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15</w:t>
                  </w:r>
                </w:p>
              </w:tc>
              <w:tc>
                <w:tcPr>
                  <w:tcW w:w="455" w:type="pct"/>
                  <w:tcBorders>
                    <w:tl2br w:val="nil"/>
                    <w:tr2bl w:val="nil"/>
                  </w:tcBorders>
                  <w:noWrap w:val="0"/>
                  <w:vAlign w:val="center"/>
                </w:tcPr>
                <w:p w14:paraId="083B054D">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51.0</w:t>
                  </w:r>
                </w:p>
              </w:tc>
              <w:tc>
                <w:tcPr>
                  <w:tcW w:w="400" w:type="pct"/>
                  <w:tcBorders>
                    <w:tl2br w:val="nil"/>
                    <w:tr2bl w:val="nil"/>
                  </w:tcBorders>
                  <w:noWrap w:val="0"/>
                  <w:vAlign w:val="center"/>
                </w:tcPr>
                <w:p w14:paraId="7C40A46B">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r>
            <w:tr w14:paraId="5121CB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2" w:type="pct"/>
                  <w:tcBorders>
                    <w:tl2br w:val="nil"/>
                    <w:tr2bl w:val="nil"/>
                  </w:tcBorders>
                  <w:noWrap w:val="0"/>
                  <w:vAlign w:val="center"/>
                </w:tcPr>
                <w:p w14:paraId="1601E7A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2</w:t>
                  </w:r>
                </w:p>
              </w:tc>
              <w:tc>
                <w:tcPr>
                  <w:tcW w:w="235" w:type="pct"/>
                  <w:vMerge w:val="continue"/>
                  <w:tcBorders>
                    <w:tl2br w:val="nil"/>
                    <w:tr2bl w:val="nil"/>
                  </w:tcBorders>
                  <w:noWrap w:val="0"/>
                  <w:vAlign w:val="center"/>
                </w:tcPr>
                <w:p w14:paraId="52B12CE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15" w:type="pct"/>
                  <w:tcBorders>
                    <w:tl2br w:val="nil"/>
                    <w:tr2bl w:val="nil"/>
                  </w:tcBorders>
                  <w:noWrap w:val="0"/>
                  <w:vAlign w:val="center"/>
                </w:tcPr>
                <w:p w14:paraId="43C3CDF3">
                  <w:pPr>
                    <w:adjustRightInd w:val="0"/>
                    <w:snapToGrid w:val="0"/>
                    <w:spacing w:line="360" w:lineRule="exact"/>
                    <w:jc w:val="center"/>
                    <w:rPr>
                      <w:rFonts w:hint="eastAsia" w:ascii="Times New Roman" w:hAnsi="Times New Roman" w:eastAsia="宋体" w:cs="Times New Roman"/>
                      <w:b w:val="0"/>
                      <w:bCs w:val="0"/>
                      <w:snapToGrid w:val="0"/>
                      <w:color w:val="auto"/>
                      <w:spacing w:val="0"/>
                      <w:w w:val="100"/>
                      <w:position w:val="0"/>
                      <w:sz w:val="21"/>
                      <w:szCs w:val="21"/>
                      <w:u w:val="none" w:color="auto"/>
                      <w:lang w:eastAsia="zh-CN"/>
                    </w:rPr>
                  </w:pPr>
                  <w:r>
                    <w:rPr>
                      <w:rFonts w:ascii="Times New Roman" w:hAnsi="Times New Roman" w:cs="Times New Roman"/>
                      <w:color w:val="auto"/>
                      <w:szCs w:val="21"/>
                      <w:u w:val="none" w:color="auto"/>
                    </w:rPr>
                    <w:t>螺旋输送机</w:t>
                  </w:r>
                </w:p>
              </w:tc>
              <w:tc>
                <w:tcPr>
                  <w:tcW w:w="458" w:type="pct"/>
                  <w:tcBorders>
                    <w:tl2br w:val="nil"/>
                    <w:tr2bl w:val="nil"/>
                  </w:tcBorders>
                  <w:noWrap w:val="0"/>
                  <w:vAlign w:val="center"/>
                </w:tcPr>
                <w:p w14:paraId="46771350">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color w:val="auto"/>
                      <w:szCs w:val="21"/>
                      <w:u w:val="none" w:color="auto"/>
                    </w:rPr>
                    <w:t>85</w:t>
                  </w:r>
                </w:p>
              </w:tc>
              <w:tc>
                <w:tcPr>
                  <w:tcW w:w="431" w:type="pct"/>
                  <w:vMerge w:val="continue"/>
                  <w:tcBorders>
                    <w:tl2br w:val="nil"/>
                    <w:tr2bl w:val="nil"/>
                  </w:tcBorders>
                  <w:noWrap w:val="0"/>
                  <w:vAlign w:val="center"/>
                </w:tcPr>
                <w:p w14:paraId="4440E75D">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94" w:type="pct"/>
                  <w:tcBorders>
                    <w:tl2br w:val="nil"/>
                    <w:tr2bl w:val="nil"/>
                  </w:tcBorders>
                  <w:noWrap w:val="0"/>
                  <w:vAlign w:val="center"/>
                </w:tcPr>
                <w:p w14:paraId="0A8AE94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50</w:t>
                  </w:r>
                </w:p>
              </w:tc>
              <w:tc>
                <w:tcPr>
                  <w:tcW w:w="185" w:type="pct"/>
                  <w:tcBorders>
                    <w:tl2br w:val="nil"/>
                    <w:tr2bl w:val="nil"/>
                  </w:tcBorders>
                  <w:noWrap w:val="0"/>
                  <w:vAlign w:val="center"/>
                </w:tcPr>
                <w:p w14:paraId="71C28D4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15</w:t>
                  </w:r>
                </w:p>
              </w:tc>
              <w:tc>
                <w:tcPr>
                  <w:tcW w:w="213" w:type="pct"/>
                  <w:tcBorders>
                    <w:tl2br w:val="nil"/>
                    <w:tr2bl w:val="nil"/>
                  </w:tcBorders>
                  <w:noWrap w:val="0"/>
                  <w:vAlign w:val="center"/>
                </w:tcPr>
                <w:p w14:paraId="21746C5B">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362" w:type="pct"/>
                  <w:tcBorders>
                    <w:tl2br w:val="nil"/>
                    <w:tr2bl w:val="nil"/>
                  </w:tcBorders>
                  <w:noWrap w:val="0"/>
                  <w:vAlign w:val="center"/>
                </w:tcPr>
                <w:p w14:paraId="1C0AB1F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w:t>
                  </w:r>
                </w:p>
              </w:tc>
              <w:tc>
                <w:tcPr>
                  <w:tcW w:w="369" w:type="pct"/>
                  <w:tcBorders>
                    <w:tl2br w:val="nil"/>
                    <w:tr2bl w:val="nil"/>
                  </w:tcBorders>
                  <w:noWrap w:val="0"/>
                  <w:vAlign w:val="center"/>
                </w:tcPr>
                <w:p w14:paraId="57F94EE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71.0</w:t>
                  </w:r>
                </w:p>
              </w:tc>
              <w:tc>
                <w:tcPr>
                  <w:tcW w:w="381" w:type="pct"/>
                  <w:vMerge w:val="continue"/>
                  <w:tcBorders>
                    <w:tl2br w:val="nil"/>
                    <w:tr2bl w:val="nil"/>
                  </w:tcBorders>
                  <w:noWrap w:val="0"/>
                  <w:vAlign w:val="center"/>
                </w:tcPr>
                <w:p w14:paraId="305253A5">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3" w:type="pct"/>
                  <w:vMerge w:val="continue"/>
                  <w:tcBorders>
                    <w:tl2br w:val="nil"/>
                    <w:tr2bl w:val="nil"/>
                  </w:tcBorders>
                  <w:noWrap w:val="0"/>
                  <w:vAlign w:val="center"/>
                </w:tcPr>
                <w:p w14:paraId="3CCA3DA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5" w:type="pct"/>
                  <w:tcBorders>
                    <w:tl2br w:val="nil"/>
                    <w:tr2bl w:val="nil"/>
                  </w:tcBorders>
                  <w:noWrap w:val="0"/>
                  <w:vAlign w:val="center"/>
                </w:tcPr>
                <w:p w14:paraId="2C4B3B9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56.0</w:t>
                  </w:r>
                </w:p>
              </w:tc>
              <w:tc>
                <w:tcPr>
                  <w:tcW w:w="400" w:type="pct"/>
                  <w:tcBorders>
                    <w:tl2br w:val="nil"/>
                    <w:tr2bl w:val="nil"/>
                  </w:tcBorders>
                  <w:noWrap w:val="0"/>
                  <w:vAlign w:val="center"/>
                </w:tcPr>
                <w:p w14:paraId="0B4415C6">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r>
            <w:tr w14:paraId="7B9B4A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2" w:type="pct"/>
                  <w:tcBorders>
                    <w:tl2br w:val="nil"/>
                    <w:tr2bl w:val="nil"/>
                  </w:tcBorders>
                  <w:noWrap w:val="0"/>
                  <w:vAlign w:val="center"/>
                </w:tcPr>
                <w:p w14:paraId="0AE76471">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w:t>
                  </w:r>
                </w:p>
              </w:tc>
              <w:tc>
                <w:tcPr>
                  <w:tcW w:w="235" w:type="pct"/>
                  <w:vMerge w:val="continue"/>
                  <w:tcBorders>
                    <w:tl2br w:val="nil"/>
                    <w:tr2bl w:val="nil"/>
                  </w:tcBorders>
                  <w:noWrap w:val="0"/>
                  <w:vAlign w:val="center"/>
                </w:tcPr>
                <w:p w14:paraId="366BC9E2">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15" w:type="pct"/>
                  <w:tcBorders>
                    <w:tl2br w:val="nil"/>
                    <w:tr2bl w:val="nil"/>
                  </w:tcBorders>
                  <w:noWrap w:val="0"/>
                  <w:vAlign w:val="center"/>
                </w:tcPr>
                <w:p w14:paraId="3E47D2BF">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color w:val="auto"/>
                      <w:szCs w:val="21"/>
                      <w:u w:val="none" w:color="auto"/>
                    </w:rPr>
                    <w:t>搅拌机</w:t>
                  </w:r>
                </w:p>
              </w:tc>
              <w:tc>
                <w:tcPr>
                  <w:tcW w:w="458" w:type="pct"/>
                  <w:tcBorders>
                    <w:tl2br w:val="nil"/>
                    <w:tr2bl w:val="nil"/>
                  </w:tcBorders>
                  <w:noWrap w:val="0"/>
                  <w:vAlign w:val="center"/>
                </w:tcPr>
                <w:p w14:paraId="507D3071">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color w:val="auto"/>
                      <w:szCs w:val="21"/>
                      <w:u w:val="none" w:color="auto"/>
                    </w:rPr>
                    <w:t>80</w:t>
                  </w:r>
                </w:p>
              </w:tc>
              <w:tc>
                <w:tcPr>
                  <w:tcW w:w="431" w:type="pct"/>
                  <w:vMerge w:val="continue"/>
                  <w:tcBorders>
                    <w:tl2br w:val="nil"/>
                    <w:tr2bl w:val="nil"/>
                  </w:tcBorders>
                  <w:noWrap w:val="0"/>
                  <w:vAlign w:val="center"/>
                </w:tcPr>
                <w:p w14:paraId="6D963D3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94" w:type="pct"/>
                  <w:tcBorders>
                    <w:tl2br w:val="nil"/>
                    <w:tr2bl w:val="nil"/>
                  </w:tcBorders>
                  <w:noWrap w:val="0"/>
                  <w:vAlign w:val="center"/>
                </w:tcPr>
                <w:p w14:paraId="2A978F1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40</w:t>
                  </w:r>
                </w:p>
              </w:tc>
              <w:tc>
                <w:tcPr>
                  <w:tcW w:w="185" w:type="pct"/>
                  <w:tcBorders>
                    <w:tl2br w:val="nil"/>
                    <w:tr2bl w:val="nil"/>
                  </w:tcBorders>
                  <w:noWrap w:val="0"/>
                  <w:vAlign w:val="center"/>
                </w:tcPr>
                <w:p w14:paraId="66031C1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10</w:t>
                  </w:r>
                </w:p>
              </w:tc>
              <w:tc>
                <w:tcPr>
                  <w:tcW w:w="213" w:type="pct"/>
                  <w:tcBorders>
                    <w:tl2br w:val="nil"/>
                    <w:tr2bl w:val="nil"/>
                  </w:tcBorders>
                  <w:noWrap w:val="0"/>
                  <w:vAlign w:val="center"/>
                </w:tcPr>
                <w:p w14:paraId="4D0E96A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362" w:type="pct"/>
                  <w:tcBorders>
                    <w:tl2br w:val="nil"/>
                    <w:tr2bl w:val="nil"/>
                  </w:tcBorders>
                  <w:noWrap w:val="0"/>
                  <w:vAlign w:val="center"/>
                </w:tcPr>
                <w:p w14:paraId="04CFF6A5">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8</w:t>
                  </w:r>
                </w:p>
              </w:tc>
              <w:tc>
                <w:tcPr>
                  <w:tcW w:w="369" w:type="pct"/>
                  <w:tcBorders>
                    <w:tl2br w:val="nil"/>
                    <w:tr2bl w:val="nil"/>
                  </w:tcBorders>
                  <w:noWrap w:val="0"/>
                  <w:vAlign w:val="center"/>
                </w:tcPr>
                <w:p w14:paraId="0167895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62.0</w:t>
                  </w:r>
                </w:p>
              </w:tc>
              <w:tc>
                <w:tcPr>
                  <w:tcW w:w="381" w:type="pct"/>
                  <w:vMerge w:val="continue"/>
                  <w:tcBorders>
                    <w:tl2br w:val="nil"/>
                    <w:tr2bl w:val="nil"/>
                  </w:tcBorders>
                  <w:noWrap w:val="0"/>
                  <w:vAlign w:val="center"/>
                </w:tcPr>
                <w:p w14:paraId="384B7AA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3" w:type="pct"/>
                  <w:vMerge w:val="continue"/>
                  <w:tcBorders>
                    <w:tl2br w:val="nil"/>
                    <w:tr2bl w:val="nil"/>
                  </w:tcBorders>
                  <w:noWrap w:val="0"/>
                  <w:vAlign w:val="center"/>
                </w:tcPr>
                <w:p w14:paraId="784CE281">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5" w:type="pct"/>
                  <w:tcBorders>
                    <w:tl2br w:val="nil"/>
                    <w:tr2bl w:val="nil"/>
                  </w:tcBorders>
                  <w:noWrap w:val="0"/>
                  <w:vAlign w:val="center"/>
                </w:tcPr>
                <w:p w14:paraId="1F48ACBF">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47.0</w:t>
                  </w:r>
                </w:p>
              </w:tc>
              <w:tc>
                <w:tcPr>
                  <w:tcW w:w="400" w:type="pct"/>
                  <w:tcBorders>
                    <w:tl2br w:val="nil"/>
                    <w:tr2bl w:val="nil"/>
                  </w:tcBorders>
                  <w:noWrap w:val="0"/>
                  <w:vAlign w:val="center"/>
                </w:tcPr>
                <w:p w14:paraId="18EC556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r>
            <w:tr w14:paraId="4EA31C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2" w:type="pct"/>
                  <w:tcBorders>
                    <w:tl2br w:val="nil"/>
                    <w:tr2bl w:val="nil"/>
                  </w:tcBorders>
                  <w:noWrap w:val="0"/>
                  <w:vAlign w:val="center"/>
                </w:tcPr>
                <w:p w14:paraId="2844F526">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4</w:t>
                  </w:r>
                </w:p>
              </w:tc>
              <w:tc>
                <w:tcPr>
                  <w:tcW w:w="235" w:type="pct"/>
                  <w:vMerge w:val="continue"/>
                  <w:tcBorders>
                    <w:tl2br w:val="nil"/>
                    <w:tr2bl w:val="nil"/>
                  </w:tcBorders>
                  <w:noWrap w:val="0"/>
                  <w:vAlign w:val="center"/>
                </w:tcPr>
                <w:p w14:paraId="4DDEC5F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15" w:type="pct"/>
                  <w:tcBorders>
                    <w:tl2br w:val="nil"/>
                    <w:tr2bl w:val="nil"/>
                  </w:tcBorders>
                  <w:noWrap w:val="0"/>
                  <w:vAlign w:val="center"/>
                </w:tcPr>
                <w:p w14:paraId="40089009">
                  <w:pPr>
                    <w:adjustRightInd w:val="0"/>
                    <w:snapToGrid w:val="0"/>
                    <w:spacing w:line="360" w:lineRule="exact"/>
                    <w:jc w:val="center"/>
                    <w:rPr>
                      <w:rFonts w:hint="eastAsia"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压滤机</w:t>
                  </w:r>
                </w:p>
              </w:tc>
              <w:tc>
                <w:tcPr>
                  <w:tcW w:w="458" w:type="pct"/>
                  <w:tcBorders>
                    <w:tl2br w:val="nil"/>
                    <w:tr2bl w:val="nil"/>
                  </w:tcBorders>
                  <w:noWrap w:val="0"/>
                  <w:vAlign w:val="center"/>
                </w:tcPr>
                <w:p w14:paraId="1DC92A4E">
                  <w:pPr>
                    <w:adjustRightInd w:val="0"/>
                    <w:snapToGrid w:val="0"/>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85</w:t>
                  </w:r>
                </w:p>
              </w:tc>
              <w:tc>
                <w:tcPr>
                  <w:tcW w:w="431" w:type="pct"/>
                  <w:vMerge w:val="continue"/>
                  <w:tcBorders>
                    <w:tl2br w:val="nil"/>
                    <w:tr2bl w:val="nil"/>
                  </w:tcBorders>
                  <w:noWrap w:val="0"/>
                  <w:vAlign w:val="center"/>
                </w:tcPr>
                <w:p w14:paraId="42FA9D6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94" w:type="pct"/>
                  <w:tcBorders>
                    <w:tl2br w:val="nil"/>
                    <w:tr2bl w:val="nil"/>
                  </w:tcBorders>
                  <w:noWrap w:val="0"/>
                  <w:vAlign w:val="center"/>
                </w:tcPr>
                <w:p w14:paraId="01018B7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35</w:t>
                  </w:r>
                </w:p>
              </w:tc>
              <w:tc>
                <w:tcPr>
                  <w:tcW w:w="185" w:type="pct"/>
                  <w:tcBorders>
                    <w:tl2br w:val="nil"/>
                    <w:tr2bl w:val="nil"/>
                  </w:tcBorders>
                  <w:noWrap w:val="0"/>
                  <w:vAlign w:val="center"/>
                </w:tcPr>
                <w:p w14:paraId="231C37C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20</w:t>
                  </w:r>
                </w:p>
              </w:tc>
              <w:tc>
                <w:tcPr>
                  <w:tcW w:w="213" w:type="pct"/>
                  <w:tcBorders>
                    <w:tl2br w:val="nil"/>
                    <w:tr2bl w:val="nil"/>
                  </w:tcBorders>
                  <w:noWrap w:val="0"/>
                  <w:vAlign w:val="center"/>
                </w:tcPr>
                <w:p w14:paraId="29C409B5">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2</w:t>
                  </w:r>
                </w:p>
              </w:tc>
              <w:tc>
                <w:tcPr>
                  <w:tcW w:w="362" w:type="pct"/>
                  <w:tcBorders>
                    <w:tl2br w:val="nil"/>
                    <w:tr2bl w:val="nil"/>
                  </w:tcBorders>
                  <w:noWrap w:val="0"/>
                  <w:vAlign w:val="center"/>
                </w:tcPr>
                <w:p w14:paraId="1008B861">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w:t>
                  </w:r>
                </w:p>
              </w:tc>
              <w:tc>
                <w:tcPr>
                  <w:tcW w:w="369" w:type="pct"/>
                  <w:tcBorders>
                    <w:tl2br w:val="nil"/>
                    <w:tr2bl w:val="nil"/>
                  </w:tcBorders>
                  <w:noWrap w:val="0"/>
                  <w:vAlign w:val="center"/>
                </w:tcPr>
                <w:p w14:paraId="50329921">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71.0</w:t>
                  </w:r>
                </w:p>
              </w:tc>
              <w:tc>
                <w:tcPr>
                  <w:tcW w:w="381" w:type="pct"/>
                  <w:vMerge w:val="continue"/>
                  <w:tcBorders>
                    <w:tl2br w:val="nil"/>
                    <w:tr2bl w:val="nil"/>
                  </w:tcBorders>
                  <w:noWrap w:val="0"/>
                  <w:vAlign w:val="center"/>
                </w:tcPr>
                <w:p w14:paraId="02DB18F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3" w:type="pct"/>
                  <w:vMerge w:val="continue"/>
                  <w:tcBorders>
                    <w:tl2br w:val="nil"/>
                    <w:tr2bl w:val="nil"/>
                  </w:tcBorders>
                  <w:noWrap w:val="0"/>
                  <w:vAlign w:val="center"/>
                </w:tcPr>
                <w:p w14:paraId="21C7292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5" w:type="pct"/>
                  <w:tcBorders>
                    <w:tl2br w:val="nil"/>
                    <w:tr2bl w:val="nil"/>
                  </w:tcBorders>
                  <w:noWrap w:val="0"/>
                  <w:vAlign w:val="center"/>
                </w:tcPr>
                <w:p w14:paraId="3481D5E6">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56.0</w:t>
                  </w:r>
                </w:p>
              </w:tc>
              <w:tc>
                <w:tcPr>
                  <w:tcW w:w="400" w:type="pct"/>
                  <w:tcBorders>
                    <w:tl2br w:val="nil"/>
                    <w:tr2bl w:val="nil"/>
                  </w:tcBorders>
                  <w:noWrap w:val="0"/>
                  <w:vAlign w:val="center"/>
                </w:tcPr>
                <w:p w14:paraId="4FB04F3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r>
            <w:tr w14:paraId="7651C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2" w:type="pct"/>
                  <w:tcBorders>
                    <w:tl2br w:val="nil"/>
                    <w:tr2bl w:val="nil"/>
                  </w:tcBorders>
                  <w:noWrap w:val="0"/>
                  <w:vAlign w:val="center"/>
                </w:tcPr>
                <w:p w14:paraId="75018FC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w:t>
                  </w:r>
                </w:p>
              </w:tc>
              <w:tc>
                <w:tcPr>
                  <w:tcW w:w="235" w:type="pct"/>
                  <w:vMerge w:val="continue"/>
                  <w:tcBorders>
                    <w:tl2br w:val="nil"/>
                    <w:tr2bl w:val="nil"/>
                  </w:tcBorders>
                  <w:noWrap w:val="0"/>
                  <w:vAlign w:val="center"/>
                </w:tcPr>
                <w:p w14:paraId="3FC640D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15" w:type="pct"/>
                  <w:tcBorders>
                    <w:tl2br w:val="nil"/>
                    <w:tr2bl w:val="nil"/>
                  </w:tcBorders>
                  <w:noWrap w:val="0"/>
                  <w:vAlign w:val="center"/>
                </w:tcPr>
                <w:p w14:paraId="0EF09657">
                  <w:pPr>
                    <w:adjustRightInd w:val="0"/>
                    <w:snapToGrid w:val="0"/>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砂石分离机</w:t>
                  </w:r>
                </w:p>
              </w:tc>
              <w:tc>
                <w:tcPr>
                  <w:tcW w:w="458" w:type="pct"/>
                  <w:tcBorders>
                    <w:tl2br w:val="nil"/>
                    <w:tr2bl w:val="nil"/>
                  </w:tcBorders>
                  <w:noWrap w:val="0"/>
                  <w:vAlign w:val="center"/>
                </w:tcPr>
                <w:p w14:paraId="4F1CA98B">
                  <w:pPr>
                    <w:adjustRightInd w:val="0"/>
                    <w:snapToGrid w:val="0"/>
                    <w:spacing w:line="360" w:lineRule="exact"/>
                    <w:jc w:val="center"/>
                    <w:rPr>
                      <w:rFonts w:hint="default" w:ascii="Times New Roman" w:hAnsi="Times New Roman" w:cs="Times New Roman" w:eastAsiaTheme="minorEastAsia"/>
                      <w:color w:val="auto"/>
                      <w:szCs w:val="21"/>
                      <w:u w:val="none" w:color="auto"/>
                      <w:lang w:val="en-US" w:eastAsia="zh-CN"/>
                    </w:rPr>
                  </w:pPr>
                  <w:r>
                    <w:rPr>
                      <w:rFonts w:hint="eastAsia" w:ascii="Times New Roman" w:hAnsi="Times New Roman" w:cs="Times New Roman"/>
                      <w:color w:val="auto"/>
                      <w:szCs w:val="21"/>
                      <w:u w:val="none" w:color="auto"/>
                      <w:lang w:val="en-US" w:eastAsia="zh-CN"/>
                    </w:rPr>
                    <w:t>80</w:t>
                  </w:r>
                </w:p>
              </w:tc>
              <w:tc>
                <w:tcPr>
                  <w:tcW w:w="431" w:type="pct"/>
                  <w:vMerge w:val="continue"/>
                  <w:tcBorders>
                    <w:tl2br w:val="nil"/>
                    <w:tr2bl w:val="nil"/>
                  </w:tcBorders>
                  <w:noWrap w:val="0"/>
                  <w:vAlign w:val="center"/>
                </w:tcPr>
                <w:p w14:paraId="43331A71">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94" w:type="pct"/>
                  <w:tcBorders>
                    <w:tl2br w:val="nil"/>
                    <w:tr2bl w:val="nil"/>
                  </w:tcBorders>
                  <w:noWrap w:val="0"/>
                  <w:vAlign w:val="center"/>
                </w:tcPr>
                <w:p w14:paraId="735E117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30</w:t>
                  </w:r>
                </w:p>
              </w:tc>
              <w:tc>
                <w:tcPr>
                  <w:tcW w:w="185" w:type="pct"/>
                  <w:tcBorders>
                    <w:tl2br w:val="nil"/>
                    <w:tr2bl w:val="nil"/>
                  </w:tcBorders>
                  <w:noWrap w:val="0"/>
                  <w:vAlign w:val="center"/>
                </w:tcPr>
                <w:p w14:paraId="5EC2049B">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15</w:t>
                  </w:r>
                </w:p>
              </w:tc>
              <w:tc>
                <w:tcPr>
                  <w:tcW w:w="213" w:type="pct"/>
                  <w:tcBorders>
                    <w:tl2br w:val="nil"/>
                    <w:tr2bl w:val="nil"/>
                  </w:tcBorders>
                  <w:noWrap w:val="0"/>
                  <w:vAlign w:val="center"/>
                </w:tcPr>
                <w:p w14:paraId="6ADD8962">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362" w:type="pct"/>
                  <w:tcBorders>
                    <w:tl2br w:val="nil"/>
                    <w:tr2bl w:val="nil"/>
                  </w:tcBorders>
                  <w:noWrap w:val="0"/>
                  <w:vAlign w:val="center"/>
                </w:tcPr>
                <w:p w14:paraId="4AFBE66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w:t>
                  </w:r>
                </w:p>
              </w:tc>
              <w:tc>
                <w:tcPr>
                  <w:tcW w:w="369" w:type="pct"/>
                  <w:tcBorders>
                    <w:tl2br w:val="nil"/>
                    <w:tr2bl w:val="nil"/>
                  </w:tcBorders>
                  <w:noWrap w:val="0"/>
                  <w:vAlign w:val="center"/>
                </w:tcPr>
                <w:p w14:paraId="30F3472C">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70.5</w:t>
                  </w:r>
                </w:p>
              </w:tc>
              <w:tc>
                <w:tcPr>
                  <w:tcW w:w="381" w:type="pct"/>
                  <w:vMerge w:val="continue"/>
                  <w:tcBorders>
                    <w:tl2br w:val="nil"/>
                    <w:tr2bl w:val="nil"/>
                  </w:tcBorders>
                  <w:noWrap w:val="0"/>
                  <w:vAlign w:val="center"/>
                </w:tcPr>
                <w:p w14:paraId="51C6459B">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3" w:type="pct"/>
                  <w:vMerge w:val="continue"/>
                  <w:tcBorders>
                    <w:tl2br w:val="nil"/>
                    <w:tr2bl w:val="nil"/>
                  </w:tcBorders>
                  <w:noWrap w:val="0"/>
                  <w:vAlign w:val="center"/>
                </w:tcPr>
                <w:p w14:paraId="330F1A8F">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5" w:type="pct"/>
                  <w:tcBorders>
                    <w:tl2br w:val="nil"/>
                    <w:tr2bl w:val="nil"/>
                  </w:tcBorders>
                  <w:noWrap w:val="0"/>
                  <w:vAlign w:val="center"/>
                </w:tcPr>
                <w:p w14:paraId="20C7C33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55.5</w:t>
                  </w:r>
                </w:p>
              </w:tc>
              <w:tc>
                <w:tcPr>
                  <w:tcW w:w="400" w:type="pct"/>
                  <w:tcBorders>
                    <w:tl2br w:val="nil"/>
                    <w:tr2bl w:val="nil"/>
                  </w:tcBorders>
                  <w:noWrap w:val="0"/>
                  <w:vAlign w:val="center"/>
                </w:tcPr>
                <w:p w14:paraId="7E496C0B">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r>
            <w:tr w14:paraId="03BF2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2" w:type="pct"/>
                  <w:tcBorders>
                    <w:tl2br w:val="nil"/>
                    <w:tr2bl w:val="nil"/>
                  </w:tcBorders>
                  <w:noWrap w:val="0"/>
                  <w:vAlign w:val="center"/>
                </w:tcPr>
                <w:p w14:paraId="4318A69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6</w:t>
                  </w:r>
                </w:p>
              </w:tc>
              <w:tc>
                <w:tcPr>
                  <w:tcW w:w="235" w:type="pct"/>
                  <w:vMerge w:val="continue"/>
                  <w:tcBorders>
                    <w:tl2br w:val="nil"/>
                    <w:tr2bl w:val="nil"/>
                  </w:tcBorders>
                  <w:noWrap w:val="0"/>
                  <w:vAlign w:val="center"/>
                </w:tcPr>
                <w:p w14:paraId="240AEDE8">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15" w:type="pct"/>
                  <w:tcBorders>
                    <w:tl2br w:val="nil"/>
                    <w:tr2bl w:val="nil"/>
                  </w:tcBorders>
                  <w:noWrap w:val="0"/>
                  <w:vAlign w:val="center"/>
                </w:tcPr>
                <w:p w14:paraId="3BBF67D9">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color w:val="auto"/>
                      <w:szCs w:val="21"/>
                      <w:u w:val="none" w:color="auto"/>
                    </w:rPr>
                    <w:t>泵类</w:t>
                  </w:r>
                </w:p>
              </w:tc>
              <w:tc>
                <w:tcPr>
                  <w:tcW w:w="458" w:type="pct"/>
                  <w:tcBorders>
                    <w:tl2br w:val="nil"/>
                    <w:tr2bl w:val="nil"/>
                  </w:tcBorders>
                  <w:noWrap w:val="0"/>
                  <w:vAlign w:val="center"/>
                </w:tcPr>
                <w:p w14:paraId="36AD1B2F">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ascii="Times New Roman" w:hAnsi="Times New Roman" w:cs="Times New Roman"/>
                      <w:color w:val="auto"/>
                      <w:szCs w:val="21"/>
                      <w:u w:val="none" w:color="auto"/>
                    </w:rPr>
                    <w:t>80</w:t>
                  </w:r>
                </w:p>
              </w:tc>
              <w:tc>
                <w:tcPr>
                  <w:tcW w:w="431" w:type="pct"/>
                  <w:vMerge w:val="continue"/>
                  <w:tcBorders>
                    <w:tl2br w:val="nil"/>
                    <w:tr2bl w:val="nil"/>
                  </w:tcBorders>
                  <w:noWrap w:val="0"/>
                  <w:vAlign w:val="center"/>
                </w:tcPr>
                <w:p w14:paraId="34B9316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94" w:type="pct"/>
                  <w:tcBorders>
                    <w:tl2br w:val="nil"/>
                    <w:tr2bl w:val="nil"/>
                  </w:tcBorders>
                  <w:noWrap w:val="0"/>
                  <w:vAlign w:val="center"/>
                </w:tcPr>
                <w:p w14:paraId="7921AFA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70</w:t>
                  </w:r>
                </w:p>
              </w:tc>
              <w:tc>
                <w:tcPr>
                  <w:tcW w:w="185" w:type="pct"/>
                  <w:tcBorders>
                    <w:tl2br w:val="nil"/>
                    <w:tr2bl w:val="nil"/>
                  </w:tcBorders>
                  <w:noWrap w:val="0"/>
                  <w:vAlign w:val="center"/>
                </w:tcPr>
                <w:p w14:paraId="606060D4">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25</w:t>
                  </w:r>
                </w:p>
              </w:tc>
              <w:tc>
                <w:tcPr>
                  <w:tcW w:w="213" w:type="pct"/>
                  <w:tcBorders>
                    <w:tl2br w:val="nil"/>
                    <w:tr2bl w:val="nil"/>
                  </w:tcBorders>
                  <w:noWrap w:val="0"/>
                  <w:vAlign w:val="center"/>
                </w:tcPr>
                <w:p w14:paraId="057E098E">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0</w:t>
                  </w:r>
                </w:p>
              </w:tc>
              <w:tc>
                <w:tcPr>
                  <w:tcW w:w="362" w:type="pct"/>
                  <w:tcBorders>
                    <w:tl2br w:val="nil"/>
                    <w:tr2bl w:val="nil"/>
                  </w:tcBorders>
                  <w:noWrap w:val="0"/>
                  <w:vAlign w:val="center"/>
                </w:tcPr>
                <w:p w14:paraId="5459911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2</w:t>
                  </w:r>
                </w:p>
              </w:tc>
              <w:tc>
                <w:tcPr>
                  <w:tcW w:w="369" w:type="pct"/>
                  <w:tcBorders>
                    <w:tl2br w:val="nil"/>
                    <w:tr2bl w:val="nil"/>
                  </w:tcBorders>
                  <w:noWrap w:val="0"/>
                  <w:vAlign w:val="center"/>
                </w:tcPr>
                <w:p w14:paraId="1B531453">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74.0</w:t>
                  </w:r>
                </w:p>
              </w:tc>
              <w:tc>
                <w:tcPr>
                  <w:tcW w:w="381" w:type="pct"/>
                  <w:vMerge w:val="continue"/>
                  <w:tcBorders>
                    <w:tl2br w:val="nil"/>
                    <w:tr2bl w:val="nil"/>
                  </w:tcBorders>
                  <w:noWrap w:val="0"/>
                  <w:vAlign w:val="center"/>
                </w:tcPr>
                <w:p w14:paraId="36FE083D">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3" w:type="pct"/>
                  <w:vMerge w:val="continue"/>
                  <w:tcBorders>
                    <w:tl2br w:val="nil"/>
                    <w:tr2bl w:val="nil"/>
                  </w:tcBorders>
                  <w:noWrap w:val="0"/>
                  <w:vAlign w:val="center"/>
                </w:tcPr>
                <w:p w14:paraId="7C53D946">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55" w:type="pct"/>
                  <w:tcBorders>
                    <w:tl2br w:val="nil"/>
                    <w:tr2bl w:val="nil"/>
                  </w:tcBorders>
                  <w:noWrap w:val="0"/>
                  <w:vAlign w:val="center"/>
                </w:tcPr>
                <w:p w14:paraId="257BB8E5">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59.0</w:t>
                  </w:r>
                </w:p>
              </w:tc>
              <w:tc>
                <w:tcPr>
                  <w:tcW w:w="400" w:type="pct"/>
                  <w:tcBorders>
                    <w:tl2br w:val="nil"/>
                    <w:tr2bl w:val="nil"/>
                  </w:tcBorders>
                  <w:noWrap w:val="0"/>
                  <w:vAlign w:val="center"/>
                </w:tcPr>
                <w:p w14:paraId="6CEE222A">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r>
          </w:tbl>
          <w:p w14:paraId="7A6DBB8E">
            <w:pPr>
              <w:adjustRightInd w:val="0"/>
              <w:snapToGrid w:val="0"/>
              <w:spacing w:line="360" w:lineRule="auto"/>
              <w:ind w:firstLine="482" w:firstLineChars="200"/>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3.2 噪声预测</w:t>
            </w:r>
          </w:p>
          <w:p w14:paraId="47938CDD">
            <w:pPr>
              <w:numPr>
                <w:ilvl w:val="0"/>
                <w:numId w:val="0"/>
              </w:numPr>
              <w:spacing w:line="360" w:lineRule="auto"/>
              <w:ind w:firstLine="460"/>
              <w:rPr>
                <w:rFonts w:hint="default" w:ascii="Times New Roman" w:hAnsi="Times New Roman" w:cs="Times New Roman"/>
                <w:color w:val="auto"/>
                <w:sz w:val="24"/>
                <w:szCs w:val="24"/>
                <w:u w:val="none" w:color="auto"/>
              </w:rPr>
            </w:pPr>
            <w:r>
              <w:rPr>
                <w:rFonts w:hint="eastAsia" w:ascii="Times New Roman" w:hAnsi="Times New Roman" w:cs="Times New Roman"/>
                <w:color w:val="auto"/>
                <w:kern w:val="2"/>
                <w:sz w:val="24"/>
                <w:szCs w:val="24"/>
                <w:u w:val="none" w:color="auto"/>
                <w:lang w:val="en-US" w:eastAsia="zh-CN" w:bidi="ar-SA"/>
              </w:rPr>
              <w:t>1、</w:t>
            </w:r>
            <w:r>
              <w:rPr>
                <w:rFonts w:hint="default" w:ascii="Times New Roman" w:hAnsi="Times New Roman" w:cs="Times New Roman"/>
                <w:color w:val="auto"/>
                <w:sz w:val="24"/>
                <w:szCs w:val="24"/>
                <w:u w:val="none" w:color="auto"/>
              </w:rPr>
              <w:t>预测模式</w:t>
            </w:r>
          </w:p>
          <w:p w14:paraId="3F6C1DE5">
            <w:pPr>
              <w:adjustRightInd w:val="0"/>
              <w:snapToGrid w:val="0"/>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根据《环境影响评价技术导则 声环境》（HJ 2.4-2021），本次环境噪声影响预测模式如下：</w:t>
            </w:r>
          </w:p>
          <w:p w14:paraId="60F5F7ED">
            <w:pPr>
              <w:widowControl/>
              <w:snapToGrid w:val="0"/>
              <w:spacing w:line="360" w:lineRule="auto"/>
              <w:ind w:firstLine="480" w:firstLineChars="200"/>
              <w:rPr>
                <w:rFonts w:ascii="Times New Roman" w:hAnsi="Times New Roman" w:cs="Times New Roman"/>
                <w:color w:val="auto"/>
                <w:sz w:val="24"/>
                <w:szCs w:val="24"/>
                <w:u w:val="none" w:color="auto"/>
              </w:rPr>
            </w:pPr>
            <w:bookmarkStart w:id="12" w:name="_Toc380531184"/>
            <w:bookmarkEnd w:id="12"/>
            <w:r>
              <w:rPr>
                <w:rFonts w:ascii="Times New Roman" w:hAnsi="Times New Roman" w:cs="Times New Roman"/>
                <w:color w:val="auto"/>
                <w:sz w:val="24"/>
                <w:szCs w:val="24"/>
                <w:u w:val="none" w:color="auto"/>
              </w:rPr>
              <w:t>（1）室外点声源对厂界噪声预测点贡献值预测模式</w:t>
            </w:r>
          </w:p>
          <w:p w14:paraId="59BE9992">
            <w:pPr>
              <w:widowControl/>
              <w:snapToGrid w:val="0"/>
              <w:spacing w:line="360" w:lineRule="auto"/>
              <w:ind w:firstLine="480" w:firstLineChars="200"/>
              <w:jc w:val="center"/>
              <w:rPr>
                <w:rFonts w:ascii="Times New Roman" w:hAnsi="Times New Roman" w:cs="Times New Roman"/>
                <w:color w:val="auto"/>
                <w:sz w:val="24"/>
                <w:szCs w:val="24"/>
                <w:u w:val="none" w:color="auto"/>
                <w:vertAlign w:val="baseline"/>
              </w:rPr>
            </w:pPr>
            <w:r>
              <w:rPr>
                <w:rFonts w:ascii="Times New Roman" w:hAnsi="Times New Roman" w:cs="Times New Roman"/>
                <w:color w:val="auto"/>
                <w:sz w:val="24"/>
                <w:szCs w:val="24"/>
                <w:u w:val="none" w:color="auto"/>
              </w:rPr>
              <w:t>L</w:t>
            </w:r>
            <w:r>
              <w:rPr>
                <w:rFonts w:ascii="Times New Roman" w:hAnsi="Times New Roman" w:cs="Times New Roman"/>
                <w:color w:val="auto"/>
                <w:sz w:val="24"/>
                <w:szCs w:val="24"/>
                <w:u w:val="none" w:color="auto"/>
                <w:vertAlign w:val="subscript"/>
              </w:rPr>
              <w:t>A(r)</w:t>
            </w:r>
            <w:r>
              <w:rPr>
                <w:rFonts w:ascii="Times New Roman" w:hAnsi="Times New Roman" w:cs="Times New Roman"/>
                <w:color w:val="auto"/>
                <w:sz w:val="24"/>
                <w:szCs w:val="24"/>
                <w:u w:val="none" w:color="auto"/>
              </w:rPr>
              <w:t>=L</w:t>
            </w:r>
            <w:r>
              <w:rPr>
                <w:rFonts w:ascii="Times New Roman" w:hAnsi="Times New Roman" w:cs="Times New Roman"/>
                <w:color w:val="auto"/>
                <w:sz w:val="24"/>
                <w:szCs w:val="24"/>
                <w:u w:val="none" w:color="auto"/>
                <w:vertAlign w:val="subscript"/>
              </w:rPr>
              <w:t>Aref(r0)</w:t>
            </w: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div</w:t>
            </w: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bar</w:t>
            </w: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atm</w:t>
            </w: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exc</w:t>
            </w:r>
            <w:r>
              <w:rPr>
                <w:rFonts w:ascii="Times New Roman" w:hAnsi="Times New Roman" w:cs="Times New Roman"/>
                <w:color w:val="auto"/>
                <w:sz w:val="24"/>
                <w:szCs w:val="24"/>
                <w:u w:val="none" w:color="auto"/>
                <w:vertAlign w:val="baseline"/>
              </w:rPr>
              <w:t>)</w:t>
            </w:r>
          </w:p>
          <w:p w14:paraId="43D37224">
            <w:pPr>
              <w:widowControl/>
              <w:snapToGrid w:val="0"/>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式中：L</w:t>
            </w:r>
            <w:r>
              <w:rPr>
                <w:rFonts w:ascii="Times New Roman" w:hAnsi="Times New Roman" w:cs="Times New Roman"/>
                <w:color w:val="auto"/>
                <w:sz w:val="24"/>
                <w:szCs w:val="24"/>
                <w:u w:val="none" w:color="auto"/>
                <w:vertAlign w:val="subscript"/>
              </w:rPr>
              <w:t>A(r)</w:t>
            </w:r>
            <w:r>
              <w:rPr>
                <w:rFonts w:ascii="Times New Roman" w:hAnsi="Times New Roman" w:cs="Times New Roman"/>
                <w:color w:val="auto"/>
                <w:sz w:val="24"/>
                <w:szCs w:val="24"/>
                <w:u w:val="none" w:color="auto"/>
              </w:rPr>
              <w:t>──距声源r米处的A声级；</w:t>
            </w:r>
          </w:p>
          <w:p w14:paraId="10332944">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L</w:t>
            </w:r>
            <w:r>
              <w:rPr>
                <w:rFonts w:ascii="Times New Roman" w:hAnsi="Times New Roman" w:cs="Times New Roman"/>
                <w:color w:val="auto"/>
                <w:sz w:val="24"/>
                <w:szCs w:val="24"/>
                <w:u w:val="none" w:color="auto"/>
                <w:vertAlign w:val="subscript"/>
              </w:rPr>
              <w:t>Aref(r0)</w:t>
            </w:r>
            <w:r>
              <w:rPr>
                <w:rFonts w:ascii="Times New Roman" w:hAnsi="Times New Roman" w:cs="Times New Roman"/>
                <w:color w:val="auto"/>
                <w:sz w:val="24"/>
                <w:szCs w:val="24"/>
                <w:u w:val="none" w:color="auto"/>
              </w:rPr>
              <w:t>—参考位置r0米处的A声级；</w:t>
            </w:r>
          </w:p>
          <w:p w14:paraId="25DB0091">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div</w:t>
            </w:r>
            <w:r>
              <w:rPr>
                <w:rFonts w:ascii="Times New Roman" w:hAnsi="Times New Roman" w:cs="Times New Roman"/>
                <w:color w:val="auto"/>
                <w:sz w:val="24"/>
                <w:szCs w:val="24"/>
                <w:u w:val="none" w:color="auto"/>
              </w:rPr>
              <w:t>──声波几何发散引起的A声级衰减量；</w:t>
            </w:r>
          </w:p>
          <w:p w14:paraId="5D11767C">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bar</w:t>
            </w:r>
            <w:r>
              <w:rPr>
                <w:rFonts w:ascii="Times New Roman" w:hAnsi="Times New Roman" w:cs="Times New Roman"/>
                <w:color w:val="auto"/>
                <w:sz w:val="24"/>
                <w:szCs w:val="24"/>
                <w:u w:val="none" w:color="auto"/>
              </w:rPr>
              <w:t>──声屏障引起的A声级衰减量；</w:t>
            </w:r>
          </w:p>
          <w:p w14:paraId="55824482">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atm</w:t>
            </w:r>
            <w:r>
              <w:rPr>
                <w:rFonts w:ascii="Times New Roman" w:hAnsi="Times New Roman" w:cs="Times New Roman"/>
                <w:color w:val="auto"/>
                <w:sz w:val="24"/>
                <w:szCs w:val="24"/>
                <w:u w:val="none" w:color="auto"/>
              </w:rPr>
              <w:t>──空气吸收引起的A声级衰减量；</w:t>
            </w:r>
          </w:p>
          <w:p w14:paraId="4CA6607F">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A</w:t>
            </w:r>
            <w:r>
              <w:rPr>
                <w:rFonts w:ascii="Times New Roman" w:hAnsi="Times New Roman" w:cs="Times New Roman"/>
                <w:color w:val="auto"/>
                <w:sz w:val="24"/>
                <w:szCs w:val="24"/>
                <w:u w:val="none" w:color="auto"/>
                <w:vertAlign w:val="subscript"/>
              </w:rPr>
              <w:t>exc</w:t>
            </w:r>
            <w:r>
              <w:rPr>
                <w:rFonts w:ascii="Times New Roman" w:hAnsi="Times New Roman" w:cs="Times New Roman"/>
                <w:color w:val="auto"/>
                <w:sz w:val="24"/>
                <w:szCs w:val="24"/>
                <w:u w:val="none" w:color="auto"/>
              </w:rPr>
              <w:t>──附加衰减量。</w:t>
            </w:r>
          </w:p>
          <w:p w14:paraId="0A3B3B0B">
            <w:pPr>
              <w:widowControl/>
              <w:snapToGrid w:val="0"/>
              <w:spacing w:line="360" w:lineRule="auto"/>
              <w:ind w:firstLine="480" w:firstLineChars="200"/>
              <w:rPr>
                <w:rFonts w:ascii="Times New Roman" w:hAnsi="Times New Roman" w:cs="Times New Roman"/>
                <w:color w:val="auto"/>
                <w:sz w:val="24"/>
                <w:szCs w:val="24"/>
                <w:u w:val="none" w:color="auto"/>
              </w:rPr>
            </w:pPr>
            <w:bookmarkStart w:id="13" w:name="_Toc380531185"/>
            <w:bookmarkEnd w:id="13"/>
            <w:r>
              <w:rPr>
                <w:rFonts w:ascii="Times New Roman" w:hAnsi="Times New Roman" w:cs="Times New Roman"/>
                <w:color w:val="auto"/>
                <w:sz w:val="24"/>
                <w:szCs w:val="24"/>
                <w:u w:val="none" w:color="auto"/>
              </w:rPr>
              <w:t>①几何发散</w:t>
            </w:r>
          </w:p>
          <w:p w14:paraId="2ACD9103">
            <w:pPr>
              <w:widowControl/>
              <w:snapToGrid w:val="0"/>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对于室外点声源，不考虑其指向性，几何发散衰减计算公式为：</w:t>
            </w:r>
          </w:p>
          <w:p w14:paraId="7359F3D5">
            <w:pPr>
              <w:widowControl/>
              <w:snapToGrid w:val="0"/>
              <w:spacing w:line="360" w:lineRule="auto"/>
              <w:ind w:firstLine="1200" w:firstLineChars="500"/>
              <w:jc w:val="center"/>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LA(r)=LA(r0)－20Lg(r/r0)</w:t>
            </w:r>
          </w:p>
          <w:p w14:paraId="263C9DB0">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bookmarkStart w:id="14" w:name="_Toc380531186"/>
            <w:bookmarkEnd w:id="14"/>
            <w:r>
              <w:rPr>
                <w:rFonts w:ascii="Times New Roman" w:hAnsi="Times New Roman" w:eastAsia="宋体" w:cs="Times New Roman"/>
                <w:color w:val="auto"/>
                <w:sz w:val="24"/>
                <w:szCs w:val="24"/>
                <w:u w:val="none" w:color="auto"/>
              </w:rPr>
              <w:t>②遮挡物引起的衰减</w:t>
            </w:r>
          </w:p>
          <w:p w14:paraId="1B2FA507">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 xml:space="preserve">遮挡物引起的衰减，只考虑各声源所在厂房围护结构的屏蔽效应。 </w:t>
            </w:r>
          </w:p>
          <w:p w14:paraId="3E77C620">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bookmarkStart w:id="15" w:name="_Toc380531187"/>
            <w:bookmarkEnd w:id="15"/>
            <w:r>
              <w:rPr>
                <w:rFonts w:ascii="Times New Roman" w:hAnsi="Times New Roman" w:eastAsia="宋体" w:cs="Times New Roman"/>
                <w:color w:val="auto"/>
                <w:sz w:val="24"/>
                <w:szCs w:val="24"/>
                <w:u w:val="none" w:color="auto"/>
              </w:rPr>
              <w:t>③空气吸收引起的衰减</w:t>
            </w:r>
          </w:p>
          <w:p w14:paraId="3D2FEF15">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 xml:space="preserve">空气吸收引起的衰减按下式计算： </w:t>
            </w:r>
          </w:p>
          <w:p w14:paraId="7DD97053">
            <w:pPr>
              <w:widowControl/>
              <w:adjustRightInd w:val="0"/>
              <w:snapToGrid w:val="0"/>
              <w:spacing w:line="360" w:lineRule="auto"/>
              <w:jc w:val="center"/>
              <w:rPr>
                <w:rFonts w:ascii="Times New Roman" w:hAnsi="Times New Roman" w:cs="Times New Roman"/>
                <w:color w:val="auto"/>
                <w:u w:val="none" w:color="auto"/>
              </w:rPr>
            </w:pPr>
            <w:r>
              <w:rPr>
                <w:rFonts w:ascii="Times New Roman" w:hAnsi="Times New Roman" w:cs="Times New Roman"/>
                <w:color w:val="auto"/>
                <w:u w:val="none" w:color="auto"/>
              </w:rPr>
              <w:drawing>
                <wp:inline distT="0" distB="0" distL="114300" distR="114300">
                  <wp:extent cx="1458595" cy="504190"/>
                  <wp:effectExtent l="0" t="0" r="8255" b="1016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1"/>
                          <a:stretch>
                            <a:fillRect/>
                          </a:stretch>
                        </pic:blipFill>
                        <pic:spPr>
                          <a:xfrm>
                            <a:off x="0" y="0"/>
                            <a:ext cx="1458595" cy="504190"/>
                          </a:xfrm>
                          <a:prstGeom prst="rect">
                            <a:avLst/>
                          </a:prstGeom>
                          <a:noFill/>
                          <a:ln>
                            <a:noFill/>
                          </a:ln>
                        </pic:spPr>
                      </pic:pic>
                    </a:graphicData>
                  </a:graphic>
                </wp:inline>
              </w:drawing>
            </w:r>
          </w:p>
          <w:p w14:paraId="784F2BBA">
            <w:pPr>
              <w:widowControl/>
              <w:snapToGrid w:val="0"/>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式中：</w:t>
            </w:r>
            <w:r>
              <w:rPr>
                <w:rFonts w:hint="default" w:ascii="Times New Roman" w:hAnsi="Times New Roman" w:cs="Times New Roman"/>
                <w:color w:val="auto"/>
                <w:sz w:val="24"/>
                <w:szCs w:val="24"/>
                <w:u w:val="none" w:color="auto"/>
              </w:rPr>
              <w:t>A</w:t>
            </w:r>
            <w:r>
              <w:rPr>
                <w:rFonts w:hint="default" w:ascii="Times New Roman" w:hAnsi="Times New Roman" w:cs="Times New Roman"/>
                <w:color w:val="auto"/>
                <w:sz w:val="24"/>
                <w:szCs w:val="24"/>
                <w:u w:val="none" w:color="auto"/>
                <w:vertAlign w:val="subscript"/>
              </w:rPr>
              <w:t>atm</w:t>
            </w:r>
            <w:r>
              <w:rPr>
                <w:rFonts w:ascii="Times New Roman" w:hAnsi="Times New Roman" w:cs="Times New Roman"/>
                <w:color w:val="auto"/>
                <w:sz w:val="24"/>
                <w:szCs w:val="24"/>
                <w:u w:val="none" w:color="auto"/>
              </w:rPr>
              <w:t>—</w:t>
            </w:r>
            <w:r>
              <w:rPr>
                <w:rFonts w:hint="default" w:ascii="Times New Roman" w:hAnsi="Times New Roman" w:cs="Times New Roman"/>
                <w:color w:val="auto"/>
                <w:sz w:val="24"/>
                <w:szCs w:val="24"/>
                <w:u w:val="none" w:color="auto"/>
              </w:rPr>
              <w:t>大气吸收引起的衰减，dB</w:t>
            </w:r>
          </w:p>
          <w:p w14:paraId="6E15FF31">
            <w:pPr>
              <w:widowControl/>
              <w:adjustRightInd w:val="0"/>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r—预测点距声源的距离，m；</w:t>
            </w:r>
          </w:p>
          <w:p w14:paraId="6712D872">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r0—参考点距声源的距离，m；</w:t>
            </w:r>
          </w:p>
          <w:p w14:paraId="58528A14">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α—每1000m空气吸收系数。</w:t>
            </w:r>
          </w:p>
          <w:p w14:paraId="1700678B">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bookmarkStart w:id="16" w:name="_Toc380531188"/>
            <w:bookmarkEnd w:id="16"/>
            <w:r>
              <w:rPr>
                <w:rFonts w:ascii="Times New Roman" w:hAnsi="Times New Roman" w:eastAsia="宋体" w:cs="Times New Roman"/>
                <w:color w:val="auto"/>
                <w:sz w:val="24"/>
                <w:szCs w:val="24"/>
                <w:u w:val="none" w:color="auto"/>
              </w:rPr>
              <w:t>④附加衰减</w:t>
            </w:r>
          </w:p>
          <w:p w14:paraId="4E64DFDE">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附加衰减包括声波传播过程中由于云、雾、温度梯度、风及地面效应引起的声能量衰减，本次评价中忽略不计。</w:t>
            </w:r>
          </w:p>
          <w:p w14:paraId="2D747CD0">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bookmarkStart w:id="17" w:name="_Toc380531189"/>
            <w:bookmarkEnd w:id="17"/>
            <w:r>
              <w:rPr>
                <w:rFonts w:ascii="Times New Roman" w:hAnsi="Times New Roman" w:eastAsia="宋体" w:cs="Times New Roman"/>
                <w:color w:val="auto"/>
                <w:sz w:val="24"/>
                <w:szCs w:val="24"/>
                <w:u w:val="none" w:color="auto"/>
              </w:rPr>
              <w:t>（2）室内点声源对厂界噪声预测点贡献值预测模式</w:t>
            </w:r>
          </w:p>
          <w:p w14:paraId="7469CFBF">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室内声源首先换算为等效室外声源，再按各类声源模式计算。</w:t>
            </w:r>
          </w:p>
          <w:p w14:paraId="7314A058">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bookmarkStart w:id="18" w:name="_Toc380531190"/>
            <w:bookmarkEnd w:id="18"/>
            <w:r>
              <w:rPr>
                <w:rFonts w:ascii="Times New Roman" w:hAnsi="Times New Roman" w:eastAsia="宋体" w:cs="Times New Roman"/>
                <w:color w:val="auto"/>
                <w:sz w:val="24"/>
                <w:szCs w:val="24"/>
                <w:u w:val="none" w:color="auto"/>
              </w:rPr>
              <w:t>①首先计算出某个室内声源靠近围护结构处</w:t>
            </w:r>
            <w:r>
              <w:rPr>
                <w:rFonts w:hint="default" w:ascii="Times New Roman" w:hAnsi="Times New Roman" w:eastAsia="宋体" w:cs="Times New Roman"/>
                <w:color w:val="auto"/>
                <w:sz w:val="24"/>
                <w:szCs w:val="24"/>
                <w:u w:val="none" w:color="auto"/>
                <w:lang w:eastAsia="zh-CN"/>
              </w:rPr>
              <w:t>产生的</w:t>
            </w:r>
            <w:r>
              <w:rPr>
                <w:rFonts w:ascii="Times New Roman" w:hAnsi="Times New Roman" w:eastAsia="宋体" w:cs="Times New Roman"/>
                <w:color w:val="auto"/>
                <w:sz w:val="24"/>
                <w:szCs w:val="24"/>
                <w:u w:val="none" w:color="auto"/>
              </w:rPr>
              <w:t>倍频带声压级</w:t>
            </w:r>
            <w:r>
              <w:rPr>
                <w:rFonts w:hint="default" w:ascii="Times New Roman" w:hAnsi="Times New Roman" w:eastAsia="宋体" w:cs="Times New Roman"/>
                <w:color w:val="auto"/>
                <w:sz w:val="24"/>
                <w:szCs w:val="24"/>
                <w:u w:val="none" w:color="auto"/>
              </w:rPr>
              <w:t>或A声级</w:t>
            </w:r>
            <w:r>
              <w:rPr>
                <w:rFonts w:ascii="Times New Roman" w:hAnsi="Times New Roman" w:eastAsia="宋体" w:cs="Times New Roman"/>
                <w:color w:val="auto"/>
                <w:sz w:val="24"/>
                <w:szCs w:val="24"/>
                <w:u w:val="none" w:color="auto"/>
              </w:rPr>
              <w:t>：</w:t>
            </w:r>
          </w:p>
          <w:p w14:paraId="1CB8E9A1">
            <w:pPr>
              <w:spacing w:line="360" w:lineRule="auto"/>
              <w:ind w:firstLine="420" w:firstLineChars="200"/>
              <w:jc w:val="center"/>
              <w:rPr>
                <w:rFonts w:ascii="Times New Roman" w:hAnsi="Times New Roman" w:cs="Times New Roman"/>
                <w:color w:val="auto"/>
                <w:szCs w:val="28"/>
                <w:u w:val="none" w:color="auto"/>
              </w:rPr>
            </w:pPr>
            <w:r>
              <w:rPr>
                <w:rFonts w:ascii="Times New Roman" w:hAnsi="Times New Roman" w:cs="Times New Roman"/>
                <w:color w:val="auto"/>
                <w:u w:val="none" w:color="auto"/>
              </w:rPr>
              <w:drawing>
                <wp:inline distT="0" distB="0" distL="114300" distR="114300">
                  <wp:extent cx="1883410" cy="431800"/>
                  <wp:effectExtent l="0" t="0" r="2540"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2"/>
                          <a:stretch>
                            <a:fillRect/>
                          </a:stretch>
                        </pic:blipFill>
                        <pic:spPr>
                          <a:xfrm>
                            <a:off x="0" y="0"/>
                            <a:ext cx="1883410" cy="431800"/>
                          </a:xfrm>
                          <a:prstGeom prst="rect">
                            <a:avLst/>
                          </a:prstGeom>
                          <a:noFill/>
                          <a:ln>
                            <a:noFill/>
                          </a:ln>
                        </pic:spPr>
                      </pic:pic>
                    </a:graphicData>
                  </a:graphic>
                </wp:inline>
              </w:drawing>
            </w:r>
          </w:p>
          <w:p w14:paraId="7E8417BA">
            <w:pPr>
              <w:widowControl/>
              <w:snapToGrid w:val="0"/>
              <w:spacing w:line="360" w:lineRule="auto"/>
              <w:ind w:firstLine="480" w:firstLineChars="200"/>
              <w:rPr>
                <w:rFonts w:hint="default"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式中：L</w:t>
            </w:r>
            <w:r>
              <w:rPr>
                <w:rFonts w:hint="default" w:ascii="Times New Roman" w:hAnsi="Times New Roman" w:cs="Times New Roman"/>
                <w:color w:val="auto"/>
                <w:sz w:val="24"/>
                <w:szCs w:val="24"/>
                <w:u w:val="none" w:color="auto"/>
                <w:vertAlign w:val="subscript"/>
              </w:rPr>
              <w:t>pl</w:t>
            </w:r>
            <w:r>
              <w:rPr>
                <w:rFonts w:ascii="Times New Roman" w:hAnsi="Times New Roman" w:cs="Times New Roman"/>
                <w:color w:val="auto"/>
                <w:sz w:val="24"/>
                <w:szCs w:val="24"/>
                <w:u w:val="none" w:color="auto"/>
              </w:rPr>
              <w:t>——</w:t>
            </w:r>
            <w:r>
              <w:rPr>
                <w:rFonts w:hint="default" w:ascii="Times New Roman" w:hAnsi="Times New Roman" w:cs="Times New Roman"/>
                <w:color w:val="auto"/>
                <w:sz w:val="24"/>
                <w:szCs w:val="24"/>
                <w:u w:val="none" w:color="auto"/>
              </w:rPr>
              <w:t>靠近开口处（或窗户）</w:t>
            </w:r>
            <w:r>
              <w:rPr>
                <w:rFonts w:ascii="Times New Roman" w:hAnsi="Times New Roman" w:cs="Times New Roman"/>
                <w:color w:val="auto"/>
                <w:sz w:val="24"/>
                <w:szCs w:val="24"/>
                <w:u w:val="none" w:color="auto"/>
              </w:rPr>
              <w:t>室内</w:t>
            </w:r>
            <w:r>
              <w:rPr>
                <w:rFonts w:hint="default" w:ascii="Times New Roman" w:hAnsi="Times New Roman" w:cs="Times New Roman"/>
                <w:color w:val="auto"/>
                <w:sz w:val="24"/>
                <w:szCs w:val="24"/>
                <w:u w:val="none" w:color="auto"/>
              </w:rPr>
              <w:t>某</w:t>
            </w:r>
            <w:r>
              <w:rPr>
                <w:rFonts w:ascii="Times New Roman" w:hAnsi="Times New Roman" w:cs="Times New Roman"/>
                <w:color w:val="auto"/>
                <w:sz w:val="24"/>
                <w:szCs w:val="24"/>
                <w:u w:val="none" w:color="auto"/>
              </w:rPr>
              <w:t>倍频带声压级</w:t>
            </w:r>
            <w:r>
              <w:rPr>
                <w:rFonts w:hint="default" w:ascii="Times New Roman" w:hAnsi="Times New Roman" w:cs="Times New Roman"/>
                <w:color w:val="auto"/>
                <w:sz w:val="24"/>
                <w:szCs w:val="24"/>
                <w:u w:val="none" w:color="auto"/>
              </w:rPr>
              <w:t>或A声级；</w:t>
            </w:r>
          </w:p>
          <w:p w14:paraId="0953A411">
            <w:pPr>
              <w:widowControl/>
              <w:snapToGrid w:val="0"/>
              <w:spacing w:line="360" w:lineRule="auto"/>
              <w:ind w:firstLine="1200" w:firstLineChars="500"/>
              <w:rPr>
                <w:rFonts w:hint="default"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Lw——</w:t>
            </w:r>
            <w:r>
              <w:rPr>
                <w:rFonts w:hint="default" w:ascii="Times New Roman" w:hAnsi="Times New Roman" w:cs="Times New Roman"/>
                <w:color w:val="auto"/>
                <w:sz w:val="24"/>
                <w:szCs w:val="24"/>
                <w:u w:val="none" w:color="auto"/>
              </w:rPr>
              <w:t>点</w:t>
            </w:r>
            <w:r>
              <w:rPr>
                <w:rFonts w:ascii="Times New Roman" w:hAnsi="Times New Roman" w:cs="Times New Roman"/>
                <w:color w:val="auto"/>
                <w:sz w:val="24"/>
                <w:szCs w:val="24"/>
                <w:u w:val="none" w:color="auto"/>
              </w:rPr>
              <w:t>声源声功率级</w:t>
            </w:r>
            <w:r>
              <w:rPr>
                <w:rFonts w:hint="default" w:ascii="Times New Roman" w:hAnsi="Times New Roman" w:cs="Times New Roman"/>
                <w:color w:val="auto"/>
                <w:sz w:val="24"/>
                <w:szCs w:val="24"/>
                <w:u w:val="none" w:color="auto"/>
              </w:rPr>
              <w:t>（A计权或倍频带）</w:t>
            </w:r>
            <w:r>
              <w:rPr>
                <w:rFonts w:ascii="Times New Roman" w:hAnsi="Times New Roman" w:cs="Times New Roman"/>
                <w:color w:val="auto"/>
                <w:sz w:val="24"/>
                <w:szCs w:val="24"/>
                <w:u w:val="none" w:color="auto"/>
              </w:rPr>
              <w:t>，</w:t>
            </w:r>
            <w:r>
              <w:rPr>
                <w:rFonts w:hint="default" w:ascii="Times New Roman" w:hAnsi="Times New Roman" w:cs="Times New Roman"/>
                <w:color w:val="auto"/>
                <w:sz w:val="24"/>
                <w:szCs w:val="24"/>
                <w:u w:val="none" w:color="auto"/>
              </w:rPr>
              <w:t>dB；</w:t>
            </w:r>
          </w:p>
          <w:p w14:paraId="6F1104C7">
            <w:pPr>
              <w:widowControl/>
              <w:snapToGrid w:val="0"/>
              <w:spacing w:line="360" w:lineRule="auto"/>
              <w:ind w:firstLine="1200" w:firstLineChars="500"/>
              <w:rPr>
                <w:rFonts w:ascii="Times New Roman" w:hAnsi="Times New Roman" w:cs="Times New Roman"/>
                <w:color w:val="auto"/>
                <w:sz w:val="24"/>
                <w:szCs w:val="24"/>
                <w:u w:val="none" w:color="auto"/>
              </w:rPr>
            </w:pPr>
            <w:r>
              <w:rPr>
                <w:rFonts w:ascii="Times New Roman" w:hAnsi="Times New Roman" w:cs="Times New Roman"/>
                <w:i/>
                <w:color w:val="auto"/>
                <w:sz w:val="24"/>
                <w:szCs w:val="24"/>
                <w:u w:val="none" w:color="auto"/>
              </w:rPr>
              <w:t xml:space="preserve">Q </w:t>
            </w:r>
            <w:r>
              <w:rPr>
                <w:rFonts w:ascii="Times New Roman" w:hAnsi="Times New Roman" w:cs="Times New Roman"/>
                <w:color w:val="auto"/>
                <w:sz w:val="24"/>
                <w:szCs w:val="24"/>
                <w:u w:val="none" w:color="auto"/>
              </w:rPr>
              <w:t>——指向性因数；通常对无指向性声源，当声源放在房间中心时，</w:t>
            </w:r>
            <w:r>
              <w:rPr>
                <w:rFonts w:ascii="Times New Roman" w:hAnsi="Times New Roman" w:cs="Times New Roman"/>
                <w:i/>
                <w:color w:val="auto"/>
                <w:sz w:val="24"/>
                <w:szCs w:val="24"/>
                <w:u w:val="none" w:color="auto"/>
              </w:rPr>
              <w:t>Q</w:t>
            </w:r>
            <w:r>
              <w:rPr>
                <w:rFonts w:ascii="Times New Roman" w:hAnsi="Times New Roman" w:cs="Times New Roman"/>
                <w:color w:val="auto"/>
                <w:sz w:val="24"/>
                <w:szCs w:val="24"/>
                <w:u w:val="none" w:color="auto"/>
              </w:rPr>
              <w:t>=1；当放在一面墙的中心时，</w:t>
            </w:r>
            <w:r>
              <w:rPr>
                <w:rFonts w:ascii="Times New Roman" w:hAnsi="Times New Roman" w:cs="Times New Roman"/>
                <w:i/>
                <w:color w:val="auto"/>
                <w:sz w:val="24"/>
                <w:szCs w:val="24"/>
                <w:u w:val="none" w:color="auto"/>
              </w:rPr>
              <w:t>Q</w:t>
            </w:r>
            <w:r>
              <w:rPr>
                <w:rFonts w:ascii="Times New Roman" w:hAnsi="Times New Roman" w:cs="Times New Roman"/>
                <w:color w:val="auto"/>
                <w:sz w:val="24"/>
                <w:szCs w:val="24"/>
                <w:u w:val="none" w:color="auto"/>
              </w:rPr>
              <w:t>=2；当放在两面墙夹角处时，</w:t>
            </w:r>
            <w:r>
              <w:rPr>
                <w:rFonts w:ascii="Times New Roman" w:hAnsi="Times New Roman" w:cs="Times New Roman"/>
                <w:i/>
                <w:color w:val="auto"/>
                <w:sz w:val="24"/>
                <w:szCs w:val="24"/>
                <w:u w:val="none" w:color="auto"/>
              </w:rPr>
              <w:t>Q</w:t>
            </w:r>
            <w:r>
              <w:rPr>
                <w:rFonts w:ascii="Times New Roman" w:hAnsi="Times New Roman" w:cs="Times New Roman"/>
                <w:color w:val="auto"/>
                <w:sz w:val="24"/>
                <w:szCs w:val="24"/>
                <w:u w:val="none" w:color="auto"/>
              </w:rPr>
              <w:t>=4；当放在三面墙夹角处时，</w:t>
            </w:r>
            <w:r>
              <w:rPr>
                <w:rFonts w:ascii="Times New Roman" w:hAnsi="Times New Roman" w:cs="Times New Roman"/>
                <w:i/>
                <w:color w:val="auto"/>
                <w:sz w:val="24"/>
                <w:szCs w:val="24"/>
                <w:u w:val="none" w:color="auto"/>
              </w:rPr>
              <w:t>Q</w:t>
            </w:r>
            <w:r>
              <w:rPr>
                <w:rFonts w:ascii="Times New Roman" w:hAnsi="Times New Roman" w:cs="Times New Roman"/>
                <w:color w:val="auto"/>
                <w:sz w:val="24"/>
                <w:szCs w:val="24"/>
                <w:u w:val="none" w:color="auto"/>
              </w:rPr>
              <w:t>=8；</w:t>
            </w:r>
          </w:p>
          <w:p w14:paraId="2ED75D25">
            <w:pPr>
              <w:widowControl/>
              <w:snapToGrid w:val="0"/>
              <w:spacing w:line="360" w:lineRule="auto"/>
              <w:ind w:firstLine="1200" w:firstLineChars="500"/>
              <w:rPr>
                <w:rFonts w:ascii="Times New Roman" w:hAnsi="Times New Roman" w:cs="Times New Roman"/>
                <w:color w:val="auto"/>
                <w:position w:val="1"/>
                <w:sz w:val="24"/>
                <w:szCs w:val="24"/>
                <w:u w:val="none" w:color="auto"/>
              </w:rPr>
            </w:pPr>
            <w:r>
              <w:rPr>
                <w:rFonts w:ascii="Times New Roman" w:hAnsi="Times New Roman" w:cs="Times New Roman"/>
                <w:i/>
                <w:color w:val="auto"/>
                <w:position w:val="1"/>
                <w:sz w:val="24"/>
                <w:szCs w:val="24"/>
                <w:u w:val="none" w:color="auto"/>
              </w:rPr>
              <w:t>R</w:t>
            </w:r>
            <w:r>
              <w:rPr>
                <w:rFonts w:ascii="Times New Roman" w:hAnsi="Times New Roman" w:cs="Times New Roman"/>
                <w:color w:val="auto"/>
                <w:position w:val="1"/>
                <w:sz w:val="24"/>
                <w:szCs w:val="24"/>
                <w:u w:val="none" w:color="auto"/>
              </w:rPr>
              <w:t xml:space="preserve">——房间常数； </w:t>
            </w:r>
            <w:r>
              <w:rPr>
                <w:rFonts w:ascii="Times New Roman" w:hAnsi="Times New Roman" w:cs="Times New Roman"/>
                <w:i/>
                <w:color w:val="auto"/>
                <w:position w:val="2"/>
                <w:sz w:val="24"/>
                <w:szCs w:val="24"/>
                <w:u w:val="none" w:color="auto"/>
              </w:rPr>
              <w:t>R＝Sa</w:t>
            </w:r>
            <w:r>
              <w:rPr>
                <w:rFonts w:ascii="Times New Roman" w:hAnsi="Times New Roman" w:cs="Times New Roman"/>
                <w:color w:val="auto"/>
                <w:position w:val="2"/>
                <w:sz w:val="24"/>
                <w:szCs w:val="24"/>
                <w:u w:val="none" w:color="auto"/>
              </w:rPr>
              <w:t>/ (1-</w:t>
            </w:r>
            <w:r>
              <w:rPr>
                <w:rFonts w:ascii="Times New Roman" w:hAnsi="Times New Roman" w:cs="Times New Roman"/>
                <w:i/>
                <w:color w:val="auto"/>
                <w:position w:val="2"/>
                <w:sz w:val="24"/>
                <w:szCs w:val="24"/>
                <w:u w:val="none" w:color="auto"/>
              </w:rPr>
              <w:t>a</w:t>
            </w:r>
            <w:r>
              <w:rPr>
                <w:rFonts w:hint="default" w:ascii="Times New Roman" w:hAnsi="Times New Roman" w:cs="Times New Roman"/>
                <w:i w:val="0"/>
                <w:iCs/>
                <w:color w:val="auto"/>
                <w:position w:val="2"/>
                <w:sz w:val="24"/>
                <w:szCs w:val="24"/>
                <w:u w:val="none" w:color="auto"/>
                <w:lang w:eastAsia="zh-CN"/>
              </w:rPr>
              <w:t>)</w:t>
            </w:r>
            <w:r>
              <w:rPr>
                <w:rFonts w:ascii="Times New Roman" w:hAnsi="Times New Roman" w:cs="Times New Roman"/>
                <w:color w:val="auto"/>
                <w:position w:val="1"/>
                <w:sz w:val="24"/>
                <w:szCs w:val="24"/>
                <w:u w:val="none" w:color="auto"/>
              </w:rPr>
              <w:t>，</w:t>
            </w:r>
            <w:r>
              <w:rPr>
                <w:rFonts w:ascii="Times New Roman" w:hAnsi="Times New Roman" w:cs="Times New Roman"/>
                <w:i/>
                <w:color w:val="auto"/>
                <w:position w:val="1"/>
                <w:sz w:val="24"/>
                <w:szCs w:val="24"/>
                <w:u w:val="none" w:color="auto"/>
              </w:rPr>
              <w:t xml:space="preserve">S </w:t>
            </w:r>
            <w:r>
              <w:rPr>
                <w:rFonts w:ascii="Times New Roman" w:hAnsi="Times New Roman" w:cs="Times New Roman"/>
                <w:color w:val="auto"/>
                <w:position w:val="1"/>
                <w:sz w:val="24"/>
                <w:szCs w:val="24"/>
                <w:u w:val="none" w:color="auto"/>
              </w:rPr>
              <w:t>为房间内表面面积，m</w:t>
            </w:r>
            <w:r>
              <w:rPr>
                <w:rFonts w:ascii="Times New Roman" w:hAnsi="Times New Roman" w:cs="Times New Roman"/>
                <w:color w:val="auto"/>
                <w:position w:val="1"/>
                <w:sz w:val="24"/>
                <w:szCs w:val="24"/>
                <w:u w:val="none" w:color="auto"/>
                <w:vertAlign w:val="superscript"/>
              </w:rPr>
              <w:t>2</w:t>
            </w:r>
            <w:r>
              <w:rPr>
                <w:rFonts w:ascii="Times New Roman" w:hAnsi="Times New Roman" w:cs="Times New Roman"/>
                <w:color w:val="auto"/>
                <w:position w:val="1"/>
                <w:sz w:val="24"/>
                <w:szCs w:val="24"/>
                <w:u w:val="none" w:color="auto"/>
              </w:rPr>
              <w:t>；</w:t>
            </w:r>
            <w:r>
              <w:rPr>
                <w:rFonts w:ascii="Times New Roman" w:hAnsi="Times New Roman" w:cs="Times New Roman"/>
                <w:i/>
                <w:color w:val="auto"/>
                <w:position w:val="1"/>
                <w:sz w:val="24"/>
                <w:szCs w:val="24"/>
                <w:u w:val="none" w:color="auto"/>
              </w:rPr>
              <w:t xml:space="preserve">α </w:t>
            </w:r>
            <w:r>
              <w:rPr>
                <w:rFonts w:ascii="Times New Roman" w:hAnsi="Times New Roman" w:cs="Times New Roman"/>
                <w:color w:val="auto"/>
                <w:position w:val="1"/>
                <w:sz w:val="24"/>
                <w:szCs w:val="24"/>
                <w:u w:val="none" w:color="auto"/>
              </w:rPr>
              <w:t>为平均吸声系数；</w:t>
            </w:r>
          </w:p>
          <w:p w14:paraId="1AD044A9">
            <w:pPr>
              <w:widowControl/>
              <w:snapToGrid w:val="0"/>
              <w:spacing w:line="360" w:lineRule="auto"/>
              <w:ind w:firstLine="1200" w:firstLineChars="500"/>
              <w:rPr>
                <w:rFonts w:hint="default"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r</w:t>
            </w:r>
            <w:r>
              <w:rPr>
                <w:rFonts w:ascii="Times New Roman" w:hAnsi="Times New Roman" w:cs="Times New Roman"/>
                <w:color w:val="auto"/>
                <w:position w:val="1"/>
                <w:sz w:val="24"/>
                <w:szCs w:val="24"/>
                <w:u w:val="none" w:color="auto"/>
              </w:rPr>
              <w:t>——</w:t>
            </w:r>
            <w:r>
              <w:rPr>
                <w:rFonts w:ascii="Times New Roman" w:hAnsi="Times New Roman" w:cs="Times New Roman"/>
                <w:color w:val="auto"/>
                <w:sz w:val="24"/>
                <w:szCs w:val="24"/>
                <w:u w:val="none" w:color="auto"/>
              </w:rPr>
              <w:t>声源</w:t>
            </w:r>
            <w:r>
              <w:rPr>
                <w:rFonts w:hint="default" w:ascii="Times New Roman" w:hAnsi="Times New Roman" w:cs="Times New Roman"/>
                <w:color w:val="auto"/>
                <w:sz w:val="24"/>
                <w:szCs w:val="24"/>
                <w:u w:val="none" w:color="auto"/>
              </w:rPr>
              <w:t>到</w:t>
            </w:r>
            <w:r>
              <w:rPr>
                <w:rFonts w:ascii="Times New Roman" w:hAnsi="Times New Roman" w:cs="Times New Roman"/>
                <w:color w:val="auto"/>
                <w:sz w:val="24"/>
                <w:szCs w:val="24"/>
                <w:u w:val="none" w:color="auto"/>
              </w:rPr>
              <w:t>靠近围护结构</w:t>
            </w:r>
            <w:r>
              <w:rPr>
                <w:rFonts w:hint="default" w:ascii="Times New Roman" w:hAnsi="Times New Roman" w:cs="Times New Roman"/>
                <w:color w:val="auto"/>
                <w:sz w:val="24"/>
                <w:szCs w:val="24"/>
                <w:u w:val="none" w:color="auto"/>
              </w:rPr>
              <w:t>某点</w:t>
            </w:r>
            <w:r>
              <w:rPr>
                <w:rFonts w:ascii="Times New Roman" w:hAnsi="Times New Roman" w:cs="Times New Roman"/>
                <w:color w:val="auto"/>
                <w:sz w:val="24"/>
                <w:szCs w:val="24"/>
                <w:u w:val="none" w:color="auto"/>
              </w:rPr>
              <w:t>处的距离，</w:t>
            </w:r>
            <w:r>
              <w:rPr>
                <w:rFonts w:hint="default" w:ascii="Times New Roman" w:hAnsi="Times New Roman" w:cs="Times New Roman"/>
                <w:color w:val="auto"/>
                <w:sz w:val="24"/>
                <w:szCs w:val="24"/>
                <w:u w:val="none" w:color="auto"/>
              </w:rPr>
              <w:t>m。</w:t>
            </w:r>
          </w:p>
          <w:p w14:paraId="5631E0F7">
            <w:pPr>
              <w:widowControl/>
              <w:adjustRightInd w:val="0"/>
              <w:snapToGrid w:val="0"/>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 xml:space="preserve">②计算出所有室内声源在围护结构处产生的 </w:t>
            </w:r>
            <w:r>
              <w:rPr>
                <w:rFonts w:ascii="Times New Roman" w:hAnsi="Times New Roman" w:eastAsia="Times New Roman" w:cs="Times New Roman"/>
                <w:i/>
                <w:color w:val="auto"/>
                <w:sz w:val="24"/>
                <w:szCs w:val="24"/>
                <w:u w:val="none" w:color="auto"/>
              </w:rPr>
              <w:t xml:space="preserve">i </w:t>
            </w:r>
            <w:r>
              <w:rPr>
                <w:rFonts w:ascii="Times New Roman" w:hAnsi="Times New Roman" w:cs="Times New Roman"/>
                <w:color w:val="auto"/>
                <w:sz w:val="24"/>
                <w:szCs w:val="24"/>
                <w:u w:val="none" w:color="auto"/>
              </w:rPr>
              <w:t>倍频带叠加声压级：</w:t>
            </w:r>
          </w:p>
          <w:p w14:paraId="1BDB02F8">
            <w:pPr>
              <w:widowControl/>
              <w:snapToGrid w:val="0"/>
              <w:spacing w:line="360" w:lineRule="auto"/>
              <w:ind w:firstLine="420" w:firstLineChars="200"/>
              <w:jc w:val="center"/>
              <w:rPr>
                <w:rFonts w:ascii="Times New Roman" w:hAnsi="Times New Roman" w:cs="Times New Roman"/>
                <w:color w:val="auto"/>
                <w:u w:val="none" w:color="auto"/>
              </w:rPr>
            </w:pPr>
            <w:r>
              <w:rPr>
                <w:rFonts w:ascii="Times New Roman" w:hAnsi="Times New Roman" w:cs="Times New Roman"/>
                <w:color w:val="auto"/>
                <w:u w:val="none" w:color="auto"/>
              </w:rPr>
              <w:drawing>
                <wp:inline distT="0" distB="0" distL="114300" distR="114300">
                  <wp:extent cx="1943100" cy="5048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1943100" cy="504825"/>
                          </a:xfrm>
                          <a:prstGeom prst="rect">
                            <a:avLst/>
                          </a:prstGeom>
                          <a:noFill/>
                          <a:ln>
                            <a:noFill/>
                          </a:ln>
                        </pic:spPr>
                      </pic:pic>
                    </a:graphicData>
                  </a:graphic>
                </wp:inline>
              </w:drawing>
            </w:r>
          </w:p>
          <w:p w14:paraId="1EA6CC5C">
            <w:pPr>
              <w:adjustRightInd w:val="0"/>
              <w:spacing w:line="360" w:lineRule="auto"/>
              <w:ind w:firstLine="480" w:firstLineChars="200"/>
              <w:jc w:val="left"/>
              <w:rPr>
                <w:rFonts w:ascii="Times New Roman" w:hAnsi="Times New Roman" w:cs="Times New Roman"/>
                <w:color w:val="auto"/>
                <w:position w:val="1"/>
                <w:sz w:val="24"/>
                <w:szCs w:val="24"/>
                <w:u w:val="none" w:color="auto"/>
              </w:rPr>
            </w:pPr>
            <w:r>
              <w:rPr>
                <w:rFonts w:ascii="Times New Roman" w:hAnsi="Times New Roman" w:cs="Times New Roman"/>
                <w:color w:val="auto"/>
                <w:position w:val="1"/>
                <w:sz w:val="24"/>
                <w:szCs w:val="24"/>
                <w:u w:val="none" w:color="auto"/>
              </w:rPr>
              <w:t>式中：</w:t>
            </w:r>
            <w:r>
              <w:rPr>
                <w:rFonts w:ascii="Times New Roman" w:hAnsi="Times New Roman" w:cs="Times New Roman"/>
                <w:i/>
                <w:color w:val="auto"/>
                <w:position w:val="2"/>
                <w:sz w:val="24"/>
                <w:szCs w:val="24"/>
                <w:u w:val="none" w:color="auto"/>
              </w:rPr>
              <w:t>L</w:t>
            </w:r>
            <w:r>
              <w:rPr>
                <w:rFonts w:ascii="Times New Roman" w:hAnsi="Times New Roman" w:cs="Times New Roman"/>
                <w:i/>
                <w:color w:val="auto"/>
                <w:position w:val="-3"/>
                <w:sz w:val="24"/>
                <w:szCs w:val="24"/>
                <w:u w:val="none" w:color="auto"/>
              </w:rPr>
              <w:t>p</w:t>
            </w:r>
            <w:r>
              <w:rPr>
                <w:rFonts w:ascii="Times New Roman" w:hAnsi="Times New Roman" w:cs="Times New Roman"/>
                <w:color w:val="auto"/>
                <w:position w:val="-3"/>
                <w:sz w:val="24"/>
                <w:szCs w:val="24"/>
                <w:u w:val="none" w:color="auto"/>
              </w:rPr>
              <w:t>1</w:t>
            </w:r>
            <w:r>
              <w:rPr>
                <w:rFonts w:ascii="Times New Roman" w:hAnsi="Times New Roman" w:cs="Times New Roman"/>
                <w:i/>
                <w:color w:val="auto"/>
                <w:position w:val="-3"/>
                <w:sz w:val="24"/>
                <w:szCs w:val="24"/>
                <w:u w:val="none" w:color="auto"/>
              </w:rPr>
              <w:t>i</w:t>
            </w:r>
            <w:r>
              <w:rPr>
                <w:rFonts w:hint="default" w:ascii="Times New Roman" w:hAnsi="Times New Roman" w:cs="Times New Roman"/>
                <w:color w:val="auto"/>
                <w:position w:val="1"/>
                <w:sz w:val="24"/>
                <w:szCs w:val="24"/>
                <w:u w:val="none" w:color="auto"/>
              </w:rPr>
              <w:t>（</w:t>
            </w:r>
            <w:r>
              <w:rPr>
                <w:rFonts w:ascii="Times New Roman" w:hAnsi="Times New Roman" w:cs="Times New Roman"/>
                <w:i/>
                <w:color w:val="auto"/>
                <w:position w:val="2"/>
                <w:sz w:val="24"/>
                <w:szCs w:val="24"/>
                <w:u w:val="none" w:color="auto"/>
              </w:rPr>
              <w:t>T</w:t>
            </w:r>
            <w:r>
              <w:rPr>
                <w:rFonts w:hint="default" w:ascii="Times New Roman" w:hAnsi="Times New Roman" w:cs="Times New Roman"/>
                <w:color w:val="auto"/>
                <w:position w:val="1"/>
                <w:sz w:val="24"/>
                <w:szCs w:val="24"/>
                <w:u w:val="none" w:color="auto"/>
              </w:rPr>
              <w:t>）</w:t>
            </w:r>
            <w:r>
              <w:rPr>
                <w:rFonts w:ascii="Times New Roman" w:hAnsi="Times New Roman" w:cs="Times New Roman"/>
                <w:color w:val="auto"/>
                <w:sz w:val="24"/>
                <w:szCs w:val="24"/>
                <w:u w:val="none" w:color="auto"/>
              </w:rPr>
              <w:t xml:space="preserve"> </w:t>
            </w:r>
            <w:r>
              <w:rPr>
                <w:rFonts w:ascii="Times New Roman" w:hAnsi="Times New Roman" w:cs="Times New Roman"/>
                <w:color w:val="auto"/>
                <w:position w:val="1"/>
                <w:sz w:val="24"/>
                <w:szCs w:val="24"/>
                <w:u w:val="none" w:color="auto"/>
              </w:rPr>
              <w:t xml:space="preserve">——靠近围护结构处室内 </w:t>
            </w:r>
            <w:r>
              <w:rPr>
                <w:rFonts w:ascii="Times New Roman" w:hAnsi="Times New Roman" w:cs="Times New Roman"/>
                <w:i/>
                <w:color w:val="auto"/>
                <w:position w:val="1"/>
                <w:sz w:val="24"/>
                <w:szCs w:val="24"/>
                <w:u w:val="none" w:color="auto"/>
              </w:rPr>
              <w:t xml:space="preserve">N </w:t>
            </w:r>
            <w:r>
              <w:rPr>
                <w:rFonts w:ascii="Times New Roman" w:hAnsi="Times New Roman" w:cs="Times New Roman"/>
                <w:color w:val="auto"/>
                <w:position w:val="1"/>
                <w:sz w:val="24"/>
                <w:szCs w:val="24"/>
                <w:u w:val="none" w:color="auto"/>
              </w:rPr>
              <w:t xml:space="preserve">个声源 </w:t>
            </w:r>
            <w:r>
              <w:rPr>
                <w:rFonts w:ascii="Times New Roman" w:hAnsi="Times New Roman" w:cs="Times New Roman"/>
                <w:i/>
                <w:color w:val="auto"/>
                <w:position w:val="1"/>
                <w:sz w:val="24"/>
                <w:szCs w:val="24"/>
                <w:u w:val="none" w:color="auto"/>
              </w:rPr>
              <w:t xml:space="preserve">i </w:t>
            </w:r>
            <w:r>
              <w:rPr>
                <w:rFonts w:ascii="Times New Roman" w:hAnsi="Times New Roman" w:cs="Times New Roman"/>
                <w:color w:val="auto"/>
                <w:position w:val="1"/>
                <w:sz w:val="24"/>
                <w:szCs w:val="24"/>
                <w:u w:val="none" w:color="auto"/>
              </w:rPr>
              <w:t>倍频带的叠加声压级，dB；</w:t>
            </w:r>
          </w:p>
          <w:p w14:paraId="2BEC0087">
            <w:pPr>
              <w:adjustRightInd w:val="0"/>
              <w:spacing w:line="360" w:lineRule="auto"/>
              <w:ind w:firstLine="1200" w:firstLineChars="500"/>
              <w:jc w:val="left"/>
              <w:rPr>
                <w:rFonts w:ascii="Times New Roman" w:hAnsi="Times New Roman" w:cs="Times New Roman"/>
                <w:color w:val="auto"/>
                <w:sz w:val="24"/>
                <w:szCs w:val="24"/>
                <w:u w:val="none" w:color="auto"/>
              </w:rPr>
            </w:pPr>
            <w:r>
              <w:rPr>
                <w:rFonts w:ascii="Times New Roman" w:hAnsi="Times New Roman" w:cs="Times New Roman"/>
                <w:i/>
                <w:color w:val="auto"/>
                <w:position w:val="3"/>
                <w:sz w:val="24"/>
                <w:szCs w:val="24"/>
                <w:u w:val="none" w:color="auto"/>
              </w:rPr>
              <w:t>L</w:t>
            </w:r>
            <w:r>
              <w:rPr>
                <w:rFonts w:ascii="Times New Roman" w:hAnsi="Times New Roman" w:cs="Times New Roman"/>
                <w:i/>
                <w:color w:val="auto"/>
                <w:position w:val="-2"/>
                <w:sz w:val="24"/>
                <w:szCs w:val="24"/>
                <w:u w:val="none" w:color="auto"/>
              </w:rPr>
              <w:t>p</w:t>
            </w:r>
            <w:r>
              <w:rPr>
                <w:rFonts w:ascii="Times New Roman" w:hAnsi="Times New Roman" w:cs="Times New Roman"/>
                <w:color w:val="auto"/>
                <w:position w:val="-2"/>
                <w:sz w:val="24"/>
                <w:szCs w:val="24"/>
                <w:u w:val="none" w:color="auto"/>
              </w:rPr>
              <w:t>1</w:t>
            </w:r>
            <w:r>
              <w:rPr>
                <w:rFonts w:ascii="Times New Roman" w:hAnsi="Times New Roman" w:cs="Times New Roman"/>
                <w:i/>
                <w:color w:val="auto"/>
                <w:position w:val="-2"/>
                <w:sz w:val="24"/>
                <w:szCs w:val="24"/>
                <w:u w:val="none" w:color="auto"/>
              </w:rPr>
              <w:t xml:space="preserve">ij </w:t>
            </w:r>
            <w:r>
              <w:rPr>
                <w:rFonts w:ascii="Times New Roman" w:hAnsi="Times New Roman" w:cs="Times New Roman"/>
                <w:color w:val="auto"/>
                <w:position w:val="1"/>
                <w:sz w:val="24"/>
                <w:szCs w:val="24"/>
                <w:u w:val="none" w:color="auto"/>
              </w:rPr>
              <w:t>——</w:t>
            </w:r>
            <w:r>
              <w:rPr>
                <w:rFonts w:ascii="Times New Roman" w:hAnsi="Times New Roman" w:cs="Times New Roman"/>
                <w:color w:val="auto"/>
                <w:sz w:val="24"/>
                <w:szCs w:val="24"/>
                <w:u w:val="none" w:color="auto"/>
              </w:rPr>
              <w:t xml:space="preserve">室内 </w:t>
            </w:r>
            <w:r>
              <w:rPr>
                <w:rFonts w:ascii="Times New Roman" w:hAnsi="Times New Roman" w:cs="Times New Roman"/>
                <w:i/>
                <w:color w:val="auto"/>
                <w:position w:val="1"/>
                <w:sz w:val="24"/>
                <w:szCs w:val="24"/>
                <w:u w:val="none" w:color="auto"/>
              </w:rPr>
              <w:t xml:space="preserve">j </w:t>
            </w:r>
            <w:r>
              <w:rPr>
                <w:rFonts w:ascii="Times New Roman" w:hAnsi="Times New Roman" w:cs="Times New Roman"/>
                <w:color w:val="auto"/>
                <w:sz w:val="24"/>
                <w:szCs w:val="24"/>
                <w:u w:val="none" w:color="auto"/>
              </w:rPr>
              <w:t xml:space="preserve">声源 </w:t>
            </w:r>
            <w:r>
              <w:rPr>
                <w:rFonts w:ascii="Times New Roman" w:hAnsi="Times New Roman" w:cs="Times New Roman"/>
                <w:i/>
                <w:color w:val="auto"/>
                <w:position w:val="1"/>
                <w:sz w:val="24"/>
                <w:szCs w:val="24"/>
                <w:u w:val="none" w:color="auto"/>
              </w:rPr>
              <w:t xml:space="preserve">i </w:t>
            </w:r>
            <w:r>
              <w:rPr>
                <w:rFonts w:ascii="Times New Roman" w:hAnsi="Times New Roman" w:cs="Times New Roman"/>
                <w:color w:val="auto"/>
                <w:sz w:val="24"/>
                <w:szCs w:val="24"/>
                <w:u w:val="none" w:color="auto"/>
              </w:rPr>
              <w:t>倍频带的声压级，</w:t>
            </w:r>
            <w:r>
              <w:rPr>
                <w:rFonts w:ascii="Times New Roman" w:hAnsi="Times New Roman" w:cs="Times New Roman"/>
                <w:color w:val="auto"/>
                <w:position w:val="1"/>
                <w:sz w:val="24"/>
                <w:szCs w:val="24"/>
                <w:u w:val="none" w:color="auto"/>
              </w:rPr>
              <w:t>dB</w:t>
            </w:r>
            <w:r>
              <w:rPr>
                <w:rFonts w:ascii="Times New Roman" w:hAnsi="Times New Roman" w:cs="Times New Roman"/>
                <w:color w:val="auto"/>
                <w:sz w:val="24"/>
                <w:szCs w:val="24"/>
                <w:u w:val="none" w:color="auto"/>
              </w:rPr>
              <w:t>；</w:t>
            </w:r>
          </w:p>
          <w:p w14:paraId="0C958D8A">
            <w:pPr>
              <w:adjustRightInd w:val="0"/>
              <w:spacing w:line="360" w:lineRule="auto"/>
              <w:ind w:firstLine="1200" w:firstLineChars="500"/>
              <w:jc w:val="left"/>
              <w:rPr>
                <w:rFonts w:ascii="Times New Roman" w:hAnsi="Times New Roman" w:cs="Times New Roman"/>
                <w:color w:val="auto"/>
                <w:sz w:val="24"/>
                <w:szCs w:val="24"/>
                <w:u w:val="none" w:color="auto"/>
              </w:rPr>
            </w:pPr>
            <w:r>
              <w:rPr>
                <w:rFonts w:ascii="Times New Roman" w:hAnsi="Times New Roman" w:cs="Times New Roman"/>
                <w:i/>
                <w:color w:val="auto"/>
                <w:sz w:val="24"/>
                <w:szCs w:val="24"/>
                <w:u w:val="none" w:color="auto"/>
              </w:rPr>
              <w:t xml:space="preserve">N </w:t>
            </w:r>
            <w:r>
              <w:rPr>
                <w:rFonts w:ascii="Times New Roman" w:hAnsi="Times New Roman" w:cs="Times New Roman"/>
                <w:color w:val="auto"/>
                <w:position w:val="1"/>
                <w:sz w:val="24"/>
                <w:szCs w:val="24"/>
                <w:u w:val="none" w:color="auto"/>
              </w:rPr>
              <w:t>——</w:t>
            </w:r>
            <w:r>
              <w:rPr>
                <w:rFonts w:ascii="Times New Roman" w:hAnsi="Times New Roman" w:cs="Times New Roman"/>
                <w:color w:val="auto"/>
                <w:sz w:val="24"/>
                <w:szCs w:val="24"/>
                <w:u w:val="none" w:color="auto"/>
              </w:rPr>
              <w:t>室内声源总数。</w:t>
            </w:r>
          </w:p>
          <w:p w14:paraId="1388BB37">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③</w:t>
            </w:r>
            <w:r>
              <w:rPr>
                <w:rFonts w:hint="default" w:ascii="Times New Roman" w:hAnsi="Times New Roman" w:eastAsia="宋体" w:cs="Times New Roman"/>
                <w:color w:val="auto"/>
                <w:sz w:val="24"/>
                <w:szCs w:val="24"/>
                <w:u w:val="none" w:color="auto"/>
              </w:rPr>
              <w:t>在室内近似为扩散声场时，</w:t>
            </w:r>
            <w:r>
              <w:rPr>
                <w:rFonts w:ascii="Times New Roman" w:hAnsi="Times New Roman" w:eastAsia="宋体" w:cs="Times New Roman"/>
                <w:color w:val="auto"/>
                <w:sz w:val="24"/>
                <w:szCs w:val="24"/>
                <w:u w:val="none" w:color="auto"/>
              </w:rPr>
              <w:t>计算出靠近室外围护结构处的声压级：</w:t>
            </w:r>
          </w:p>
          <w:p w14:paraId="4F93A014">
            <w:pPr>
              <w:widowControl/>
              <w:snapToGrid w:val="0"/>
              <w:spacing w:line="360" w:lineRule="auto"/>
              <w:ind w:firstLine="420" w:firstLineChars="200"/>
              <w:jc w:val="center"/>
              <w:rPr>
                <w:rFonts w:ascii="Times New Roman" w:hAnsi="Times New Roman" w:cs="Times New Roman"/>
                <w:color w:val="auto"/>
                <w:u w:val="none" w:color="auto"/>
              </w:rPr>
            </w:pPr>
            <w:r>
              <w:rPr>
                <w:rFonts w:ascii="Times New Roman" w:hAnsi="Times New Roman" w:cs="Times New Roman"/>
                <w:color w:val="auto"/>
                <w:u w:val="none" w:color="auto"/>
              </w:rPr>
              <w:drawing>
                <wp:inline distT="0" distB="0" distL="114300" distR="114300">
                  <wp:extent cx="1707515" cy="252095"/>
                  <wp:effectExtent l="0" t="0" r="6985" b="1460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4"/>
                          <a:stretch>
                            <a:fillRect/>
                          </a:stretch>
                        </pic:blipFill>
                        <pic:spPr>
                          <a:xfrm>
                            <a:off x="0" y="0"/>
                            <a:ext cx="1707515" cy="252095"/>
                          </a:xfrm>
                          <a:prstGeom prst="rect">
                            <a:avLst/>
                          </a:prstGeom>
                          <a:noFill/>
                          <a:ln>
                            <a:noFill/>
                          </a:ln>
                        </pic:spPr>
                      </pic:pic>
                    </a:graphicData>
                  </a:graphic>
                </wp:inline>
              </w:drawing>
            </w:r>
          </w:p>
          <w:p w14:paraId="355E6024">
            <w:pPr>
              <w:widowControl/>
              <w:adjustRightInd w:val="0"/>
              <w:snapToGrid w:val="0"/>
              <w:spacing w:line="360" w:lineRule="auto"/>
              <w:ind w:firstLine="480" w:firstLineChars="200"/>
              <w:rPr>
                <w:rFonts w:ascii="Times New Roman" w:hAnsi="Times New Roman" w:cs="Times New Roman"/>
                <w:color w:val="auto"/>
                <w:position w:val="1"/>
                <w:sz w:val="24"/>
                <w:szCs w:val="24"/>
                <w:u w:val="none" w:color="auto"/>
              </w:rPr>
            </w:pPr>
            <w:r>
              <w:rPr>
                <w:rFonts w:ascii="Times New Roman" w:hAnsi="Times New Roman" w:cs="Times New Roman"/>
                <w:color w:val="auto"/>
                <w:sz w:val="24"/>
                <w:szCs w:val="24"/>
                <w:u w:val="none" w:color="auto"/>
              </w:rPr>
              <w:t>式中：</w:t>
            </w:r>
            <w:r>
              <w:rPr>
                <w:rFonts w:ascii="Times New Roman" w:hAnsi="Times New Roman" w:cs="Times New Roman"/>
                <w:i/>
                <w:color w:val="auto"/>
                <w:spacing w:val="3"/>
                <w:sz w:val="24"/>
                <w:szCs w:val="24"/>
                <w:u w:val="none" w:color="auto"/>
              </w:rPr>
              <w:t>L</w:t>
            </w:r>
            <w:r>
              <w:rPr>
                <w:rFonts w:ascii="Times New Roman" w:hAnsi="Times New Roman" w:cs="Times New Roman"/>
                <w:i/>
                <w:color w:val="auto"/>
                <w:spacing w:val="3"/>
                <w:position w:val="-4"/>
                <w:sz w:val="24"/>
                <w:szCs w:val="24"/>
                <w:u w:val="none" w:color="auto"/>
              </w:rPr>
              <w:t>p</w:t>
            </w:r>
            <w:r>
              <w:rPr>
                <w:rFonts w:ascii="Times New Roman" w:hAnsi="Times New Roman" w:cs="Times New Roman"/>
                <w:color w:val="auto"/>
                <w:spacing w:val="3"/>
                <w:position w:val="-4"/>
                <w:sz w:val="24"/>
                <w:szCs w:val="24"/>
                <w:u w:val="none" w:color="auto"/>
              </w:rPr>
              <w:t>2</w:t>
            </w:r>
            <w:r>
              <w:rPr>
                <w:rFonts w:ascii="Times New Roman" w:hAnsi="Times New Roman" w:cs="Times New Roman"/>
                <w:i/>
                <w:color w:val="auto"/>
                <w:spacing w:val="3"/>
                <w:position w:val="-4"/>
                <w:sz w:val="24"/>
                <w:szCs w:val="24"/>
                <w:u w:val="none" w:color="auto"/>
              </w:rPr>
              <w:t>i</w:t>
            </w:r>
            <w:r>
              <w:rPr>
                <w:rFonts w:ascii="Times New Roman" w:hAnsi="Times New Roman" w:cs="Times New Roman"/>
                <w:i/>
                <w:color w:val="auto"/>
                <w:spacing w:val="5"/>
                <w:position w:val="-4"/>
                <w:sz w:val="24"/>
                <w:szCs w:val="24"/>
                <w:u w:val="none" w:color="auto"/>
              </w:rPr>
              <w:t xml:space="preserve"> </w:t>
            </w:r>
            <w:r>
              <w:rPr>
                <w:rFonts w:ascii="Times New Roman" w:hAnsi="Times New Roman" w:cs="Times New Roman"/>
                <w:color w:val="auto"/>
                <w:sz w:val="24"/>
                <w:szCs w:val="24"/>
                <w:u w:val="none" w:color="auto"/>
              </w:rPr>
              <w:t>(</w:t>
            </w:r>
            <w:r>
              <w:rPr>
                <w:rFonts w:ascii="Times New Roman" w:hAnsi="Times New Roman" w:cs="Times New Roman"/>
                <w:i/>
                <w:color w:val="auto"/>
                <w:sz w:val="24"/>
                <w:szCs w:val="24"/>
                <w:u w:val="none" w:color="auto"/>
              </w:rPr>
              <w:t>T</w:t>
            </w:r>
            <w:r>
              <w:rPr>
                <w:rFonts w:ascii="Times New Roman" w:hAnsi="Times New Roman" w:cs="Times New Roman"/>
                <w:i/>
                <w:color w:val="auto"/>
                <w:spacing w:val="-14"/>
                <w:sz w:val="24"/>
                <w:szCs w:val="24"/>
                <w:u w:val="none" w:color="auto"/>
              </w:rPr>
              <w:t xml:space="preserve"> </w:t>
            </w:r>
            <w:r>
              <w:rPr>
                <w:rFonts w:ascii="Times New Roman" w:hAnsi="Times New Roman" w:cs="Times New Roman"/>
                <w:color w:val="auto"/>
                <w:spacing w:val="7"/>
                <w:sz w:val="24"/>
                <w:szCs w:val="24"/>
                <w:u w:val="none" w:color="auto"/>
              </w:rPr>
              <w:t xml:space="preserve">) </w:t>
            </w:r>
            <w:r>
              <w:rPr>
                <w:rFonts w:ascii="Times New Roman" w:hAnsi="Times New Roman" w:cs="Times New Roman"/>
                <w:color w:val="auto"/>
                <w:position w:val="1"/>
                <w:sz w:val="24"/>
                <w:szCs w:val="24"/>
                <w:u w:val="none" w:color="auto"/>
              </w:rPr>
              <w:t>——</w:t>
            </w:r>
            <w:r>
              <w:rPr>
                <w:rFonts w:ascii="Times New Roman" w:hAnsi="Times New Roman" w:cs="Times New Roman"/>
                <w:color w:val="auto"/>
                <w:spacing w:val="-7"/>
                <w:position w:val="1"/>
                <w:sz w:val="24"/>
                <w:szCs w:val="24"/>
                <w:u w:val="none" w:color="auto"/>
              </w:rPr>
              <w:t>靠近围护结构处室外</w:t>
            </w:r>
            <w:r>
              <w:rPr>
                <w:rFonts w:ascii="Times New Roman" w:hAnsi="Times New Roman" w:cs="Times New Roman"/>
                <w:i/>
                <w:color w:val="auto"/>
                <w:position w:val="1"/>
                <w:sz w:val="24"/>
                <w:szCs w:val="24"/>
                <w:u w:val="none" w:color="auto"/>
              </w:rPr>
              <w:t>N</w:t>
            </w:r>
            <w:r>
              <w:rPr>
                <w:rFonts w:ascii="Times New Roman" w:hAnsi="Times New Roman" w:cs="Times New Roman"/>
                <w:color w:val="auto"/>
                <w:spacing w:val="-12"/>
                <w:position w:val="1"/>
                <w:sz w:val="24"/>
                <w:szCs w:val="24"/>
                <w:u w:val="none" w:color="auto"/>
              </w:rPr>
              <w:t xml:space="preserve">个声源 </w:t>
            </w:r>
            <w:r>
              <w:rPr>
                <w:rFonts w:ascii="Times New Roman" w:hAnsi="Times New Roman" w:cs="Times New Roman"/>
                <w:i/>
                <w:color w:val="auto"/>
                <w:position w:val="1"/>
                <w:sz w:val="24"/>
                <w:szCs w:val="24"/>
                <w:u w:val="none" w:color="auto"/>
              </w:rPr>
              <w:t>i</w:t>
            </w:r>
            <w:r>
              <w:rPr>
                <w:rFonts w:ascii="Times New Roman" w:hAnsi="Times New Roman" w:cs="Times New Roman"/>
                <w:i/>
                <w:color w:val="auto"/>
                <w:spacing w:val="13"/>
                <w:position w:val="1"/>
                <w:sz w:val="24"/>
                <w:szCs w:val="24"/>
                <w:u w:val="none" w:color="auto"/>
              </w:rPr>
              <w:t xml:space="preserve"> </w:t>
            </w:r>
            <w:r>
              <w:rPr>
                <w:rFonts w:ascii="Times New Roman" w:hAnsi="Times New Roman" w:cs="Times New Roman"/>
                <w:color w:val="auto"/>
                <w:spacing w:val="-3"/>
                <w:position w:val="1"/>
                <w:sz w:val="24"/>
                <w:szCs w:val="24"/>
                <w:u w:val="none" w:color="auto"/>
              </w:rPr>
              <w:t>倍频带的叠加声压级，</w:t>
            </w:r>
            <w:r>
              <w:rPr>
                <w:rFonts w:ascii="Times New Roman" w:hAnsi="Times New Roman" w:cs="Times New Roman"/>
                <w:color w:val="auto"/>
                <w:position w:val="1"/>
                <w:sz w:val="24"/>
                <w:szCs w:val="24"/>
                <w:u w:val="none" w:color="auto"/>
              </w:rPr>
              <w:t>dB；</w:t>
            </w:r>
          </w:p>
          <w:p w14:paraId="6EF1FBF9">
            <w:pPr>
              <w:widowControl/>
              <w:adjustRightInd w:val="0"/>
              <w:snapToGrid w:val="0"/>
              <w:spacing w:line="360" w:lineRule="auto"/>
              <w:ind w:firstLine="1200" w:firstLineChars="500"/>
              <w:rPr>
                <w:rFonts w:ascii="Times New Roman" w:hAnsi="Times New Roman" w:cs="Times New Roman"/>
                <w:color w:val="auto"/>
                <w:position w:val="1"/>
                <w:sz w:val="24"/>
                <w:szCs w:val="24"/>
                <w:u w:val="none" w:color="auto"/>
              </w:rPr>
            </w:pPr>
            <w:r>
              <w:rPr>
                <w:rFonts w:ascii="Times New Roman" w:hAnsi="Times New Roman" w:cs="Times New Roman"/>
                <w:i/>
                <w:color w:val="auto"/>
                <w:position w:val="2"/>
                <w:sz w:val="24"/>
                <w:szCs w:val="24"/>
                <w:u w:val="none" w:color="auto"/>
              </w:rPr>
              <w:t>L</w:t>
            </w:r>
            <w:r>
              <w:rPr>
                <w:rFonts w:ascii="Times New Roman" w:hAnsi="Times New Roman" w:cs="Times New Roman"/>
                <w:i/>
                <w:color w:val="auto"/>
                <w:position w:val="-3"/>
                <w:sz w:val="24"/>
                <w:szCs w:val="24"/>
                <w:u w:val="none" w:color="auto"/>
              </w:rPr>
              <w:t>p</w:t>
            </w:r>
            <w:r>
              <w:rPr>
                <w:rFonts w:ascii="Times New Roman" w:hAnsi="Times New Roman" w:cs="Times New Roman"/>
                <w:color w:val="auto"/>
                <w:position w:val="-3"/>
                <w:sz w:val="24"/>
                <w:szCs w:val="24"/>
                <w:u w:val="none" w:color="auto"/>
              </w:rPr>
              <w:t>1</w:t>
            </w:r>
            <w:r>
              <w:rPr>
                <w:rFonts w:ascii="Times New Roman" w:hAnsi="Times New Roman" w:cs="Times New Roman"/>
                <w:i/>
                <w:color w:val="auto"/>
                <w:position w:val="-3"/>
                <w:sz w:val="24"/>
                <w:szCs w:val="24"/>
                <w:u w:val="none" w:color="auto"/>
              </w:rPr>
              <w:t>i</w:t>
            </w:r>
            <w:r>
              <w:rPr>
                <w:rFonts w:ascii="Times New Roman" w:hAnsi="Times New Roman" w:cs="Times New Roman"/>
                <w:i/>
                <w:color w:val="auto"/>
                <w:spacing w:val="9"/>
                <w:position w:val="-3"/>
                <w:sz w:val="24"/>
                <w:szCs w:val="24"/>
                <w:u w:val="none" w:color="auto"/>
              </w:rPr>
              <w:t xml:space="preserve"> </w:t>
            </w:r>
            <w:r>
              <w:rPr>
                <w:rFonts w:ascii="Times New Roman" w:hAnsi="Times New Roman" w:cs="Times New Roman"/>
                <w:color w:val="auto"/>
                <w:sz w:val="24"/>
                <w:szCs w:val="24"/>
                <w:u w:val="none" w:color="auto"/>
              </w:rPr>
              <w:t>(</w:t>
            </w:r>
            <w:r>
              <w:rPr>
                <w:rFonts w:ascii="Times New Roman" w:hAnsi="Times New Roman" w:cs="Times New Roman"/>
                <w:i/>
                <w:color w:val="auto"/>
                <w:sz w:val="24"/>
                <w:szCs w:val="24"/>
                <w:u w:val="none" w:color="auto"/>
              </w:rPr>
              <w:t>T</w:t>
            </w:r>
            <w:r>
              <w:rPr>
                <w:rFonts w:ascii="Times New Roman" w:hAnsi="Times New Roman" w:cs="Times New Roman"/>
                <w:i/>
                <w:color w:val="auto"/>
                <w:spacing w:val="-14"/>
                <w:sz w:val="24"/>
                <w:szCs w:val="24"/>
                <w:u w:val="none" w:color="auto"/>
              </w:rPr>
              <w:t xml:space="preserve"> </w:t>
            </w:r>
            <w:r>
              <w:rPr>
                <w:rFonts w:ascii="Times New Roman" w:hAnsi="Times New Roman" w:cs="Times New Roman"/>
                <w:color w:val="auto"/>
                <w:spacing w:val="7"/>
                <w:sz w:val="24"/>
                <w:szCs w:val="24"/>
                <w:u w:val="none" w:color="auto"/>
              </w:rPr>
              <w:t>)</w:t>
            </w:r>
            <w:r>
              <w:rPr>
                <w:rFonts w:ascii="Times New Roman" w:hAnsi="Times New Roman" w:cs="Times New Roman"/>
                <w:color w:val="auto"/>
                <w:spacing w:val="-46"/>
                <w:sz w:val="24"/>
                <w:szCs w:val="24"/>
                <w:u w:val="none" w:color="auto"/>
              </w:rPr>
              <w:t xml:space="preserve"> </w:t>
            </w:r>
            <w:r>
              <w:rPr>
                <w:rFonts w:ascii="Times New Roman" w:hAnsi="Times New Roman" w:cs="Times New Roman"/>
                <w:color w:val="auto"/>
                <w:position w:val="1"/>
                <w:sz w:val="24"/>
                <w:szCs w:val="24"/>
                <w:u w:val="none" w:color="auto"/>
              </w:rPr>
              <w:t>——</w:t>
            </w:r>
            <w:r>
              <w:rPr>
                <w:rFonts w:ascii="Times New Roman" w:hAnsi="Times New Roman" w:cs="Times New Roman"/>
                <w:color w:val="auto"/>
                <w:spacing w:val="-9"/>
                <w:position w:val="1"/>
                <w:sz w:val="24"/>
                <w:szCs w:val="24"/>
                <w:u w:val="none" w:color="auto"/>
              </w:rPr>
              <w:t xml:space="preserve">靠近围护结构处室内 </w:t>
            </w:r>
            <w:r>
              <w:rPr>
                <w:rFonts w:ascii="Times New Roman" w:hAnsi="Times New Roman" w:cs="Times New Roman"/>
                <w:i/>
                <w:color w:val="auto"/>
                <w:position w:val="1"/>
                <w:sz w:val="24"/>
                <w:szCs w:val="24"/>
                <w:u w:val="none" w:color="auto"/>
              </w:rPr>
              <w:t>N</w:t>
            </w:r>
            <w:r>
              <w:rPr>
                <w:rFonts w:ascii="Times New Roman" w:hAnsi="Times New Roman" w:cs="Times New Roman"/>
                <w:i/>
                <w:color w:val="auto"/>
                <w:spacing w:val="-6"/>
                <w:position w:val="1"/>
                <w:sz w:val="24"/>
                <w:szCs w:val="24"/>
                <w:u w:val="none" w:color="auto"/>
              </w:rPr>
              <w:t xml:space="preserve"> </w:t>
            </w:r>
            <w:r>
              <w:rPr>
                <w:rFonts w:ascii="Times New Roman" w:hAnsi="Times New Roman" w:cs="Times New Roman"/>
                <w:color w:val="auto"/>
                <w:spacing w:val="-17"/>
                <w:position w:val="1"/>
                <w:sz w:val="24"/>
                <w:szCs w:val="24"/>
                <w:u w:val="none" w:color="auto"/>
              </w:rPr>
              <w:t xml:space="preserve">个声源 </w:t>
            </w:r>
            <w:r>
              <w:rPr>
                <w:rFonts w:ascii="Times New Roman" w:hAnsi="Times New Roman" w:cs="Times New Roman"/>
                <w:i/>
                <w:color w:val="auto"/>
                <w:position w:val="1"/>
                <w:sz w:val="24"/>
                <w:szCs w:val="24"/>
                <w:u w:val="none" w:color="auto"/>
              </w:rPr>
              <w:t>i</w:t>
            </w:r>
            <w:r>
              <w:rPr>
                <w:rFonts w:ascii="Times New Roman" w:hAnsi="Times New Roman" w:cs="Times New Roman"/>
                <w:i/>
                <w:color w:val="auto"/>
                <w:spacing w:val="-10"/>
                <w:position w:val="1"/>
                <w:sz w:val="24"/>
                <w:szCs w:val="24"/>
                <w:u w:val="none" w:color="auto"/>
              </w:rPr>
              <w:t xml:space="preserve"> </w:t>
            </w:r>
            <w:r>
              <w:rPr>
                <w:rFonts w:ascii="Times New Roman" w:hAnsi="Times New Roman" w:cs="Times New Roman"/>
                <w:color w:val="auto"/>
                <w:spacing w:val="-3"/>
                <w:position w:val="1"/>
                <w:sz w:val="24"/>
                <w:szCs w:val="24"/>
                <w:u w:val="none" w:color="auto"/>
              </w:rPr>
              <w:t>倍频带的叠加声压级，</w:t>
            </w:r>
            <w:r>
              <w:rPr>
                <w:rFonts w:ascii="Times New Roman" w:hAnsi="Times New Roman" w:cs="Times New Roman"/>
                <w:color w:val="auto"/>
                <w:position w:val="1"/>
                <w:sz w:val="24"/>
                <w:szCs w:val="24"/>
                <w:u w:val="none" w:color="auto"/>
              </w:rPr>
              <w:t>dB；</w:t>
            </w:r>
          </w:p>
          <w:p w14:paraId="446339EE">
            <w:pPr>
              <w:widowControl/>
              <w:adjustRightInd w:val="0"/>
              <w:snapToGrid w:val="0"/>
              <w:spacing w:line="360" w:lineRule="auto"/>
              <w:ind w:firstLine="1140" w:firstLineChars="500"/>
              <w:rPr>
                <w:rFonts w:ascii="Times New Roman" w:hAnsi="Times New Roman" w:cs="Times New Roman"/>
                <w:color w:val="auto"/>
                <w:sz w:val="24"/>
                <w:szCs w:val="24"/>
                <w:u w:val="none" w:color="auto"/>
              </w:rPr>
            </w:pPr>
            <w:r>
              <w:rPr>
                <w:rFonts w:ascii="Times New Roman" w:hAnsi="Times New Roman" w:cs="Times New Roman"/>
                <w:i/>
                <w:color w:val="auto"/>
                <w:spacing w:val="-6"/>
                <w:position w:val="3"/>
                <w:sz w:val="24"/>
                <w:szCs w:val="24"/>
                <w:u w:val="none" w:color="auto"/>
              </w:rPr>
              <w:t>TL</w:t>
            </w:r>
            <w:r>
              <w:rPr>
                <w:rFonts w:ascii="Times New Roman" w:hAnsi="Times New Roman" w:cs="Times New Roman"/>
                <w:i/>
                <w:color w:val="auto"/>
                <w:spacing w:val="-6"/>
                <w:position w:val="-2"/>
                <w:sz w:val="24"/>
                <w:szCs w:val="24"/>
                <w:u w:val="none" w:color="auto"/>
              </w:rPr>
              <w:t>i</w:t>
            </w:r>
            <w:r>
              <w:rPr>
                <w:rFonts w:ascii="Times New Roman" w:hAnsi="Times New Roman" w:cs="Times New Roman"/>
                <w:i/>
                <w:color w:val="auto"/>
                <w:spacing w:val="6"/>
                <w:position w:val="-2"/>
                <w:sz w:val="24"/>
                <w:szCs w:val="24"/>
                <w:u w:val="none" w:color="auto"/>
              </w:rPr>
              <w:t xml:space="preserve"> </w:t>
            </w:r>
            <w:r>
              <w:rPr>
                <w:rFonts w:ascii="Times New Roman" w:hAnsi="Times New Roman" w:cs="Times New Roman"/>
                <w:color w:val="auto"/>
                <w:position w:val="1"/>
                <w:sz w:val="24"/>
                <w:szCs w:val="24"/>
                <w:u w:val="none" w:color="auto"/>
              </w:rPr>
              <w:t>——</w:t>
            </w:r>
            <w:r>
              <w:rPr>
                <w:rFonts w:ascii="Times New Roman" w:hAnsi="Times New Roman" w:cs="Times New Roman"/>
                <w:color w:val="auto"/>
                <w:spacing w:val="-13"/>
                <w:sz w:val="24"/>
                <w:szCs w:val="24"/>
                <w:u w:val="none" w:color="auto"/>
              </w:rPr>
              <w:t xml:space="preserve">围护结构 </w:t>
            </w:r>
            <w:r>
              <w:rPr>
                <w:rFonts w:ascii="Times New Roman" w:hAnsi="Times New Roman" w:cs="Times New Roman"/>
                <w:i/>
                <w:color w:val="auto"/>
                <w:position w:val="1"/>
                <w:sz w:val="24"/>
                <w:szCs w:val="24"/>
                <w:u w:val="none" w:color="auto"/>
              </w:rPr>
              <w:t>i</w:t>
            </w:r>
            <w:r>
              <w:rPr>
                <w:rFonts w:ascii="Times New Roman" w:hAnsi="Times New Roman" w:cs="Times New Roman"/>
                <w:i/>
                <w:color w:val="auto"/>
                <w:spacing w:val="-1"/>
                <w:position w:val="1"/>
                <w:sz w:val="24"/>
                <w:szCs w:val="24"/>
                <w:u w:val="none" w:color="auto"/>
              </w:rPr>
              <w:t xml:space="preserve"> </w:t>
            </w:r>
            <w:r>
              <w:rPr>
                <w:rFonts w:ascii="Times New Roman" w:hAnsi="Times New Roman" w:cs="Times New Roman"/>
                <w:color w:val="auto"/>
                <w:spacing w:val="-3"/>
                <w:sz w:val="24"/>
                <w:szCs w:val="24"/>
                <w:u w:val="none" w:color="auto"/>
              </w:rPr>
              <w:t>倍频带的隔声量，</w:t>
            </w:r>
            <w:r>
              <w:rPr>
                <w:rFonts w:ascii="Times New Roman" w:hAnsi="Times New Roman" w:cs="Times New Roman"/>
                <w:color w:val="auto"/>
                <w:position w:val="1"/>
                <w:sz w:val="24"/>
                <w:szCs w:val="24"/>
                <w:u w:val="none" w:color="auto"/>
              </w:rPr>
              <w:t>dB</w:t>
            </w:r>
            <w:r>
              <w:rPr>
                <w:rFonts w:ascii="Times New Roman" w:hAnsi="Times New Roman" w:cs="Times New Roman"/>
                <w:color w:val="auto"/>
                <w:sz w:val="24"/>
                <w:szCs w:val="24"/>
                <w:u w:val="none" w:color="auto"/>
              </w:rPr>
              <w:t>。</w:t>
            </w:r>
          </w:p>
          <w:p w14:paraId="03901DE4">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bookmarkStart w:id="19" w:name="_Toc380531193"/>
            <w:bookmarkEnd w:id="19"/>
            <w:r>
              <w:rPr>
                <w:rFonts w:ascii="Times New Roman" w:hAnsi="Times New Roman" w:eastAsia="宋体" w:cs="Times New Roman"/>
                <w:color w:val="auto"/>
                <w:sz w:val="24"/>
                <w:szCs w:val="24"/>
                <w:u w:val="none" w:color="auto"/>
              </w:rPr>
              <w:t>④将室外声</w:t>
            </w:r>
            <w:r>
              <w:rPr>
                <w:rFonts w:hint="default" w:ascii="Times New Roman" w:hAnsi="Times New Roman" w:eastAsia="宋体" w:cs="Times New Roman"/>
                <w:color w:val="auto"/>
                <w:sz w:val="24"/>
                <w:szCs w:val="24"/>
                <w:u w:val="none" w:color="auto"/>
              </w:rPr>
              <w:t>源的声压级</w:t>
            </w:r>
            <w:r>
              <w:rPr>
                <w:rFonts w:ascii="Times New Roman" w:hAnsi="Times New Roman" w:eastAsia="宋体" w:cs="Times New Roman"/>
                <w:color w:val="auto"/>
                <w:sz w:val="24"/>
                <w:szCs w:val="24"/>
                <w:u w:val="none" w:color="auto"/>
              </w:rPr>
              <w:t>和透</w:t>
            </w:r>
            <w:r>
              <w:rPr>
                <w:rFonts w:hint="default" w:ascii="Times New Roman" w:hAnsi="Times New Roman" w:eastAsia="宋体" w:cs="Times New Roman"/>
                <w:color w:val="auto"/>
                <w:sz w:val="24"/>
                <w:szCs w:val="24"/>
                <w:u w:val="none" w:color="auto"/>
              </w:rPr>
              <w:t>过</w:t>
            </w:r>
            <w:r>
              <w:rPr>
                <w:rFonts w:ascii="Times New Roman" w:hAnsi="Times New Roman" w:eastAsia="宋体" w:cs="Times New Roman"/>
                <w:color w:val="auto"/>
                <w:sz w:val="24"/>
                <w:szCs w:val="24"/>
                <w:u w:val="none" w:color="auto"/>
              </w:rPr>
              <w:t>面积换算成等效的室外声源，计算出</w:t>
            </w:r>
            <w:r>
              <w:rPr>
                <w:rFonts w:hint="default" w:ascii="Times New Roman" w:hAnsi="Times New Roman" w:eastAsia="宋体" w:cs="Times New Roman"/>
                <w:color w:val="auto"/>
                <w:sz w:val="24"/>
                <w:szCs w:val="24"/>
                <w:u w:val="none" w:color="auto"/>
              </w:rPr>
              <w:t>中心位置位于透声面积（S）处的</w:t>
            </w:r>
            <w:r>
              <w:rPr>
                <w:rFonts w:ascii="Times New Roman" w:hAnsi="Times New Roman" w:eastAsia="宋体" w:cs="Times New Roman"/>
                <w:color w:val="auto"/>
                <w:sz w:val="24"/>
                <w:szCs w:val="24"/>
                <w:u w:val="none" w:color="auto"/>
              </w:rPr>
              <w:t>等效声源</w:t>
            </w:r>
            <w:r>
              <w:rPr>
                <w:rFonts w:hint="default" w:ascii="Times New Roman" w:hAnsi="Times New Roman" w:eastAsia="宋体" w:cs="Times New Roman"/>
                <w:color w:val="auto"/>
                <w:sz w:val="24"/>
                <w:szCs w:val="24"/>
                <w:u w:val="none" w:color="auto"/>
              </w:rPr>
              <w:t>的</w:t>
            </w:r>
            <w:r>
              <w:rPr>
                <w:rFonts w:ascii="Times New Roman" w:hAnsi="Times New Roman" w:eastAsia="宋体" w:cs="Times New Roman"/>
                <w:color w:val="auto"/>
                <w:sz w:val="24"/>
                <w:szCs w:val="24"/>
                <w:u w:val="none" w:color="auto"/>
              </w:rPr>
              <w:t>倍频带声功率级；</w:t>
            </w:r>
          </w:p>
          <w:p w14:paraId="42FB4A89">
            <w:pPr>
              <w:widowControl/>
              <w:snapToGrid w:val="0"/>
              <w:spacing w:line="360" w:lineRule="auto"/>
              <w:jc w:val="center"/>
              <w:rPr>
                <w:rFonts w:ascii="Times New Roman" w:hAnsi="Times New Roman" w:cs="Times New Roman"/>
                <w:color w:val="auto"/>
                <w:sz w:val="24"/>
                <w:szCs w:val="24"/>
                <w:u w:val="none" w:color="auto"/>
              </w:rPr>
            </w:pPr>
            <w:r>
              <w:rPr>
                <w:rFonts w:ascii="Times New Roman" w:hAnsi="Times New Roman" w:cs="Times New Roman"/>
                <w:color w:val="auto"/>
                <w:u w:val="none" w:color="auto"/>
              </w:rPr>
              <w:drawing>
                <wp:inline distT="0" distB="0" distL="114300" distR="114300">
                  <wp:extent cx="1407795" cy="215900"/>
                  <wp:effectExtent l="0" t="0" r="1905" b="1270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25"/>
                          <a:stretch>
                            <a:fillRect/>
                          </a:stretch>
                        </pic:blipFill>
                        <pic:spPr>
                          <a:xfrm>
                            <a:off x="0" y="0"/>
                            <a:ext cx="1407795" cy="215900"/>
                          </a:xfrm>
                          <a:prstGeom prst="rect">
                            <a:avLst/>
                          </a:prstGeom>
                          <a:noFill/>
                          <a:ln>
                            <a:noFill/>
                          </a:ln>
                        </pic:spPr>
                      </pic:pic>
                    </a:graphicData>
                  </a:graphic>
                </wp:inline>
              </w:drawing>
            </w:r>
          </w:p>
          <w:p w14:paraId="6F82789C">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113" w:firstLine="480" w:firstLineChars="200"/>
              <w:textAlignment w:val="auto"/>
              <w:rPr>
                <w:rFonts w:ascii="Times New Roman" w:hAnsi="Times New Roman" w:cs="Times New Roman"/>
                <w:color w:val="auto"/>
                <w:position w:val="2"/>
                <w:sz w:val="24"/>
                <w:szCs w:val="24"/>
                <w:u w:val="none" w:color="auto"/>
              </w:rPr>
            </w:pPr>
            <w:r>
              <w:rPr>
                <w:rFonts w:ascii="Times New Roman" w:hAnsi="Times New Roman" w:cs="Times New Roman"/>
                <w:color w:val="auto"/>
                <w:sz w:val="24"/>
                <w:szCs w:val="24"/>
                <w:u w:val="none" w:color="auto"/>
              </w:rPr>
              <w:t>式中：</w:t>
            </w:r>
            <w:r>
              <w:rPr>
                <w:rFonts w:ascii="Times New Roman" w:hAnsi="Times New Roman" w:cs="Times New Roman"/>
                <w:i/>
                <w:color w:val="auto"/>
                <w:position w:val="3"/>
                <w:sz w:val="24"/>
                <w:szCs w:val="24"/>
                <w:u w:val="none" w:color="auto"/>
              </w:rPr>
              <w:t>L</w:t>
            </w:r>
            <w:r>
              <w:rPr>
                <w:rFonts w:ascii="Times New Roman" w:hAnsi="Times New Roman" w:cs="Times New Roman"/>
                <w:i/>
                <w:color w:val="auto"/>
                <w:sz w:val="24"/>
                <w:szCs w:val="24"/>
                <w:u w:val="none" w:color="auto"/>
              </w:rPr>
              <w:t xml:space="preserve">w </w:t>
            </w:r>
            <w:r>
              <w:rPr>
                <w:rFonts w:ascii="Times New Roman" w:hAnsi="Times New Roman" w:cs="Times New Roman"/>
                <w:color w:val="auto"/>
                <w:position w:val="3"/>
                <w:sz w:val="24"/>
                <w:szCs w:val="24"/>
                <w:u w:val="none" w:color="auto"/>
              </w:rPr>
              <w:t>——</w:t>
            </w:r>
            <w:r>
              <w:rPr>
                <w:rFonts w:ascii="Times New Roman" w:hAnsi="Times New Roman" w:cs="Times New Roman"/>
                <w:color w:val="auto"/>
                <w:position w:val="2"/>
                <w:sz w:val="24"/>
                <w:szCs w:val="24"/>
                <w:u w:val="none" w:color="auto"/>
              </w:rPr>
              <w:t>中心位置位于透声面积（</w:t>
            </w:r>
            <w:r>
              <w:rPr>
                <w:rFonts w:ascii="Times New Roman" w:hAnsi="Times New Roman" w:cs="Times New Roman"/>
                <w:i/>
                <w:color w:val="auto"/>
                <w:position w:val="3"/>
                <w:sz w:val="24"/>
                <w:szCs w:val="24"/>
                <w:u w:val="none" w:color="auto"/>
              </w:rPr>
              <w:t>S</w:t>
            </w:r>
            <w:r>
              <w:rPr>
                <w:rFonts w:ascii="Times New Roman" w:hAnsi="Times New Roman" w:cs="Times New Roman"/>
                <w:color w:val="auto"/>
                <w:position w:val="2"/>
                <w:sz w:val="24"/>
                <w:szCs w:val="24"/>
                <w:u w:val="none" w:color="auto"/>
              </w:rPr>
              <w:t>）处的等效声源的倍频带声功率级，</w:t>
            </w:r>
            <w:r>
              <w:rPr>
                <w:rFonts w:ascii="Times New Roman" w:hAnsi="Times New Roman" w:cs="Times New Roman"/>
                <w:color w:val="auto"/>
                <w:position w:val="3"/>
                <w:sz w:val="24"/>
                <w:szCs w:val="24"/>
                <w:u w:val="none" w:color="auto"/>
              </w:rPr>
              <w:t>dB</w:t>
            </w:r>
            <w:r>
              <w:rPr>
                <w:rFonts w:ascii="Times New Roman" w:hAnsi="Times New Roman" w:cs="Times New Roman"/>
                <w:color w:val="auto"/>
                <w:position w:val="2"/>
                <w:sz w:val="24"/>
                <w:szCs w:val="24"/>
                <w:u w:val="none" w:color="auto"/>
              </w:rPr>
              <w:t>；</w:t>
            </w:r>
          </w:p>
          <w:p w14:paraId="4D46889B">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113" w:firstLine="1200" w:firstLineChars="500"/>
              <w:textAlignment w:val="auto"/>
              <w:rPr>
                <w:rFonts w:ascii="Times New Roman" w:hAnsi="Times New Roman" w:cs="Times New Roman"/>
                <w:color w:val="auto"/>
                <w:sz w:val="24"/>
                <w:szCs w:val="24"/>
                <w:u w:val="none" w:color="auto"/>
              </w:rPr>
            </w:pPr>
            <w:r>
              <w:rPr>
                <w:rFonts w:ascii="Times New Roman" w:hAnsi="Times New Roman" w:cs="Times New Roman"/>
                <w:i/>
                <w:color w:val="auto"/>
                <w:position w:val="1"/>
                <w:sz w:val="24"/>
                <w:szCs w:val="24"/>
                <w:u w:val="none" w:color="auto"/>
              </w:rPr>
              <w:t>L</w:t>
            </w:r>
            <w:r>
              <w:rPr>
                <w:rFonts w:ascii="Times New Roman" w:hAnsi="Times New Roman" w:cs="Times New Roman"/>
                <w:i/>
                <w:color w:val="auto"/>
                <w:position w:val="1"/>
                <w:sz w:val="24"/>
                <w:szCs w:val="24"/>
                <w:u w:val="none" w:color="auto"/>
                <w:vertAlign w:val="subscript"/>
              </w:rPr>
              <w:t>p</w:t>
            </w:r>
            <w:r>
              <w:rPr>
                <w:rFonts w:ascii="Times New Roman" w:hAnsi="Times New Roman" w:cs="Times New Roman"/>
                <w:color w:val="auto"/>
                <w:position w:val="1"/>
                <w:sz w:val="24"/>
                <w:szCs w:val="24"/>
                <w:u w:val="none" w:color="auto"/>
                <w:vertAlign w:val="subscript"/>
              </w:rPr>
              <w:t>2</w:t>
            </w:r>
            <w:r>
              <w:rPr>
                <w:rFonts w:ascii="Times New Roman" w:hAnsi="Times New Roman" w:cs="Times New Roman"/>
                <w:color w:val="auto"/>
                <w:position w:val="1"/>
                <w:sz w:val="24"/>
                <w:szCs w:val="24"/>
                <w:u w:val="none" w:color="auto"/>
              </w:rPr>
              <w:t>(</w:t>
            </w:r>
            <w:r>
              <w:rPr>
                <w:rFonts w:ascii="Times New Roman" w:hAnsi="Times New Roman" w:cs="Times New Roman"/>
                <w:i/>
                <w:color w:val="auto"/>
                <w:position w:val="1"/>
                <w:sz w:val="24"/>
                <w:szCs w:val="24"/>
                <w:u w:val="none" w:color="auto"/>
              </w:rPr>
              <w:t>T</w:t>
            </w:r>
            <w:r>
              <w:rPr>
                <w:rFonts w:ascii="Times New Roman" w:hAnsi="Times New Roman" w:cs="Times New Roman"/>
                <w:color w:val="auto"/>
                <w:position w:val="1"/>
                <w:sz w:val="24"/>
                <w:szCs w:val="24"/>
                <w:u w:val="none" w:color="auto"/>
              </w:rPr>
              <w:t>)——</w:t>
            </w:r>
            <w:r>
              <w:rPr>
                <w:rFonts w:ascii="Times New Roman" w:hAnsi="Times New Roman" w:cs="Times New Roman"/>
                <w:color w:val="auto"/>
                <w:sz w:val="24"/>
                <w:szCs w:val="24"/>
                <w:u w:val="none" w:color="auto"/>
              </w:rPr>
              <w:t>靠近围护结构处室外声源的声压级，</w:t>
            </w:r>
            <w:r>
              <w:rPr>
                <w:rFonts w:ascii="Times New Roman" w:hAnsi="Times New Roman" w:cs="Times New Roman"/>
                <w:color w:val="auto"/>
                <w:position w:val="1"/>
                <w:sz w:val="24"/>
                <w:szCs w:val="24"/>
                <w:u w:val="none" w:color="auto"/>
              </w:rPr>
              <w:t>dB</w:t>
            </w:r>
            <w:r>
              <w:rPr>
                <w:rFonts w:ascii="Times New Roman" w:hAnsi="Times New Roman" w:cs="Times New Roman"/>
                <w:color w:val="auto"/>
                <w:sz w:val="24"/>
                <w:szCs w:val="24"/>
                <w:u w:val="none" w:color="auto"/>
              </w:rPr>
              <w:t>；</w:t>
            </w:r>
          </w:p>
          <w:p w14:paraId="15C579CC">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113" w:firstLine="1200" w:firstLineChars="500"/>
              <w:textAlignment w:val="auto"/>
              <w:rPr>
                <w:rFonts w:ascii="Times New Roman" w:hAnsi="Times New Roman" w:cs="Times New Roman"/>
                <w:color w:val="auto"/>
                <w:sz w:val="24"/>
                <w:szCs w:val="24"/>
                <w:u w:val="none" w:color="auto"/>
              </w:rPr>
            </w:pPr>
            <w:r>
              <w:rPr>
                <w:rFonts w:ascii="Times New Roman" w:hAnsi="Times New Roman" w:cs="Times New Roman"/>
                <w:i/>
                <w:color w:val="auto"/>
                <w:position w:val="1"/>
                <w:sz w:val="24"/>
                <w:szCs w:val="24"/>
                <w:u w:val="none" w:color="auto"/>
              </w:rPr>
              <w:t>S</w:t>
            </w:r>
            <w:r>
              <w:rPr>
                <w:rFonts w:ascii="Times New Roman" w:hAnsi="Times New Roman" w:cs="Times New Roman"/>
                <w:color w:val="auto"/>
                <w:position w:val="1"/>
                <w:sz w:val="24"/>
                <w:szCs w:val="24"/>
                <w:u w:val="none" w:color="auto"/>
              </w:rPr>
              <w:t>——</w:t>
            </w:r>
            <w:r>
              <w:rPr>
                <w:rFonts w:ascii="Times New Roman" w:hAnsi="Times New Roman" w:cs="Times New Roman"/>
                <w:color w:val="auto"/>
                <w:sz w:val="24"/>
                <w:szCs w:val="24"/>
                <w:u w:val="none" w:color="auto"/>
              </w:rPr>
              <w:t>透声面积，</w:t>
            </w:r>
            <w:r>
              <w:rPr>
                <w:rFonts w:ascii="Times New Roman" w:hAnsi="Times New Roman" w:cs="Times New Roman"/>
                <w:color w:val="auto"/>
                <w:position w:val="1"/>
                <w:sz w:val="24"/>
                <w:szCs w:val="24"/>
                <w:u w:val="none" w:color="auto"/>
              </w:rPr>
              <w:t>m</w:t>
            </w:r>
            <w:r>
              <w:rPr>
                <w:rFonts w:ascii="Times New Roman" w:hAnsi="Times New Roman" w:cs="Times New Roman"/>
                <w:color w:val="auto"/>
                <w:position w:val="1"/>
                <w:sz w:val="24"/>
                <w:szCs w:val="24"/>
                <w:u w:val="none" w:color="auto"/>
                <w:vertAlign w:val="superscript"/>
              </w:rPr>
              <w:t>2</w:t>
            </w:r>
            <w:r>
              <w:rPr>
                <w:rFonts w:ascii="Times New Roman" w:hAnsi="Times New Roman" w:cs="Times New Roman"/>
                <w:color w:val="auto"/>
                <w:sz w:val="24"/>
                <w:szCs w:val="24"/>
                <w:u w:val="none" w:color="auto"/>
              </w:rPr>
              <w:t>。</w:t>
            </w:r>
          </w:p>
          <w:p w14:paraId="4D43664D">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然后按室外声源预测方法计算预测点处的A 声级。</w:t>
            </w:r>
            <w:bookmarkStart w:id="20" w:name="_Toc380531194"/>
            <w:bookmarkEnd w:id="20"/>
          </w:p>
          <w:p w14:paraId="515F5886">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right="0" w:firstLine="480" w:firstLineChars="200"/>
              <w:textAlignment w:val="auto"/>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2、预测步骤</w:t>
            </w:r>
          </w:p>
          <w:p w14:paraId="33A8315F">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（1）以本项目厂区中部为坐标原点，建立一个坐标系，确定各噪声源及厂界预测点坐标。</w:t>
            </w:r>
          </w:p>
          <w:p w14:paraId="405CDD7D">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（2）根据已获得的声源参数和声波从声源到预测点的传播条件，计算出各声源单独作用在预测点时产生的A声级Li：</w:t>
            </w:r>
          </w:p>
          <w:p w14:paraId="45D5FF01">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（3）将各声源对某预测点的A声级按下式叠加，得到该预测点的声级值L</w:t>
            </w:r>
            <w:r>
              <w:rPr>
                <w:rFonts w:hint="default" w:ascii="Times New Roman" w:hAnsi="Times New Roman" w:cs="Times New Roman"/>
                <w:color w:val="auto"/>
                <w:sz w:val="24"/>
                <w:szCs w:val="24"/>
                <w:u w:val="none" w:color="auto"/>
                <w:vertAlign w:val="subscript"/>
              </w:rPr>
              <w:t>eqg</w:t>
            </w:r>
            <w:r>
              <w:rPr>
                <w:rFonts w:ascii="Times New Roman" w:hAnsi="Times New Roman" w:cs="Times New Roman"/>
                <w:color w:val="auto"/>
                <w:sz w:val="24"/>
                <w:szCs w:val="24"/>
                <w:u w:val="none" w:color="auto"/>
              </w:rPr>
              <w:t>：</w:t>
            </w:r>
          </w:p>
          <w:p w14:paraId="7FF0F2D9">
            <w:pPr>
              <w:widowControl/>
              <w:snapToGrid w:val="0"/>
              <w:spacing w:line="360" w:lineRule="auto"/>
              <w:ind w:firstLine="420" w:firstLineChars="200"/>
              <w:jc w:val="center"/>
              <w:rPr>
                <w:rFonts w:ascii="Times New Roman" w:hAnsi="Times New Roman" w:cs="Times New Roman"/>
                <w:color w:val="auto"/>
                <w:sz w:val="24"/>
                <w:szCs w:val="24"/>
                <w:u w:val="none" w:color="auto"/>
              </w:rPr>
            </w:pPr>
            <w:r>
              <w:rPr>
                <w:rFonts w:ascii="Times New Roman" w:hAnsi="Times New Roman" w:cs="Times New Roman"/>
                <w:color w:val="auto"/>
                <w:u w:val="none" w:color="auto"/>
              </w:rPr>
              <w:drawing>
                <wp:inline distT="0" distB="0" distL="114300" distR="114300">
                  <wp:extent cx="2085975" cy="514350"/>
                  <wp:effectExtent l="0" t="0" r="9525" b="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26"/>
                          <a:stretch>
                            <a:fillRect/>
                          </a:stretch>
                        </pic:blipFill>
                        <pic:spPr>
                          <a:xfrm>
                            <a:off x="0" y="0"/>
                            <a:ext cx="2085975" cy="514350"/>
                          </a:xfrm>
                          <a:prstGeom prst="rect">
                            <a:avLst/>
                          </a:prstGeom>
                          <a:noFill/>
                          <a:ln>
                            <a:noFill/>
                          </a:ln>
                        </pic:spPr>
                      </pic:pic>
                    </a:graphicData>
                  </a:graphic>
                </wp:inline>
              </w:drawing>
            </w:r>
          </w:p>
          <w:p w14:paraId="797FA8B3">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w:t>
            </w:r>
            <w:r>
              <w:rPr>
                <w:rFonts w:ascii="Times New Roman" w:hAnsi="Times New Roman" w:eastAsia="宋体" w:cs="Times New Roman"/>
                <w:color w:val="auto"/>
                <w:sz w:val="24"/>
                <w:szCs w:val="24"/>
                <w:u w:val="none" w:color="auto"/>
              </w:rPr>
              <w:t>预测结果</w:t>
            </w:r>
          </w:p>
          <w:p w14:paraId="5EE86D89">
            <w:pPr>
              <w:keepNext w:val="0"/>
              <w:keepLines w:val="0"/>
              <w:pageBreakBefore w:val="0"/>
              <w:widowControl/>
              <w:kinsoku/>
              <w:wordWrap/>
              <w:overflowPunct/>
              <w:topLinePunct w:val="0"/>
              <w:autoSpaceDE/>
              <w:autoSpaceDN/>
              <w:bidi w:val="0"/>
              <w:snapToGrid w:val="0"/>
              <w:spacing w:line="360" w:lineRule="auto"/>
              <w:ind w:left="0" w:right="0"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通过对建设项目噪声源强及噪声的防治措施和衰减特性分析，本项目对各厂界</w:t>
            </w:r>
            <w:r>
              <w:rPr>
                <w:rFonts w:hint="default" w:ascii="Times New Roman" w:hAnsi="Times New Roman" w:eastAsia="宋体" w:cs="Times New Roman"/>
                <w:color w:val="auto"/>
                <w:sz w:val="24"/>
                <w:szCs w:val="24"/>
                <w:u w:val="none" w:color="auto"/>
                <w:lang w:val="en-US" w:eastAsia="zh-CN"/>
              </w:rPr>
              <w:t>噪声</w:t>
            </w:r>
            <w:r>
              <w:rPr>
                <w:rFonts w:ascii="Times New Roman" w:hAnsi="Times New Roman" w:eastAsia="宋体" w:cs="Times New Roman"/>
                <w:color w:val="auto"/>
                <w:sz w:val="24"/>
                <w:szCs w:val="24"/>
                <w:u w:val="none" w:color="auto"/>
              </w:rPr>
              <w:t>影响结果见下表。</w:t>
            </w:r>
          </w:p>
          <w:p w14:paraId="51C4BB12">
            <w:pPr>
              <w:jc w:val="center"/>
              <w:rPr>
                <w:rFonts w:ascii="Times New Roman" w:hAnsi="Times New Roman" w:eastAsia="宋体" w:cs="Times New Roman"/>
                <w:b/>
                <w:bCs/>
                <w:color w:val="auto"/>
                <w:kern w:val="0"/>
                <w:sz w:val="24"/>
                <w:szCs w:val="24"/>
                <w:u w:val="none" w:color="auto"/>
              </w:rPr>
            </w:pPr>
            <w:r>
              <w:rPr>
                <w:rFonts w:ascii="Times New Roman" w:hAnsi="Times New Roman" w:eastAsia="宋体" w:cs="Times New Roman"/>
                <w:b/>
                <w:bCs/>
                <w:color w:val="auto"/>
                <w:kern w:val="0"/>
                <w:sz w:val="24"/>
                <w:szCs w:val="24"/>
                <w:u w:val="none" w:color="auto"/>
              </w:rPr>
              <w:t>表</w:t>
            </w:r>
            <w:r>
              <w:rPr>
                <w:rFonts w:hint="default" w:ascii="Times New Roman" w:hAnsi="Times New Roman" w:eastAsia="宋体" w:cs="Times New Roman"/>
                <w:b/>
                <w:bCs/>
                <w:color w:val="auto"/>
                <w:kern w:val="0"/>
                <w:sz w:val="24"/>
                <w:szCs w:val="24"/>
                <w:u w:val="none" w:color="auto"/>
              </w:rPr>
              <w:t>4</w:t>
            </w:r>
            <w:r>
              <w:rPr>
                <w:rFonts w:ascii="Times New Roman" w:hAnsi="Times New Roman" w:eastAsia="宋体" w:cs="Times New Roman"/>
                <w:b/>
                <w:bCs/>
                <w:color w:val="auto"/>
                <w:kern w:val="0"/>
                <w:sz w:val="24"/>
                <w:szCs w:val="24"/>
                <w:u w:val="none" w:color="auto"/>
              </w:rPr>
              <w:t>-</w:t>
            </w:r>
            <w:r>
              <w:rPr>
                <w:rFonts w:hint="eastAsia" w:ascii="Times New Roman" w:hAnsi="Times New Roman" w:eastAsia="宋体" w:cs="Times New Roman"/>
                <w:b/>
                <w:bCs/>
                <w:color w:val="auto"/>
                <w:kern w:val="0"/>
                <w:sz w:val="24"/>
                <w:szCs w:val="24"/>
                <w:u w:val="none" w:color="auto"/>
                <w:lang w:val="en-US" w:eastAsia="zh-CN"/>
              </w:rPr>
              <w:t>6</w:t>
            </w:r>
            <w:r>
              <w:rPr>
                <w:rFonts w:ascii="Times New Roman" w:hAnsi="Times New Roman" w:eastAsia="宋体" w:cs="Times New Roman"/>
                <w:b/>
                <w:bCs/>
                <w:color w:val="auto"/>
                <w:kern w:val="0"/>
                <w:sz w:val="24"/>
                <w:szCs w:val="24"/>
                <w:u w:val="none" w:color="auto"/>
              </w:rPr>
              <w:t xml:space="preserve">  项目</w:t>
            </w:r>
            <w:r>
              <w:rPr>
                <w:rFonts w:hint="default" w:ascii="Times New Roman" w:hAnsi="Times New Roman" w:eastAsia="宋体" w:cs="Times New Roman"/>
                <w:b/>
                <w:bCs/>
                <w:color w:val="auto"/>
                <w:kern w:val="0"/>
                <w:sz w:val="24"/>
                <w:szCs w:val="24"/>
                <w:u w:val="none" w:color="auto"/>
                <w:lang w:val="en-US" w:eastAsia="zh-CN"/>
              </w:rPr>
              <w:t>厂界</w:t>
            </w:r>
            <w:r>
              <w:rPr>
                <w:rFonts w:ascii="Times New Roman" w:hAnsi="Times New Roman" w:eastAsia="宋体" w:cs="Times New Roman"/>
                <w:b/>
                <w:bCs/>
                <w:color w:val="auto"/>
                <w:kern w:val="0"/>
                <w:sz w:val="24"/>
                <w:szCs w:val="24"/>
                <w:u w:val="none" w:color="auto"/>
              </w:rPr>
              <w:t>噪声预测结果</w:t>
            </w:r>
            <w:r>
              <w:rPr>
                <w:rFonts w:hint="default" w:ascii="Times New Roman" w:hAnsi="Times New Roman" w:eastAsia="宋体" w:cs="Times New Roman"/>
                <w:b/>
                <w:bCs/>
                <w:color w:val="auto"/>
                <w:kern w:val="0"/>
                <w:sz w:val="24"/>
                <w:szCs w:val="24"/>
                <w:u w:val="none" w:color="auto"/>
                <w:lang w:val="en-US" w:eastAsia="zh-CN"/>
              </w:rPr>
              <w:t xml:space="preserve">  </w:t>
            </w:r>
            <w:r>
              <w:rPr>
                <w:rFonts w:ascii="Times New Roman" w:hAnsi="Times New Roman" w:eastAsia="宋体" w:cs="Times New Roman"/>
                <w:b/>
                <w:bCs/>
                <w:color w:val="auto"/>
                <w:kern w:val="0"/>
                <w:sz w:val="24"/>
                <w:szCs w:val="24"/>
                <w:u w:val="none" w:color="auto"/>
              </w:rPr>
              <w:t>单位：dB（A）</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1182"/>
              <w:gridCol w:w="1417"/>
              <w:gridCol w:w="980"/>
              <w:gridCol w:w="730"/>
              <w:gridCol w:w="740"/>
              <w:gridCol w:w="1136"/>
            </w:tblGrid>
            <w:tr w14:paraId="16C1A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Merge w:val="restart"/>
                  <w:tcBorders>
                    <w:tl2br w:val="nil"/>
                    <w:tr2bl w:val="nil"/>
                  </w:tcBorders>
                  <w:noWrap w:val="0"/>
                  <w:vAlign w:val="center"/>
                </w:tcPr>
                <w:p w14:paraId="3D27969A">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预测点</w:t>
                  </w:r>
                </w:p>
              </w:tc>
              <w:tc>
                <w:tcPr>
                  <w:tcW w:w="736" w:type="pct"/>
                  <w:vMerge w:val="restart"/>
                  <w:tcBorders>
                    <w:tl2br w:val="nil"/>
                    <w:tr2bl w:val="nil"/>
                  </w:tcBorders>
                  <w:noWrap w:val="0"/>
                  <w:vAlign w:val="center"/>
                </w:tcPr>
                <w:p w14:paraId="7D4A1046">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噪声源强</w:t>
                  </w:r>
                </w:p>
              </w:tc>
              <w:tc>
                <w:tcPr>
                  <w:tcW w:w="883" w:type="pct"/>
                  <w:vMerge w:val="restart"/>
                  <w:tcBorders>
                    <w:tl2br w:val="nil"/>
                    <w:tr2bl w:val="nil"/>
                  </w:tcBorders>
                  <w:noWrap w:val="0"/>
                  <w:vAlign w:val="center"/>
                </w:tcPr>
                <w:p w14:paraId="2BA79C32">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噪声源</w:t>
                  </w:r>
                  <w:r>
                    <w:rPr>
                      <w:rFonts w:hint="eastAsia" w:ascii="Times New Roman" w:hAnsi="Times New Roman" w:cs="Times New Roman"/>
                      <w:b/>
                      <w:bCs/>
                      <w:color w:val="auto"/>
                      <w:kern w:val="2"/>
                      <w:sz w:val="21"/>
                      <w:szCs w:val="21"/>
                      <w:u w:val="none" w:color="auto"/>
                      <w:lang w:val="en-US" w:eastAsia="zh-CN"/>
                    </w:rPr>
                    <w:t>与厂界</w:t>
                  </w:r>
                  <w:r>
                    <w:rPr>
                      <w:rFonts w:ascii="Times New Roman" w:hAnsi="Times New Roman" w:cs="Times New Roman"/>
                      <w:b/>
                      <w:bCs/>
                      <w:color w:val="auto"/>
                      <w:kern w:val="2"/>
                      <w:sz w:val="21"/>
                      <w:szCs w:val="21"/>
                      <w:u w:val="none" w:color="auto"/>
                      <w:lang w:val="en-US" w:eastAsia="zh-CN"/>
                    </w:rPr>
                    <w:t>距离（m）</w:t>
                  </w:r>
                </w:p>
              </w:tc>
              <w:tc>
                <w:tcPr>
                  <w:tcW w:w="611" w:type="pct"/>
                  <w:vMerge w:val="restart"/>
                  <w:tcBorders>
                    <w:tl2br w:val="nil"/>
                    <w:tr2bl w:val="nil"/>
                  </w:tcBorders>
                  <w:noWrap w:val="0"/>
                  <w:vAlign w:val="center"/>
                </w:tcPr>
                <w:p w14:paraId="4ADA2515">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贡献值</w:t>
                  </w:r>
                </w:p>
              </w:tc>
              <w:tc>
                <w:tcPr>
                  <w:tcW w:w="916" w:type="pct"/>
                  <w:gridSpan w:val="2"/>
                  <w:tcBorders>
                    <w:tl2br w:val="nil"/>
                    <w:tr2bl w:val="nil"/>
                  </w:tcBorders>
                  <w:noWrap w:val="0"/>
                  <w:vAlign w:val="center"/>
                </w:tcPr>
                <w:p w14:paraId="393DAB32">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标准值</w:t>
                  </w:r>
                </w:p>
              </w:tc>
              <w:tc>
                <w:tcPr>
                  <w:tcW w:w="708" w:type="pct"/>
                  <w:vMerge w:val="restart"/>
                  <w:tcBorders>
                    <w:tl2br w:val="nil"/>
                    <w:tr2bl w:val="nil"/>
                  </w:tcBorders>
                  <w:noWrap w:val="0"/>
                  <w:vAlign w:val="center"/>
                </w:tcPr>
                <w:p w14:paraId="4738C084">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是否</w:t>
                  </w:r>
                </w:p>
                <w:p w14:paraId="4B688F28">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r>
                    <w:rPr>
                      <w:rFonts w:ascii="Times New Roman" w:hAnsi="Times New Roman" w:cs="Times New Roman"/>
                      <w:b/>
                      <w:bCs/>
                      <w:color w:val="auto"/>
                      <w:kern w:val="2"/>
                      <w:sz w:val="21"/>
                      <w:szCs w:val="21"/>
                      <w:u w:val="none" w:color="auto"/>
                      <w:lang w:val="en-US" w:eastAsia="zh-CN"/>
                    </w:rPr>
                    <w:t>超标</w:t>
                  </w:r>
                </w:p>
              </w:tc>
            </w:tr>
            <w:tr w14:paraId="22E8C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3" w:type="pct"/>
                  <w:vMerge w:val="continue"/>
                  <w:tcBorders>
                    <w:tl2br w:val="nil"/>
                    <w:tr2bl w:val="nil"/>
                  </w:tcBorders>
                  <w:noWrap w:val="0"/>
                  <w:vAlign w:val="center"/>
                </w:tcPr>
                <w:p w14:paraId="66FC0A17">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u w:val="none" w:color="auto"/>
                    </w:rPr>
                  </w:pPr>
                </w:p>
              </w:tc>
              <w:tc>
                <w:tcPr>
                  <w:tcW w:w="736" w:type="pct"/>
                  <w:vMerge w:val="continue"/>
                  <w:tcBorders>
                    <w:tl2br w:val="nil"/>
                    <w:tr2bl w:val="nil"/>
                  </w:tcBorders>
                  <w:noWrap w:val="0"/>
                  <w:vAlign w:val="center"/>
                </w:tcPr>
                <w:p w14:paraId="4B0FD002">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u w:val="none" w:color="auto"/>
                    </w:rPr>
                  </w:pPr>
                </w:p>
              </w:tc>
              <w:tc>
                <w:tcPr>
                  <w:tcW w:w="883" w:type="pct"/>
                  <w:vMerge w:val="continue"/>
                  <w:tcBorders>
                    <w:tl2br w:val="nil"/>
                    <w:tr2bl w:val="nil"/>
                  </w:tcBorders>
                  <w:noWrap w:val="0"/>
                  <w:vAlign w:val="center"/>
                </w:tcPr>
                <w:p w14:paraId="712D5242">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u w:val="none" w:color="auto"/>
                    </w:rPr>
                  </w:pPr>
                </w:p>
              </w:tc>
              <w:tc>
                <w:tcPr>
                  <w:tcW w:w="611" w:type="pct"/>
                  <w:vMerge w:val="continue"/>
                  <w:tcBorders>
                    <w:tl2br w:val="nil"/>
                    <w:tr2bl w:val="nil"/>
                  </w:tcBorders>
                  <w:noWrap w:val="0"/>
                  <w:vAlign w:val="center"/>
                </w:tcPr>
                <w:p w14:paraId="051BC39A">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u w:val="none" w:color="auto"/>
                    </w:rPr>
                  </w:pPr>
                </w:p>
              </w:tc>
              <w:tc>
                <w:tcPr>
                  <w:tcW w:w="455" w:type="pct"/>
                  <w:tcBorders>
                    <w:tl2br w:val="nil"/>
                    <w:tr2bl w:val="nil"/>
                  </w:tcBorders>
                  <w:noWrap w:val="0"/>
                  <w:vAlign w:val="center"/>
                </w:tcPr>
                <w:p w14:paraId="39A928B3">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b/>
                      <w:bCs/>
                      <w:color w:val="auto"/>
                      <w:kern w:val="2"/>
                      <w:sz w:val="21"/>
                      <w:szCs w:val="21"/>
                      <w:u w:val="none" w:color="auto"/>
                      <w:lang w:val="en-US" w:eastAsia="zh-CN"/>
                    </w:rPr>
                  </w:pPr>
                  <w:r>
                    <w:rPr>
                      <w:rFonts w:hint="default" w:ascii="Times New Roman" w:hAnsi="Times New Roman" w:cs="Times New Roman"/>
                      <w:b/>
                      <w:bCs/>
                      <w:color w:val="auto"/>
                      <w:kern w:val="2"/>
                      <w:sz w:val="21"/>
                      <w:szCs w:val="21"/>
                      <w:u w:val="none" w:color="auto"/>
                      <w:lang w:val="en-US" w:eastAsia="zh-CN"/>
                    </w:rPr>
                    <w:t>昼间</w:t>
                  </w:r>
                </w:p>
              </w:tc>
              <w:tc>
                <w:tcPr>
                  <w:tcW w:w="460" w:type="pct"/>
                  <w:tcBorders>
                    <w:tl2br w:val="nil"/>
                    <w:tr2bl w:val="nil"/>
                  </w:tcBorders>
                  <w:noWrap w:val="0"/>
                  <w:vAlign w:val="center"/>
                </w:tcPr>
                <w:p w14:paraId="7EF70513">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b/>
                      <w:bCs/>
                      <w:color w:val="auto"/>
                      <w:kern w:val="2"/>
                      <w:sz w:val="21"/>
                      <w:szCs w:val="21"/>
                      <w:u w:val="none" w:color="auto"/>
                      <w:lang w:val="en-US" w:eastAsia="zh-CN"/>
                    </w:rPr>
                  </w:pPr>
                  <w:r>
                    <w:rPr>
                      <w:rFonts w:hint="default" w:ascii="Times New Roman" w:hAnsi="Times New Roman" w:cs="Times New Roman"/>
                      <w:b/>
                      <w:bCs/>
                      <w:color w:val="auto"/>
                      <w:kern w:val="2"/>
                      <w:sz w:val="21"/>
                      <w:szCs w:val="21"/>
                      <w:u w:val="none" w:color="auto"/>
                      <w:lang w:val="en-US" w:eastAsia="zh-CN"/>
                    </w:rPr>
                    <w:t>夜间</w:t>
                  </w:r>
                </w:p>
              </w:tc>
              <w:tc>
                <w:tcPr>
                  <w:tcW w:w="708" w:type="pct"/>
                  <w:vMerge w:val="continue"/>
                  <w:tcBorders>
                    <w:tl2br w:val="nil"/>
                    <w:tr2bl w:val="nil"/>
                  </w:tcBorders>
                  <w:noWrap w:val="0"/>
                  <w:vAlign w:val="center"/>
                </w:tcPr>
                <w:p w14:paraId="3AB89681">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b/>
                      <w:bCs/>
                      <w:color w:val="auto"/>
                      <w:kern w:val="2"/>
                      <w:sz w:val="21"/>
                      <w:szCs w:val="21"/>
                      <w:u w:val="none" w:color="auto"/>
                      <w:lang w:val="en-US" w:eastAsia="zh-CN"/>
                    </w:rPr>
                  </w:pPr>
                </w:p>
              </w:tc>
            </w:tr>
            <w:tr w14:paraId="3C3F7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3" w:type="pct"/>
                  <w:tcBorders>
                    <w:tl2br w:val="nil"/>
                    <w:tr2bl w:val="nil"/>
                  </w:tcBorders>
                  <w:noWrap w:val="0"/>
                  <w:vAlign w:val="center"/>
                </w:tcPr>
                <w:p w14:paraId="50C6055B">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东厂界</w:t>
                  </w:r>
                </w:p>
              </w:tc>
              <w:tc>
                <w:tcPr>
                  <w:tcW w:w="736" w:type="pct"/>
                  <w:vMerge w:val="restart"/>
                  <w:tcBorders>
                    <w:tl2br w:val="nil"/>
                    <w:tr2bl w:val="nil"/>
                  </w:tcBorders>
                  <w:noWrap w:val="0"/>
                  <w:vAlign w:val="center"/>
                </w:tcPr>
                <w:p w14:paraId="775D20F0">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63.3</w:t>
                  </w:r>
                </w:p>
              </w:tc>
              <w:tc>
                <w:tcPr>
                  <w:tcW w:w="883" w:type="pct"/>
                  <w:tcBorders>
                    <w:tl2br w:val="nil"/>
                    <w:tr2bl w:val="nil"/>
                  </w:tcBorders>
                  <w:noWrap w:val="0"/>
                  <w:vAlign w:val="center"/>
                </w:tcPr>
                <w:p w14:paraId="0CC28FBA">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10</w:t>
                  </w:r>
                </w:p>
              </w:tc>
              <w:tc>
                <w:tcPr>
                  <w:tcW w:w="611" w:type="pct"/>
                  <w:tcBorders>
                    <w:tl2br w:val="nil"/>
                    <w:tr2bl w:val="nil"/>
                  </w:tcBorders>
                  <w:noWrap w:val="0"/>
                  <w:vAlign w:val="center"/>
                </w:tcPr>
                <w:p w14:paraId="58C3EE7F">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43.3</w:t>
                  </w:r>
                </w:p>
              </w:tc>
              <w:tc>
                <w:tcPr>
                  <w:tcW w:w="455" w:type="pct"/>
                  <w:vMerge w:val="restart"/>
                  <w:tcBorders>
                    <w:tl2br w:val="nil"/>
                    <w:tr2bl w:val="nil"/>
                  </w:tcBorders>
                  <w:noWrap w:val="0"/>
                  <w:vAlign w:val="center"/>
                </w:tcPr>
                <w:p w14:paraId="54125371">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60</w:t>
                  </w:r>
                </w:p>
              </w:tc>
              <w:tc>
                <w:tcPr>
                  <w:tcW w:w="460" w:type="pct"/>
                  <w:vMerge w:val="restart"/>
                  <w:tcBorders>
                    <w:tl2br w:val="nil"/>
                    <w:tr2bl w:val="nil"/>
                  </w:tcBorders>
                  <w:noWrap w:val="0"/>
                  <w:vAlign w:val="center"/>
                </w:tcPr>
                <w:p w14:paraId="77478869">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50</w:t>
                  </w:r>
                </w:p>
              </w:tc>
              <w:tc>
                <w:tcPr>
                  <w:tcW w:w="708" w:type="pct"/>
                  <w:tcBorders>
                    <w:tl2br w:val="nil"/>
                    <w:tr2bl w:val="nil"/>
                  </w:tcBorders>
                  <w:noWrap w:val="0"/>
                  <w:vAlign w:val="center"/>
                </w:tcPr>
                <w:p w14:paraId="1BF274E2">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否</w:t>
                  </w:r>
                </w:p>
              </w:tc>
            </w:tr>
            <w:tr w14:paraId="508D0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3" w:type="pct"/>
                  <w:tcBorders>
                    <w:tl2br w:val="nil"/>
                    <w:tr2bl w:val="nil"/>
                  </w:tcBorders>
                  <w:noWrap w:val="0"/>
                  <w:vAlign w:val="center"/>
                </w:tcPr>
                <w:p w14:paraId="42D03A2C">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南厂界</w:t>
                  </w:r>
                </w:p>
              </w:tc>
              <w:tc>
                <w:tcPr>
                  <w:tcW w:w="736" w:type="pct"/>
                  <w:vMerge w:val="continue"/>
                  <w:tcBorders>
                    <w:tl2br w:val="nil"/>
                    <w:tr2bl w:val="nil"/>
                  </w:tcBorders>
                  <w:noWrap w:val="0"/>
                  <w:vAlign w:val="center"/>
                </w:tcPr>
                <w:p w14:paraId="210FBEAC">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p>
              </w:tc>
              <w:tc>
                <w:tcPr>
                  <w:tcW w:w="883" w:type="pct"/>
                  <w:tcBorders>
                    <w:tl2br w:val="nil"/>
                    <w:tr2bl w:val="nil"/>
                  </w:tcBorders>
                  <w:noWrap w:val="0"/>
                  <w:vAlign w:val="center"/>
                </w:tcPr>
                <w:p w14:paraId="78DE934C">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7</w:t>
                  </w:r>
                </w:p>
              </w:tc>
              <w:tc>
                <w:tcPr>
                  <w:tcW w:w="611" w:type="pct"/>
                  <w:tcBorders>
                    <w:tl2br w:val="nil"/>
                    <w:tr2bl w:val="nil"/>
                  </w:tcBorders>
                  <w:noWrap w:val="0"/>
                  <w:vAlign w:val="center"/>
                </w:tcPr>
                <w:p w14:paraId="2A5C5FF4">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46.4</w:t>
                  </w:r>
                </w:p>
              </w:tc>
              <w:tc>
                <w:tcPr>
                  <w:tcW w:w="455" w:type="pct"/>
                  <w:vMerge w:val="continue"/>
                  <w:tcBorders>
                    <w:tl2br w:val="nil"/>
                    <w:tr2bl w:val="nil"/>
                  </w:tcBorders>
                  <w:noWrap w:val="0"/>
                  <w:vAlign w:val="center"/>
                </w:tcPr>
                <w:p w14:paraId="01DF812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center"/>
                    <w:textAlignment w:val="auto"/>
                    <w:rPr>
                      <w:rFonts w:hint="default" w:ascii="Times New Roman" w:hAnsi="Times New Roman" w:cs="Times New Roman"/>
                      <w:color w:val="auto"/>
                      <w:kern w:val="2"/>
                      <w:sz w:val="21"/>
                      <w:szCs w:val="21"/>
                      <w:u w:val="none" w:color="auto"/>
                      <w:lang w:val="en-US" w:eastAsia="zh-CN"/>
                    </w:rPr>
                  </w:pPr>
                </w:p>
              </w:tc>
              <w:tc>
                <w:tcPr>
                  <w:tcW w:w="460" w:type="pct"/>
                  <w:vMerge w:val="continue"/>
                  <w:tcBorders>
                    <w:tl2br w:val="nil"/>
                    <w:tr2bl w:val="nil"/>
                  </w:tcBorders>
                  <w:noWrap w:val="0"/>
                  <w:vAlign w:val="center"/>
                </w:tcPr>
                <w:p w14:paraId="576D8F70">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p>
              </w:tc>
              <w:tc>
                <w:tcPr>
                  <w:tcW w:w="708" w:type="pct"/>
                  <w:tcBorders>
                    <w:tl2br w:val="nil"/>
                    <w:tr2bl w:val="nil"/>
                  </w:tcBorders>
                  <w:noWrap w:val="0"/>
                  <w:vAlign w:val="center"/>
                </w:tcPr>
                <w:p w14:paraId="1B3A8DFC">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否</w:t>
                  </w:r>
                </w:p>
              </w:tc>
            </w:tr>
            <w:tr w14:paraId="331CC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tcBorders>
                    <w:tl2br w:val="nil"/>
                    <w:tr2bl w:val="nil"/>
                  </w:tcBorders>
                  <w:noWrap w:val="0"/>
                  <w:vAlign w:val="center"/>
                </w:tcPr>
                <w:p w14:paraId="7A79835B">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西厂界</w:t>
                  </w:r>
                </w:p>
              </w:tc>
              <w:tc>
                <w:tcPr>
                  <w:tcW w:w="736" w:type="pct"/>
                  <w:vMerge w:val="continue"/>
                  <w:tcBorders>
                    <w:tl2br w:val="nil"/>
                    <w:tr2bl w:val="nil"/>
                  </w:tcBorders>
                  <w:noWrap w:val="0"/>
                  <w:vAlign w:val="center"/>
                </w:tcPr>
                <w:p w14:paraId="1263082F">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p>
              </w:tc>
              <w:tc>
                <w:tcPr>
                  <w:tcW w:w="883" w:type="pct"/>
                  <w:tcBorders>
                    <w:tl2br w:val="nil"/>
                    <w:tr2bl w:val="nil"/>
                  </w:tcBorders>
                  <w:noWrap w:val="0"/>
                  <w:vAlign w:val="center"/>
                </w:tcPr>
                <w:p w14:paraId="232955C7">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15</w:t>
                  </w:r>
                </w:p>
              </w:tc>
              <w:tc>
                <w:tcPr>
                  <w:tcW w:w="611" w:type="pct"/>
                  <w:tcBorders>
                    <w:tl2br w:val="nil"/>
                    <w:tr2bl w:val="nil"/>
                  </w:tcBorders>
                  <w:noWrap w:val="0"/>
                  <w:vAlign w:val="center"/>
                </w:tcPr>
                <w:p w14:paraId="5F0E6D1B">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39.8</w:t>
                  </w:r>
                </w:p>
              </w:tc>
              <w:tc>
                <w:tcPr>
                  <w:tcW w:w="455" w:type="pct"/>
                  <w:vMerge w:val="continue"/>
                  <w:tcBorders>
                    <w:tl2br w:val="nil"/>
                    <w:tr2bl w:val="nil"/>
                  </w:tcBorders>
                  <w:noWrap w:val="0"/>
                  <w:vAlign w:val="center"/>
                </w:tcPr>
                <w:p w14:paraId="7297B03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center"/>
                    <w:textAlignment w:val="auto"/>
                    <w:rPr>
                      <w:rFonts w:hint="default" w:ascii="Times New Roman" w:hAnsi="Times New Roman" w:cs="Times New Roman"/>
                      <w:color w:val="auto"/>
                      <w:kern w:val="2"/>
                      <w:sz w:val="21"/>
                      <w:szCs w:val="21"/>
                      <w:u w:val="none" w:color="auto"/>
                      <w:lang w:val="en-US" w:eastAsia="zh-CN"/>
                    </w:rPr>
                  </w:pPr>
                </w:p>
              </w:tc>
              <w:tc>
                <w:tcPr>
                  <w:tcW w:w="460" w:type="pct"/>
                  <w:vMerge w:val="continue"/>
                  <w:tcBorders>
                    <w:tl2br w:val="nil"/>
                    <w:tr2bl w:val="nil"/>
                  </w:tcBorders>
                  <w:noWrap w:val="0"/>
                  <w:vAlign w:val="center"/>
                </w:tcPr>
                <w:p w14:paraId="1BF5D3DC">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p>
              </w:tc>
              <w:tc>
                <w:tcPr>
                  <w:tcW w:w="708" w:type="pct"/>
                  <w:tcBorders>
                    <w:tl2br w:val="nil"/>
                    <w:tr2bl w:val="nil"/>
                  </w:tcBorders>
                  <w:noWrap w:val="0"/>
                  <w:vAlign w:val="center"/>
                </w:tcPr>
                <w:p w14:paraId="769AAE17">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否</w:t>
                  </w:r>
                </w:p>
              </w:tc>
            </w:tr>
            <w:tr w14:paraId="417B0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3" w:type="pct"/>
                  <w:tcBorders>
                    <w:tl2br w:val="nil"/>
                    <w:tr2bl w:val="nil"/>
                  </w:tcBorders>
                  <w:noWrap w:val="0"/>
                  <w:vAlign w:val="center"/>
                </w:tcPr>
                <w:p w14:paraId="31EAFECF">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北厂界</w:t>
                  </w:r>
                </w:p>
              </w:tc>
              <w:tc>
                <w:tcPr>
                  <w:tcW w:w="736" w:type="pct"/>
                  <w:vMerge w:val="continue"/>
                  <w:tcBorders>
                    <w:tl2br w:val="nil"/>
                    <w:tr2bl w:val="nil"/>
                  </w:tcBorders>
                  <w:noWrap w:val="0"/>
                  <w:vAlign w:val="center"/>
                </w:tcPr>
                <w:p w14:paraId="1A67E528">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p>
              </w:tc>
              <w:tc>
                <w:tcPr>
                  <w:tcW w:w="883" w:type="pct"/>
                  <w:tcBorders>
                    <w:tl2br w:val="nil"/>
                    <w:tr2bl w:val="nil"/>
                  </w:tcBorders>
                  <w:noWrap w:val="0"/>
                  <w:vAlign w:val="center"/>
                </w:tcPr>
                <w:p w14:paraId="2B7864B8">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12</w:t>
                  </w:r>
                </w:p>
              </w:tc>
              <w:tc>
                <w:tcPr>
                  <w:tcW w:w="611" w:type="pct"/>
                  <w:tcBorders>
                    <w:tl2br w:val="nil"/>
                    <w:tr2bl w:val="nil"/>
                  </w:tcBorders>
                  <w:noWrap w:val="0"/>
                  <w:vAlign w:val="center"/>
                </w:tcPr>
                <w:p w14:paraId="5ADAC544">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rPr>
                    <w:t>41.7</w:t>
                  </w:r>
                </w:p>
              </w:tc>
              <w:tc>
                <w:tcPr>
                  <w:tcW w:w="455" w:type="pct"/>
                  <w:vMerge w:val="continue"/>
                  <w:tcBorders>
                    <w:tl2br w:val="nil"/>
                    <w:tr2bl w:val="nil"/>
                  </w:tcBorders>
                  <w:noWrap w:val="0"/>
                  <w:vAlign w:val="center"/>
                </w:tcPr>
                <w:p w14:paraId="4A1141D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center"/>
                    <w:textAlignment w:val="auto"/>
                    <w:rPr>
                      <w:rFonts w:hint="default" w:ascii="Times New Roman" w:hAnsi="Times New Roman" w:cs="Times New Roman"/>
                      <w:color w:val="auto"/>
                      <w:kern w:val="2"/>
                      <w:sz w:val="21"/>
                      <w:szCs w:val="21"/>
                      <w:u w:val="none" w:color="auto"/>
                      <w:lang w:val="en-US" w:eastAsia="zh-CN"/>
                    </w:rPr>
                  </w:pPr>
                </w:p>
              </w:tc>
              <w:tc>
                <w:tcPr>
                  <w:tcW w:w="460" w:type="pct"/>
                  <w:vMerge w:val="continue"/>
                  <w:tcBorders>
                    <w:tl2br w:val="nil"/>
                    <w:tr2bl w:val="nil"/>
                  </w:tcBorders>
                  <w:noWrap w:val="0"/>
                  <w:vAlign w:val="center"/>
                </w:tcPr>
                <w:p w14:paraId="7A364E7F">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cs="Times New Roman"/>
                      <w:color w:val="auto"/>
                      <w:kern w:val="2"/>
                      <w:sz w:val="21"/>
                      <w:szCs w:val="21"/>
                      <w:u w:val="none" w:color="auto"/>
                      <w:lang w:val="en-US" w:eastAsia="zh-CN"/>
                    </w:rPr>
                  </w:pPr>
                </w:p>
              </w:tc>
              <w:tc>
                <w:tcPr>
                  <w:tcW w:w="708" w:type="pct"/>
                  <w:tcBorders>
                    <w:tl2br w:val="nil"/>
                    <w:tr2bl w:val="nil"/>
                  </w:tcBorders>
                  <w:noWrap w:val="0"/>
                  <w:vAlign w:val="center"/>
                </w:tcPr>
                <w:p w14:paraId="3B5CB5BE">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cs="Times New Roman"/>
                      <w:color w:val="auto"/>
                      <w:kern w:val="2"/>
                      <w:sz w:val="21"/>
                      <w:szCs w:val="21"/>
                      <w:u w:val="none" w:color="auto"/>
                      <w:lang w:val="en-US" w:eastAsia="zh-CN"/>
                    </w:rPr>
                  </w:pPr>
                  <w:r>
                    <w:rPr>
                      <w:rFonts w:ascii="Times New Roman" w:hAnsi="Times New Roman" w:cs="Times New Roman"/>
                      <w:color w:val="auto"/>
                      <w:kern w:val="2"/>
                      <w:sz w:val="21"/>
                      <w:szCs w:val="21"/>
                      <w:u w:val="none" w:color="auto"/>
                      <w:lang w:val="en-US" w:eastAsia="zh-CN"/>
                    </w:rPr>
                    <w:t>否</w:t>
                  </w:r>
                </w:p>
              </w:tc>
            </w:tr>
          </w:tbl>
          <w:p w14:paraId="028937C9">
            <w:pPr>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szCs w:val="24"/>
                <w:u w:val="none" w:color="auto"/>
              </w:rPr>
              <w:t>由上表</w:t>
            </w:r>
            <w:r>
              <w:rPr>
                <w:rFonts w:hint="default" w:ascii="Times New Roman" w:hAnsi="Times New Roman" w:cs="Times New Roman"/>
                <w:color w:val="auto"/>
                <w:sz w:val="24"/>
                <w:szCs w:val="24"/>
                <w:u w:val="none" w:color="auto"/>
                <w:lang w:val="en-US" w:eastAsia="zh-CN"/>
              </w:rPr>
              <w:t>可知，</w:t>
            </w:r>
            <w:r>
              <w:rPr>
                <w:rFonts w:ascii="Times New Roman" w:hAnsi="Times New Roman" w:cs="Times New Roman"/>
                <w:color w:val="auto"/>
                <w:sz w:val="24"/>
                <w:szCs w:val="24"/>
                <w:u w:val="none" w:color="auto"/>
              </w:rPr>
              <w:t>项目投产后，</w:t>
            </w:r>
            <w:r>
              <w:rPr>
                <w:rFonts w:hint="default" w:ascii="Times New Roman" w:hAnsi="Times New Roman" w:cs="Times New Roman"/>
                <w:color w:val="auto"/>
                <w:sz w:val="24"/>
                <w:szCs w:val="24"/>
                <w:u w:val="none" w:color="auto"/>
                <w:lang w:val="en-US" w:eastAsia="zh-CN"/>
              </w:rPr>
              <w:t>厂界昼、夜间噪声均可满足《工业企业厂界环境噪声排放标准》（GB12348-2008）</w:t>
            </w:r>
            <w:r>
              <w:rPr>
                <w:rFonts w:hint="eastAsia" w:ascii="Times New Roman" w:hAnsi="Times New Roman" w:cs="Times New Roman"/>
                <w:color w:val="auto"/>
                <w:sz w:val="24"/>
                <w:szCs w:val="24"/>
                <w:u w:val="none" w:color="auto"/>
                <w:lang w:val="en-US" w:eastAsia="zh-CN"/>
              </w:rPr>
              <w:t>2</w:t>
            </w:r>
            <w:r>
              <w:rPr>
                <w:rFonts w:hint="default" w:ascii="Times New Roman" w:hAnsi="Times New Roman" w:cs="Times New Roman"/>
                <w:color w:val="auto"/>
                <w:sz w:val="24"/>
                <w:szCs w:val="24"/>
                <w:u w:val="none" w:color="auto"/>
                <w:lang w:val="en-US" w:eastAsia="zh-CN"/>
              </w:rPr>
              <w:t>类限值要求</w:t>
            </w:r>
            <w:r>
              <w:rPr>
                <w:rFonts w:ascii="Times New Roman" w:hAnsi="Times New Roman" w:cs="Times New Roman"/>
                <w:color w:val="auto"/>
                <w:kern w:val="0"/>
                <w:sz w:val="24"/>
                <w:szCs w:val="24"/>
                <w:u w:val="none" w:color="auto"/>
                <w:lang w:bidi="ar"/>
              </w:rPr>
              <w:t>。</w:t>
            </w:r>
            <w:r>
              <w:rPr>
                <w:rFonts w:hint="eastAsia" w:ascii="Times New Roman" w:hAnsi="Times New Roman" w:cs="Times New Roman"/>
                <w:color w:val="auto"/>
                <w:kern w:val="0"/>
                <w:sz w:val="24"/>
                <w:szCs w:val="24"/>
                <w:u w:val="none" w:color="auto"/>
                <w:lang w:val="en-US" w:eastAsia="zh-CN" w:bidi="ar"/>
              </w:rPr>
              <w:t>项目</w:t>
            </w:r>
            <w:r>
              <w:rPr>
                <w:rFonts w:hint="eastAsia" w:ascii="Times New Roman" w:hAnsi="Times New Roman" w:cs="Times New Roman"/>
                <w:color w:val="auto"/>
                <w:sz w:val="24"/>
                <w:u w:val="none" w:color="auto"/>
                <w:lang w:val="en-US" w:eastAsia="zh-CN"/>
              </w:rPr>
              <w:t>厂界</w:t>
            </w:r>
            <w:r>
              <w:rPr>
                <w:rFonts w:ascii="Times New Roman" w:hAnsi="Times New Roman" w:cs="Times New Roman"/>
                <w:color w:val="auto"/>
                <w:sz w:val="24"/>
                <w:u w:val="none" w:color="auto"/>
              </w:rPr>
              <w:t>周边50m范围内无</w:t>
            </w:r>
            <w:r>
              <w:rPr>
                <w:rFonts w:hint="eastAsia" w:ascii="Times New Roman" w:hAnsi="Times New Roman" w:cs="Times New Roman"/>
                <w:color w:val="auto"/>
                <w:sz w:val="24"/>
                <w:u w:val="none" w:color="auto"/>
                <w:lang w:val="en-US" w:eastAsia="zh-CN"/>
              </w:rPr>
              <w:t>声环境</w:t>
            </w:r>
            <w:r>
              <w:rPr>
                <w:rFonts w:ascii="Times New Roman" w:hAnsi="Times New Roman" w:cs="Times New Roman"/>
                <w:color w:val="auto"/>
                <w:sz w:val="24"/>
                <w:u w:val="none" w:color="auto"/>
              </w:rPr>
              <w:t>敏感点，</w:t>
            </w:r>
            <w:r>
              <w:rPr>
                <w:rFonts w:hint="eastAsia" w:ascii="Times New Roman" w:hAnsi="Times New Roman" w:cs="Times New Roman"/>
                <w:color w:val="auto"/>
                <w:sz w:val="24"/>
                <w:u w:val="none" w:color="auto"/>
                <w:lang w:val="en-US" w:eastAsia="zh-CN"/>
              </w:rPr>
              <w:t>项目噪声</w:t>
            </w:r>
            <w:r>
              <w:rPr>
                <w:rFonts w:ascii="Times New Roman" w:hAnsi="Times New Roman" w:cs="Times New Roman"/>
                <w:color w:val="auto"/>
                <w:sz w:val="24"/>
                <w:u w:val="none" w:color="auto"/>
              </w:rPr>
              <w:t>对周边</w:t>
            </w:r>
            <w:r>
              <w:rPr>
                <w:rFonts w:hint="eastAsia" w:ascii="Times New Roman" w:hAnsi="Times New Roman" w:cs="Times New Roman"/>
                <w:color w:val="auto"/>
                <w:sz w:val="24"/>
                <w:u w:val="none" w:color="auto"/>
                <w:lang w:val="en-US" w:eastAsia="zh-CN"/>
              </w:rPr>
              <w:t>声</w:t>
            </w:r>
            <w:r>
              <w:rPr>
                <w:rFonts w:ascii="Times New Roman" w:hAnsi="Times New Roman" w:cs="Times New Roman"/>
                <w:color w:val="auto"/>
                <w:sz w:val="24"/>
                <w:u w:val="none" w:color="auto"/>
              </w:rPr>
              <w:t>环境影响小。</w:t>
            </w:r>
          </w:p>
          <w:p w14:paraId="1D0B4FE2">
            <w:pPr>
              <w:adjustRightInd/>
              <w:snapToGrid/>
              <w:spacing w:line="360" w:lineRule="auto"/>
              <w:ind w:firstLine="480"/>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3.3噪声污染防治措施可行性分析</w:t>
            </w:r>
          </w:p>
          <w:p w14:paraId="748A8A77">
            <w:pPr>
              <w:spacing w:line="360" w:lineRule="auto"/>
              <w:ind w:firstLine="480"/>
              <w:rPr>
                <w:rFonts w:ascii="Times New Roman" w:hAnsi="Times New Roman" w:cs="Times New Roman"/>
                <w:color w:val="auto"/>
                <w:sz w:val="24"/>
                <w:u w:val="none" w:color="auto"/>
              </w:rPr>
            </w:pPr>
            <w:r>
              <w:rPr>
                <w:rFonts w:ascii="Times New Roman" w:hAnsi="Times New Roman" w:eastAsia="宋体" w:cs="Times New Roman"/>
                <w:color w:val="auto"/>
                <w:sz w:val="24"/>
                <w:u w:val="none" w:color="auto"/>
              </w:rPr>
              <w:t>①</w:t>
            </w:r>
            <w:r>
              <w:rPr>
                <w:rFonts w:ascii="Times New Roman" w:hAnsi="Times New Roman" w:cs="Times New Roman"/>
                <w:color w:val="auto"/>
                <w:sz w:val="24"/>
                <w:u w:val="none" w:color="auto"/>
              </w:rPr>
              <w:t>总平面布置：从总平面布置的角度出发，将高噪声设备设置于厂区</w:t>
            </w:r>
            <w:r>
              <w:rPr>
                <w:rFonts w:hint="eastAsia" w:ascii="Times New Roman" w:hAnsi="Times New Roman" w:cs="Times New Roman"/>
                <w:color w:val="auto"/>
                <w:sz w:val="24"/>
                <w:u w:val="none" w:color="auto"/>
                <w:lang w:val="en-US" w:eastAsia="zh-CN"/>
              </w:rPr>
              <w:t>中部</w:t>
            </w:r>
            <w:r>
              <w:rPr>
                <w:rFonts w:ascii="Times New Roman" w:hAnsi="Times New Roman" w:cs="Times New Roman"/>
                <w:color w:val="auto"/>
                <w:sz w:val="24"/>
                <w:u w:val="none" w:color="auto"/>
              </w:rPr>
              <w:t>。同时在工厂总体布置上利用建筑物、构筑物来阻隔声波的传播。</w:t>
            </w:r>
          </w:p>
          <w:p w14:paraId="001D9C10">
            <w:pPr>
              <w:spacing w:line="360" w:lineRule="auto"/>
              <w:ind w:firstLine="48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②</w:t>
            </w:r>
            <w:r>
              <w:rPr>
                <w:rFonts w:ascii="Times New Roman" w:hAnsi="Times New Roman" w:cs="Times New Roman"/>
                <w:color w:val="auto"/>
                <w:sz w:val="24"/>
                <w:u w:val="none" w:color="auto"/>
              </w:rPr>
              <w:t>加强治理：项目应选用低噪声设备，并设置减震基础，对于输送配套设施设置封闭机房。</w:t>
            </w:r>
          </w:p>
          <w:p w14:paraId="46E242EA">
            <w:pPr>
              <w:spacing w:line="360" w:lineRule="auto"/>
              <w:ind w:firstLine="48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③</w:t>
            </w:r>
            <w:r>
              <w:rPr>
                <w:rFonts w:ascii="Times New Roman" w:hAnsi="Times New Roman" w:cs="Times New Roman"/>
                <w:color w:val="auto"/>
                <w:sz w:val="24"/>
                <w:u w:val="none" w:color="auto"/>
              </w:rPr>
              <w:t>控制工作制度：项目仅在白天进行生产，夜间不得生产。</w:t>
            </w:r>
          </w:p>
          <w:p w14:paraId="18E9A54F">
            <w:pPr>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具体到主要生产设施的防治措施具体如下：</w:t>
            </w:r>
          </w:p>
          <w:p w14:paraId="18686967">
            <w:pPr>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A</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皮带输送机：皮带输送机为输送主要设备，该设备连接各个生产单元，采用动力传控，因此在设备选型时尽量选择噪声低的设备，在生产时定期在滚轴处加润滑油，从而减少摩擦噪声产生。</w:t>
            </w:r>
          </w:p>
          <w:p w14:paraId="02443893">
            <w:pPr>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B</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运输车辆：根据调查，当车辆在平滑路面行驶时其噪声值较坑洼路面行驶时的噪声值要低15dB（A），因此要求企业修筑平滑路面，尽量减小路面坡度，这样可大大减轻车辆在启动及行驶过程发动机轰鸣噪声。</w:t>
            </w:r>
          </w:p>
          <w:p w14:paraId="380B69E9">
            <w:pPr>
              <w:spacing w:line="360" w:lineRule="auto"/>
              <w:ind w:firstLine="48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④</w:t>
            </w:r>
            <w:r>
              <w:rPr>
                <w:rFonts w:ascii="Times New Roman" w:hAnsi="Times New Roman" w:cs="Times New Roman"/>
                <w:color w:val="auto"/>
                <w:sz w:val="24"/>
                <w:u w:val="none" w:color="auto"/>
              </w:rPr>
              <w:t>加强管理：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14:paraId="3C1F1C99">
            <w:pPr>
              <w:spacing w:line="360" w:lineRule="auto"/>
              <w:ind w:firstLine="48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⑤</w:t>
            </w:r>
            <w:r>
              <w:rPr>
                <w:rFonts w:ascii="Times New Roman" w:hAnsi="Times New Roman" w:cs="Times New Roman"/>
                <w:color w:val="auto"/>
                <w:sz w:val="24"/>
                <w:u w:val="none" w:color="auto"/>
              </w:rPr>
              <w:t>加强厂区绿化：在本项目厂内各噪声源与厂界设置隔离带，在隔离带种植花草树木，进行厂区绿化，厂内各噪声源与厂界设置至少1m的隔离带，并建挡墙，以进一步减轻设备噪声对环境的影响。</w:t>
            </w:r>
          </w:p>
          <w:p w14:paraId="57819B1B">
            <w:pPr>
              <w:spacing w:line="360" w:lineRule="auto"/>
              <w:ind w:firstLine="480"/>
              <w:rPr>
                <w:rFonts w:ascii="Times New Roman" w:hAnsi="Times New Roman" w:cs="Times New Roman"/>
                <w:color w:val="auto"/>
                <w:sz w:val="24"/>
                <w:u w:val="none" w:color="auto"/>
              </w:rPr>
            </w:pPr>
            <w:r>
              <w:rPr>
                <w:rFonts w:ascii="Times New Roman" w:hAnsi="Times New Roman" w:cs="Times New Roman"/>
                <w:color w:val="auto"/>
                <w:sz w:val="24"/>
                <w:u w:val="none" w:color="auto"/>
              </w:rPr>
              <w:t>在实行以上措施后，可以大大减轻生产噪声对周围环境的影响，预计项目生产噪声对周围环境影响不大。</w:t>
            </w:r>
          </w:p>
          <w:p w14:paraId="4691E325">
            <w:pPr>
              <w:adjustRightInd w:val="0"/>
              <w:snapToGrid w:val="0"/>
              <w:spacing w:line="360" w:lineRule="auto"/>
              <w:ind w:firstLine="442" w:firstLineChars="200"/>
              <w:rPr>
                <w:rFonts w:ascii="Times New Roman" w:hAnsi="Times New Roman" w:eastAsia="宋体" w:cs="Times New Roman"/>
                <w:b/>
                <w:color w:val="auto"/>
                <w:spacing w:val="-10"/>
                <w:sz w:val="24"/>
                <w:szCs w:val="24"/>
                <w:u w:val="none" w:color="auto"/>
              </w:rPr>
            </w:pPr>
            <w:r>
              <w:rPr>
                <w:rFonts w:ascii="Times New Roman" w:hAnsi="Times New Roman" w:eastAsia="宋体" w:cs="Times New Roman"/>
                <w:b/>
                <w:color w:val="auto"/>
                <w:spacing w:val="-10"/>
                <w:sz w:val="24"/>
                <w:szCs w:val="24"/>
                <w:u w:val="none" w:color="auto"/>
              </w:rPr>
              <w:t>3.4 噪声监测要求</w:t>
            </w:r>
          </w:p>
          <w:p w14:paraId="725B17EB">
            <w:pPr>
              <w:spacing w:line="360" w:lineRule="auto"/>
              <w:ind w:firstLine="480"/>
              <w:rPr>
                <w:rFonts w:ascii="Times New Roman" w:hAnsi="Times New Roman" w:cs="Times New Roman"/>
                <w:color w:val="auto"/>
                <w:sz w:val="24"/>
                <w:u w:val="none" w:color="auto"/>
              </w:rPr>
            </w:pPr>
            <w:r>
              <w:rPr>
                <w:rFonts w:hint="default" w:ascii="Times New Roman" w:hAnsi="Times New Roman" w:cs="Times New Roman"/>
                <w:color w:val="auto"/>
                <w:sz w:val="24"/>
                <w:u w:val="none" w:color="auto"/>
              </w:rPr>
              <w:t>本项目噪声监测计划</w:t>
            </w:r>
            <w:r>
              <w:rPr>
                <w:rFonts w:hint="default" w:ascii="Times New Roman" w:hAnsi="Times New Roman" w:cs="Times New Roman"/>
                <w:color w:val="auto"/>
                <w:sz w:val="24"/>
                <w:u w:val="none" w:color="auto"/>
                <w:lang w:val="en-US" w:eastAsia="zh-CN"/>
              </w:rPr>
              <w:t>根据</w:t>
            </w:r>
            <w:r>
              <w:rPr>
                <w:rFonts w:hint="default" w:ascii="Times New Roman" w:hAnsi="Times New Roman" w:cs="Times New Roman"/>
                <w:color w:val="000000" w:themeColor="text1"/>
                <w:sz w:val="24"/>
                <w:u w:val="none" w:color="auto"/>
                <w:lang w:val="en-US" w:eastAsia="zh-CN"/>
              </w:rPr>
              <w:t>《排污许可证申请与核发技术规范 工业噪声》（HJ1301-2023）</w:t>
            </w:r>
            <w:r>
              <w:rPr>
                <w:rFonts w:hint="eastAsia" w:ascii="Times New Roman" w:hAnsi="Times New Roman" w:cs="Times New Roman"/>
                <w:color w:val="auto"/>
                <w:sz w:val="24"/>
                <w:u w:val="none" w:color="auto"/>
              </w:rPr>
              <w:t>，</w:t>
            </w:r>
            <w:r>
              <w:rPr>
                <w:rFonts w:ascii="Times New Roman" w:hAnsi="Times New Roman"/>
                <w:color w:val="auto"/>
                <w:sz w:val="24"/>
                <w:szCs w:val="24"/>
                <w:u w:val="none" w:color="auto"/>
              </w:rPr>
              <w:t>具体见下表。</w:t>
            </w:r>
          </w:p>
          <w:p w14:paraId="29FC352D">
            <w:pPr>
              <w:snapToGrid w:val="0"/>
              <w:jc w:val="center"/>
              <w:rPr>
                <w:rFonts w:ascii="Times New Roman" w:hAnsi="Times New Roman" w:cs="Times New Roman"/>
                <w:b/>
                <w:color w:val="auto"/>
                <w:sz w:val="24"/>
                <w:u w:val="none" w:color="auto"/>
              </w:rPr>
            </w:pPr>
            <w:r>
              <w:rPr>
                <w:rFonts w:hint="eastAsia" w:ascii="Times New Roman" w:hAnsi="Times New Roman" w:cs="Times New Roman"/>
                <w:b/>
                <w:color w:val="auto"/>
                <w:sz w:val="24"/>
                <w:u w:val="none" w:color="auto"/>
              </w:rPr>
              <w:t>表</w:t>
            </w:r>
            <w:r>
              <w:rPr>
                <w:rFonts w:ascii="Times New Roman" w:hAnsi="Times New Roman" w:cs="Times New Roman"/>
                <w:b/>
                <w:color w:val="auto"/>
                <w:sz w:val="24"/>
                <w:u w:val="none" w:color="auto"/>
              </w:rPr>
              <w:t>4-</w:t>
            </w:r>
            <w:r>
              <w:rPr>
                <w:rFonts w:hint="eastAsia" w:ascii="Times New Roman" w:hAnsi="Times New Roman" w:cs="Times New Roman"/>
                <w:b/>
                <w:color w:val="auto"/>
                <w:sz w:val="24"/>
                <w:u w:val="none" w:color="auto"/>
                <w:lang w:val="en-US" w:eastAsia="zh-CN"/>
              </w:rPr>
              <w:t xml:space="preserve">7 </w:t>
            </w:r>
            <w:r>
              <w:rPr>
                <w:rFonts w:ascii="Times New Roman" w:hAnsi="Times New Roman" w:cs="Times New Roman"/>
                <w:b/>
                <w:color w:val="auto"/>
                <w:sz w:val="24"/>
                <w:u w:val="none" w:color="auto"/>
              </w:rPr>
              <w:t xml:space="preserve"> </w:t>
            </w:r>
            <w:r>
              <w:rPr>
                <w:rFonts w:hint="eastAsia" w:ascii="Times New Roman" w:hAnsi="Times New Roman" w:cs="Times New Roman"/>
                <w:b/>
                <w:color w:val="auto"/>
                <w:sz w:val="24"/>
                <w:u w:val="none" w:color="auto"/>
              </w:rPr>
              <w:t>噪声监测计划一览表</w:t>
            </w:r>
          </w:p>
          <w:tbl>
            <w:tblPr>
              <w:tblStyle w:val="26"/>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2"/>
              <w:gridCol w:w="3285"/>
              <w:gridCol w:w="2024"/>
              <w:gridCol w:w="1246"/>
            </w:tblGrid>
            <w:tr w14:paraId="31FDD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2" w:type="dxa"/>
                  <w:tcBorders>
                    <w:top w:val="single" w:color="auto" w:sz="12" w:space="0"/>
                    <w:left w:val="single" w:color="auto" w:sz="12" w:space="0"/>
                    <w:bottom w:val="single" w:color="auto" w:sz="6" w:space="0"/>
                    <w:right w:val="single" w:color="auto" w:sz="6" w:space="0"/>
                  </w:tcBorders>
                  <w:vAlign w:val="center"/>
                </w:tcPr>
                <w:p w14:paraId="32D67155">
                  <w:pPr>
                    <w:pStyle w:val="103"/>
                    <w:ind w:firstLine="210"/>
                    <w:rPr>
                      <w:color w:val="auto"/>
                      <w:u w:val="none" w:color="auto"/>
                    </w:rPr>
                  </w:pPr>
                  <w:r>
                    <w:rPr>
                      <w:rFonts w:hint="eastAsia"/>
                      <w:color w:val="auto"/>
                      <w:u w:val="none" w:color="auto"/>
                    </w:rPr>
                    <w:t>监测项目</w:t>
                  </w:r>
                </w:p>
              </w:tc>
              <w:tc>
                <w:tcPr>
                  <w:tcW w:w="3285" w:type="dxa"/>
                  <w:tcBorders>
                    <w:top w:val="single" w:color="auto" w:sz="12" w:space="0"/>
                    <w:left w:val="single" w:color="auto" w:sz="6" w:space="0"/>
                    <w:bottom w:val="single" w:color="auto" w:sz="6" w:space="0"/>
                    <w:right w:val="single" w:color="auto" w:sz="6" w:space="0"/>
                  </w:tcBorders>
                  <w:vAlign w:val="center"/>
                </w:tcPr>
                <w:p w14:paraId="2B11BD7A">
                  <w:pPr>
                    <w:pStyle w:val="103"/>
                    <w:ind w:firstLine="210"/>
                    <w:rPr>
                      <w:color w:val="auto"/>
                      <w:u w:val="none" w:color="auto"/>
                    </w:rPr>
                  </w:pPr>
                  <w:r>
                    <w:rPr>
                      <w:rFonts w:hint="eastAsia"/>
                      <w:color w:val="auto"/>
                      <w:u w:val="none" w:color="auto"/>
                    </w:rPr>
                    <w:t>监测点位</w:t>
                  </w:r>
                </w:p>
              </w:tc>
              <w:tc>
                <w:tcPr>
                  <w:tcW w:w="2024" w:type="dxa"/>
                  <w:tcBorders>
                    <w:top w:val="single" w:color="auto" w:sz="12" w:space="0"/>
                    <w:left w:val="single" w:color="auto" w:sz="6" w:space="0"/>
                    <w:bottom w:val="single" w:color="auto" w:sz="6" w:space="0"/>
                    <w:right w:val="single" w:color="auto" w:sz="6" w:space="0"/>
                  </w:tcBorders>
                  <w:vAlign w:val="center"/>
                </w:tcPr>
                <w:p w14:paraId="452E047C">
                  <w:pPr>
                    <w:pStyle w:val="103"/>
                    <w:ind w:firstLine="210"/>
                    <w:rPr>
                      <w:color w:val="auto"/>
                      <w:u w:val="none" w:color="auto"/>
                    </w:rPr>
                  </w:pPr>
                  <w:r>
                    <w:rPr>
                      <w:rFonts w:hint="eastAsia"/>
                      <w:color w:val="auto"/>
                      <w:u w:val="none" w:color="auto"/>
                    </w:rPr>
                    <w:t>监测因子</w:t>
                  </w:r>
                </w:p>
              </w:tc>
              <w:tc>
                <w:tcPr>
                  <w:tcW w:w="1246" w:type="dxa"/>
                  <w:tcBorders>
                    <w:top w:val="single" w:color="auto" w:sz="12" w:space="0"/>
                    <w:left w:val="single" w:color="auto" w:sz="6" w:space="0"/>
                    <w:bottom w:val="single" w:color="auto" w:sz="6" w:space="0"/>
                    <w:right w:val="single" w:color="auto" w:sz="12" w:space="0"/>
                  </w:tcBorders>
                  <w:vAlign w:val="center"/>
                </w:tcPr>
                <w:p w14:paraId="5099DF72">
                  <w:pPr>
                    <w:pStyle w:val="103"/>
                    <w:ind w:left="0" w:leftChars="0" w:firstLine="0" w:firstLineChars="0"/>
                    <w:rPr>
                      <w:color w:val="auto"/>
                      <w:u w:val="none" w:color="auto"/>
                    </w:rPr>
                  </w:pPr>
                  <w:r>
                    <w:rPr>
                      <w:rFonts w:hint="eastAsia"/>
                      <w:color w:val="auto"/>
                      <w:u w:val="none" w:color="auto"/>
                    </w:rPr>
                    <w:t>监测频次</w:t>
                  </w:r>
                </w:p>
              </w:tc>
            </w:tr>
            <w:tr w14:paraId="6C14F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2" w:type="dxa"/>
                  <w:tcBorders>
                    <w:top w:val="single" w:color="auto" w:sz="6" w:space="0"/>
                    <w:left w:val="single" w:color="auto" w:sz="12" w:space="0"/>
                    <w:bottom w:val="single" w:color="auto" w:sz="12" w:space="0"/>
                    <w:right w:val="single" w:color="auto" w:sz="6" w:space="0"/>
                  </w:tcBorders>
                  <w:vAlign w:val="center"/>
                </w:tcPr>
                <w:p w14:paraId="5F7AA51A">
                  <w:pPr>
                    <w:pStyle w:val="103"/>
                    <w:ind w:firstLine="210"/>
                    <w:rPr>
                      <w:color w:val="auto"/>
                      <w:u w:val="none" w:color="auto"/>
                    </w:rPr>
                  </w:pPr>
                  <w:r>
                    <w:rPr>
                      <w:rFonts w:hint="eastAsia"/>
                      <w:color w:val="auto"/>
                      <w:u w:val="none" w:color="auto"/>
                    </w:rPr>
                    <w:t>厂界噪声</w:t>
                  </w:r>
                </w:p>
              </w:tc>
              <w:tc>
                <w:tcPr>
                  <w:tcW w:w="3285" w:type="dxa"/>
                  <w:tcBorders>
                    <w:top w:val="single" w:color="auto" w:sz="6" w:space="0"/>
                    <w:left w:val="single" w:color="auto" w:sz="6" w:space="0"/>
                    <w:bottom w:val="single" w:color="auto" w:sz="12" w:space="0"/>
                    <w:right w:val="single" w:color="auto" w:sz="6" w:space="0"/>
                  </w:tcBorders>
                  <w:vAlign w:val="center"/>
                </w:tcPr>
                <w:p w14:paraId="0E50B3F4">
                  <w:pPr>
                    <w:pStyle w:val="103"/>
                    <w:ind w:firstLine="210"/>
                    <w:rPr>
                      <w:color w:val="auto"/>
                      <w:u w:val="none" w:color="auto"/>
                    </w:rPr>
                  </w:pPr>
                  <w:r>
                    <w:rPr>
                      <w:rFonts w:hint="eastAsia"/>
                      <w:color w:val="auto"/>
                      <w:u w:val="none" w:color="auto"/>
                    </w:rPr>
                    <w:t>厂界四周</w:t>
                  </w:r>
                  <w:r>
                    <w:rPr>
                      <w:color w:val="auto"/>
                      <w:u w:val="none" w:color="auto"/>
                    </w:rPr>
                    <w:t>1m</w:t>
                  </w:r>
                  <w:r>
                    <w:rPr>
                      <w:rFonts w:hint="eastAsia"/>
                      <w:color w:val="auto"/>
                      <w:u w:val="none" w:color="auto"/>
                    </w:rPr>
                    <w:t>处各布设一个点</w:t>
                  </w:r>
                </w:p>
              </w:tc>
              <w:tc>
                <w:tcPr>
                  <w:tcW w:w="2024" w:type="dxa"/>
                  <w:tcBorders>
                    <w:top w:val="single" w:color="auto" w:sz="6" w:space="0"/>
                    <w:left w:val="single" w:color="auto" w:sz="6" w:space="0"/>
                    <w:bottom w:val="single" w:color="auto" w:sz="12" w:space="0"/>
                    <w:right w:val="single" w:color="auto" w:sz="6" w:space="0"/>
                  </w:tcBorders>
                  <w:vAlign w:val="center"/>
                </w:tcPr>
                <w:p w14:paraId="4187BFE9">
                  <w:pPr>
                    <w:pStyle w:val="103"/>
                    <w:ind w:firstLine="210"/>
                    <w:rPr>
                      <w:color w:val="auto"/>
                      <w:u w:val="none" w:color="auto"/>
                    </w:rPr>
                  </w:pPr>
                  <w:r>
                    <w:rPr>
                      <w:rFonts w:hint="eastAsia"/>
                      <w:color w:val="auto"/>
                      <w:u w:val="none" w:color="auto"/>
                    </w:rPr>
                    <w:t>连续等效</w:t>
                  </w:r>
                  <w:r>
                    <w:rPr>
                      <w:color w:val="auto"/>
                      <w:u w:val="none" w:color="auto"/>
                    </w:rPr>
                    <w:t>A</w:t>
                  </w:r>
                  <w:r>
                    <w:rPr>
                      <w:rFonts w:hint="eastAsia"/>
                      <w:color w:val="auto"/>
                      <w:u w:val="none" w:color="auto"/>
                    </w:rPr>
                    <w:t>声级</w:t>
                  </w:r>
                </w:p>
              </w:tc>
              <w:tc>
                <w:tcPr>
                  <w:tcW w:w="1246" w:type="dxa"/>
                  <w:tcBorders>
                    <w:top w:val="single" w:color="auto" w:sz="6" w:space="0"/>
                    <w:left w:val="single" w:color="auto" w:sz="6" w:space="0"/>
                    <w:bottom w:val="single" w:color="auto" w:sz="12" w:space="0"/>
                    <w:right w:val="single" w:color="auto" w:sz="12" w:space="0"/>
                  </w:tcBorders>
                  <w:vAlign w:val="center"/>
                </w:tcPr>
                <w:p w14:paraId="129D949B">
                  <w:pPr>
                    <w:pStyle w:val="103"/>
                    <w:ind w:left="0" w:leftChars="0" w:firstLine="0" w:firstLineChars="0"/>
                    <w:rPr>
                      <w:color w:val="auto"/>
                      <w:u w:val="none" w:color="auto"/>
                    </w:rPr>
                  </w:pPr>
                  <w:r>
                    <w:rPr>
                      <w:color w:val="auto"/>
                      <w:u w:val="none" w:color="auto"/>
                    </w:rPr>
                    <w:t>1</w:t>
                  </w:r>
                  <w:r>
                    <w:rPr>
                      <w:rFonts w:hint="eastAsia"/>
                      <w:color w:val="auto"/>
                      <w:u w:val="none" w:color="auto"/>
                    </w:rPr>
                    <w:t>次</w:t>
                  </w:r>
                  <w:r>
                    <w:rPr>
                      <w:color w:val="auto"/>
                      <w:u w:val="none" w:color="auto"/>
                    </w:rPr>
                    <w:t>/</w:t>
                  </w:r>
                  <w:r>
                    <w:rPr>
                      <w:rFonts w:hint="eastAsia"/>
                      <w:color w:val="auto"/>
                      <w:u w:val="none" w:color="auto"/>
                    </w:rPr>
                    <w:t>季度</w:t>
                  </w:r>
                </w:p>
              </w:tc>
            </w:tr>
          </w:tbl>
          <w:p w14:paraId="6569C11E">
            <w:pPr>
              <w:adjustRightInd w:val="0"/>
              <w:snapToGrid w:val="0"/>
              <w:spacing w:line="360" w:lineRule="auto"/>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4</w:t>
            </w:r>
            <w:r>
              <w:rPr>
                <w:rFonts w:hint="eastAsia" w:ascii="Times New Roman" w:hAnsi="Times New Roman" w:eastAsia="宋体" w:cs="Times New Roman"/>
                <w:b/>
                <w:color w:val="auto"/>
                <w:sz w:val="24"/>
                <w:szCs w:val="24"/>
                <w:u w:val="none" w:color="auto"/>
                <w:lang w:eastAsia="zh-CN"/>
              </w:rPr>
              <w:t>、</w:t>
            </w:r>
            <w:r>
              <w:rPr>
                <w:rFonts w:ascii="Times New Roman" w:hAnsi="Times New Roman" w:eastAsia="宋体" w:cs="Times New Roman"/>
                <w:b/>
                <w:color w:val="auto"/>
                <w:sz w:val="24"/>
                <w:szCs w:val="24"/>
                <w:u w:val="none" w:color="auto"/>
              </w:rPr>
              <w:t>固体废物</w:t>
            </w:r>
          </w:p>
          <w:p w14:paraId="26301149">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Times New Roman" w:hAnsi="Times New Roman" w:cs="Times New Roman"/>
                <w:b/>
                <w:bCs/>
                <w:color w:val="auto"/>
                <w:sz w:val="24"/>
                <w:u w:val="none" w:color="auto"/>
                <w:lang w:val="en-US" w:eastAsia="zh-CN"/>
              </w:rPr>
            </w:pPr>
            <w:r>
              <w:rPr>
                <w:rFonts w:hint="eastAsia" w:ascii="Times New Roman" w:hAnsi="Times New Roman" w:cs="Times New Roman"/>
                <w:b/>
                <w:bCs/>
                <w:color w:val="auto"/>
                <w:sz w:val="24"/>
                <w:u w:val="none" w:color="auto"/>
                <w:lang w:val="en-US" w:eastAsia="zh-CN"/>
              </w:rPr>
              <w:t xml:space="preserve">4.1固废产生情况 </w:t>
            </w:r>
          </w:p>
          <w:p w14:paraId="7242CA9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cs="Times New Roman"/>
                <w:color w:val="auto"/>
                <w:sz w:val="24"/>
                <w:u w:val="none" w:color="auto"/>
              </w:rPr>
            </w:pPr>
            <w:r>
              <w:rPr>
                <w:rFonts w:ascii="Times New Roman" w:hAnsi="Times New Roman" w:cs="Times New Roman"/>
                <w:color w:val="auto"/>
                <w:sz w:val="24"/>
                <w:u w:val="none" w:color="auto"/>
              </w:rPr>
              <w:t>运营期产生固体废弃物主要为生产固废（除尘器收集的粉尘、</w:t>
            </w:r>
            <w:r>
              <w:rPr>
                <w:rFonts w:hint="eastAsia" w:ascii="Times New Roman" w:hAnsi="Times New Roman" w:cs="Times New Roman"/>
                <w:color w:val="auto"/>
                <w:sz w:val="24"/>
                <w:u w:val="none" w:color="auto"/>
                <w:lang w:val="en-US" w:eastAsia="zh-CN"/>
              </w:rPr>
              <w:t>沉淀池污泥</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废弃试验样品</w:t>
            </w:r>
            <w:r>
              <w:rPr>
                <w:rFonts w:ascii="Times New Roman" w:hAnsi="Times New Roman" w:cs="Times New Roman"/>
                <w:color w:val="auto"/>
                <w:sz w:val="24"/>
                <w:u w:val="none" w:color="auto"/>
              </w:rPr>
              <w:t>）、员工产生的生活垃圾、</w:t>
            </w:r>
            <w:r>
              <w:rPr>
                <w:rFonts w:hint="eastAsia" w:ascii="Times New Roman" w:hAnsi="Times New Roman" w:cs="Times New Roman"/>
                <w:color w:val="auto"/>
                <w:sz w:val="24"/>
                <w:u w:val="none" w:color="auto"/>
                <w:lang w:eastAsia="zh-CN"/>
              </w:rPr>
              <w:t>废含油抹布及手套</w:t>
            </w:r>
            <w:r>
              <w:rPr>
                <w:rFonts w:ascii="Times New Roman" w:hAnsi="Times New Roman" w:cs="Times New Roman"/>
                <w:color w:val="auto"/>
                <w:sz w:val="24"/>
                <w:u w:val="none" w:color="auto"/>
              </w:rPr>
              <w:t>、废矿物油等。</w:t>
            </w:r>
          </w:p>
          <w:p w14:paraId="6C9B26F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cs="Times New Roman"/>
                <w:color w:val="auto"/>
                <w:sz w:val="24"/>
                <w:u w:val="none" w:color="auto"/>
              </w:rPr>
            </w:pPr>
            <w:r>
              <w:rPr>
                <w:rFonts w:ascii="Times New Roman" w:hAnsi="Times New Roman" w:cs="Times New Roman"/>
                <w:color w:val="auto"/>
                <w:sz w:val="24"/>
                <w:u w:val="none" w:color="auto"/>
              </w:rPr>
              <w:fldChar w:fldCharType="begin"/>
            </w:r>
            <w:r>
              <w:rPr>
                <w:rFonts w:ascii="Times New Roman" w:hAnsi="Times New Roman" w:cs="Times New Roman"/>
                <w:color w:val="auto"/>
                <w:sz w:val="24"/>
                <w:u w:val="none" w:color="auto"/>
              </w:rPr>
              <w:instrText xml:space="preserve"> = 1 \* GB3 \* MERGEFORMAT </w:instrText>
            </w:r>
            <w:r>
              <w:rPr>
                <w:rFonts w:ascii="Times New Roman" w:hAnsi="Times New Roman" w:cs="Times New Roman"/>
                <w:color w:val="auto"/>
                <w:sz w:val="24"/>
                <w:u w:val="none" w:color="auto"/>
              </w:rPr>
              <w:fldChar w:fldCharType="separate"/>
            </w:r>
            <w:r>
              <w:rPr>
                <w:rFonts w:ascii="宋体" w:hAnsi="Times New Roman" w:eastAsia="宋体" w:cs="Times New Roman"/>
                <w:color w:val="auto"/>
                <w:sz w:val="24"/>
                <w:u w:val="none" w:color="auto"/>
              </w:rPr>
              <w:t>①</w:t>
            </w:r>
            <w:r>
              <w:rPr>
                <w:rFonts w:ascii="Times New Roman" w:hAnsi="Times New Roman" w:cs="Times New Roman"/>
                <w:color w:val="auto"/>
                <w:sz w:val="24"/>
                <w:u w:val="none" w:color="auto"/>
              </w:rPr>
              <w:fldChar w:fldCharType="end"/>
            </w:r>
            <w:r>
              <w:rPr>
                <w:rFonts w:ascii="Times New Roman" w:hAnsi="Times New Roman" w:cs="Times New Roman"/>
                <w:color w:val="auto"/>
                <w:sz w:val="24"/>
                <w:u w:val="none" w:color="auto"/>
              </w:rPr>
              <w:t>除尘器收集的粉尘</w:t>
            </w:r>
            <w:r>
              <w:rPr>
                <w:rFonts w:hint="eastAsia" w:ascii="Times New Roman" w:hAnsi="Times New Roman" w:cs="Times New Roman"/>
                <w:color w:val="auto"/>
                <w:sz w:val="24"/>
                <w:u w:val="none" w:color="auto"/>
                <w:lang w:eastAsia="zh-CN"/>
              </w:rPr>
              <w:t>：</w:t>
            </w:r>
            <w:r>
              <w:rPr>
                <w:rFonts w:ascii="Times New Roman" w:hAnsi="Times New Roman" w:cs="Times New Roman"/>
                <w:color w:val="auto"/>
                <w:sz w:val="24"/>
                <w:u w:val="none" w:color="auto"/>
              </w:rPr>
              <w:t>根据工程分析，项目混凝土生产线除尘器收集的粉尘为</w:t>
            </w:r>
            <w:r>
              <w:rPr>
                <w:rFonts w:hint="eastAsia" w:ascii="Times New Roman" w:hAnsi="Times New Roman" w:cs="Times New Roman"/>
                <w:color w:val="auto"/>
                <w:sz w:val="24"/>
                <w:u w:val="none" w:color="auto"/>
                <w:lang w:val="en-US" w:eastAsia="zh-CN"/>
              </w:rPr>
              <w:t>358.88</w:t>
            </w:r>
            <w:r>
              <w:rPr>
                <w:rFonts w:ascii="Times New Roman" w:hAnsi="Times New Roman" w:cs="Times New Roman"/>
                <w:color w:val="auto"/>
                <w:sz w:val="24"/>
                <w:u w:val="none" w:color="auto"/>
              </w:rPr>
              <w:t>t/a，经收集后回用于生产。</w:t>
            </w:r>
          </w:p>
          <w:p w14:paraId="1A91F93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cs="Times New Roman"/>
                <w:color w:val="auto"/>
                <w:sz w:val="24"/>
                <w:u w:val="none" w:color="auto"/>
              </w:rPr>
            </w:pPr>
            <w:r>
              <w:rPr>
                <w:rFonts w:ascii="Times New Roman" w:hAnsi="Times New Roman" w:cs="Times New Roman"/>
                <w:color w:val="auto"/>
                <w:sz w:val="24"/>
                <w:u w:val="none" w:color="auto"/>
              </w:rPr>
              <w:fldChar w:fldCharType="begin"/>
            </w:r>
            <w:r>
              <w:rPr>
                <w:rFonts w:ascii="Times New Roman" w:hAnsi="Times New Roman" w:cs="Times New Roman"/>
                <w:color w:val="auto"/>
                <w:sz w:val="24"/>
                <w:u w:val="none" w:color="auto"/>
              </w:rPr>
              <w:instrText xml:space="preserve"> = 2 \* GB3 \* MERGEFORMAT </w:instrText>
            </w:r>
            <w:r>
              <w:rPr>
                <w:rFonts w:ascii="Times New Roman" w:hAnsi="Times New Roman" w:cs="Times New Roman"/>
                <w:color w:val="auto"/>
                <w:sz w:val="24"/>
                <w:u w:val="none" w:color="auto"/>
              </w:rPr>
              <w:fldChar w:fldCharType="separate"/>
            </w:r>
            <w:r>
              <w:rPr>
                <w:rFonts w:ascii="宋体" w:hAnsi="Times New Roman" w:eastAsia="宋体" w:cs="Times New Roman"/>
                <w:color w:val="auto"/>
                <w:sz w:val="24"/>
                <w:u w:val="none" w:color="auto"/>
              </w:rPr>
              <w:t>②</w:t>
            </w:r>
            <w:r>
              <w:rPr>
                <w:rFonts w:ascii="Times New Roman" w:hAnsi="Times New Roman" w:cs="Times New Roman"/>
                <w:color w:val="auto"/>
                <w:sz w:val="24"/>
                <w:u w:val="none" w:color="auto"/>
              </w:rPr>
              <w:fldChar w:fldCharType="end"/>
            </w:r>
            <w:r>
              <w:rPr>
                <w:rFonts w:hint="eastAsia" w:ascii="Times New Roman" w:hAnsi="Times New Roman" w:cs="Times New Roman"/>
                <w:color w:val="auto"/>
                <w:sz w:val="24"/>
                <w:u w:val="none" w:color="auto"/>
                <w:lang w:val="en-US" w:eastAsia="zh-CN"/>
              </w:rPr>
              <w:t>污泥：包括沉淀池和初期雨水收集沉淀池产生的污泥。类比同类型项目，污泥</w:t>
            </w:r>
            <w:r>
              <w:rPr>
                <w:rFonts w:hint="default" w:ascii="Times New Roman" w:hAnsi="Times New Roman" w:eastAsia="宋体" w:cs="Times New Roman"/>
                <w:b w:val="0"/>
                <w:bCs/>
                <w:color w:val="auto"/>
                <w:kern w:val="0"/>
                <w:sz w:val="24"/>
                <w:szCs w:val="24"/>
                <w:highlight w:val="none"/>
                <w:u w:val="none" w:color="auto"/>
                <w:lang w:val="en-US" w:eastAsia="zh-CN" w:bidi="ar"/>
              </w:rPr>
              <w:t>产生量约</w:t>
            </w:r>
            <w:r>
              <w:rPr>
                <w:rFonts w:hint="eastAsia" w:ascii="Times New Roman" w:hAnsi="Times New Roman" w:eastAsia="宋体" w:cs="Times New Roman"/>
                <w:b w:val="0"/>
                <w:bCs/>
                <w:color w:val="auto"/>
                <w:kern w:val="0"/>
                <w:sz w:val="24"/>
                <w:szCs w:val="24"/>
                <w:highlight w:val="none"/>
                <w:u w:val="none" w:color="auto"/>
                <w:lang w:val="en-US" w:eastAsia="zh-CN" w:bidi="ar"/>
              </w:rPr>
              <w:t>占</w:t>
            </w:r>
            <w:r>
              <w:rPr>
                <w:rFonts w:hint="default" w:ascii="Times New Roman" w:hAnsi="Times New Roman" w:eastAsia="宋体" w:cs="Times New Roman"/>
                <w:b w:val="0"/>
                <w:bCs/>
                <w:color w:val="auto"/>
                <w:kern w:val="0"/>
                <w:sz w:val="24"/>
                <w:szCs w:val="24"/>
                <w:highlight w:val="none"/>
                <w:u w:val="none" w:color="auto"/>
                <w:lang w:val="en-US" w:eastAsia="zh-CN" w:bidi="ar"/>
              </w:rPr>
              <w:t>废水量的0.3%，</w:t>
            </w:r>
            <w:r>
              <w:rPr>
                <w:rFonts w:hint="eastAsia" w:ascii="Times New Roman" w:hAnsi="Times New Roman" w:eastAsia="宋体" w:cs="Times New Roman"/>
                <w:b w:val="0"/>
                <w:bCs/>
                <w:color w:val="auto"/>
                <w:kern w:val="0"/>
                <w:sz w:val="24"/>
                <w:szCs w:val="24"/>
                <w:highlight w:val="none"/>
                <w:u w:val="none" w:color="auto"/>
                <w:lang w:val="en-US" w:eastAsia="zh-CN" w:bidi="ar"/>
              </w:rPr>
              <w:t>项目生产</w:t>
            </w:r>
            <w:r>
              <w:rPr>
                <w:rFonts w:hint="default" w:ascii="Times New Roman" w:hAnsi="Times New Roman" w:eastAsia="宋体" w:cs="Times New Roman"/>
                <w:b w:val="0"/>
                <w:bCs/>
                <w:color w:val="auto"/>
                <w:kern w:val="0"/>
                <w:sz w:val="24"/>
                <w:szCs w:val="24"/>
                <w:highlight w:val="none"/>
                <w:u w:val="none" w:color="auto"/>
                <w:lang w:val="en-US" w:eastAsia="zh-CN" w:bidi="ar"/>
              </w:rPr>
              <w:t>废水</w:t>
            </w:r>
            <w:r>
              <w:rPr>
                <w:rFonts w:hint="eastAsia" w:ascii="Times New Roman" w:hAnsi="Times New Roman" w:eastAsia="宋体" w:cs="Times New Roman"/>
                <w:b w:val="0"/>
                <w:bCs/>
                <w:color w:val="auto"/>
                <w:kern w:val="0"/>
                <w:sz w:val="24"/>
                <w:szCs w:val="24"/>
                <w:highlight w:val="none"/>
                <w:u w:val="none" w:color="auto"/>
                <w:lang w:val="en-US" w:eastAsia="zh-CN" w:bidi="ar"/>
              </w:rPr>
              <w:t>+初期雨水总</w:t>
            </w:r>
            <w:r>
              <w:rPr>
                <w:rFonts w:hint="default" w:ascii="Times New Roman" w:hAnsi="Times New Roman" w:eastAsia="宋体" w:cs="Times New Roman"/>
                <w:b w:val="0"/>
                <w:bCs/>
                <w:color w:val="auto"/>
                <w:kern w:val="0"/>
                <w:sz w:val="24"/>
                <w:szCs w:val="24"/>
                <w:highlight w:val="none"/>
                <w:u w:val="none" w:color="auto"/>
                <w:lang w:val="en-US" w:eastAsia="zh-CN" w:bidi="ar"/>
              </w:rPr>
              <w:t>量约</w:t>
            </w:r>
            <w:r>
              <w:rPr>
                <w:rFonts w:hint="eastAsia" w:ascii="Times New Roman" w:hAnsi="Times New Roman" w:eastAsia="宋体" w:cs="Times New Roman"/>
                <w:b w:val="0"/>
                <w:bCs/>
                <w:color w:val="auto"/>
                <w:kern w:val="0"/>
                <w:sz w:val="24"/>
                <w:szCs w:val="24"/>
                <w:highlight w:val="none"/>
                <w:u w:val="none" w:color="auto"/>
                <w:lang w:val="en-US" w:eastAsia="zh-CN" w:bidi="ar"/>
              </w:rPr>
              <w:t>6688</w:t>
            </w:r>
            <w:r>
              <w:rPr>
                <w:rFonts w:hint="default" w:ascii="Times New Roman" w:hAnsi="Times New Roman" w:eastAsia="宋体" w:cs="Times New Roman"/>
                <w:b w:val="0"/>
                <w:bCs/>
                <w:color w:val="auto"/>
                <w:kern w:val="0"/>
                <w:sz w:val="24"/>
                <w:szCs w:val="24"/>
                <w:highlight w:val="none"/>
                <w:u w:val="none" w:color="auto"/>
                <w:lang w:val="en-US" w:eastAsia="zh-CN" w:bidi="ar"/>
              </w:rPr>
              <w:t>m</w:t>
            </w:r>
            <w:r>
              <w:rPr>
                <w:rFonts w:hint="default" w:ascii="Times New Roman" w:hAnsi="Times New Roman" w:eastAsia="宋体" w:cs="Times New Roman"/>
                <w:b w:val="0"/>
                <w:bCs/>
                <w:color w:val="auto"/>
                <w:kern w:val="0"/>
                <w:sz w:val="24"/>
                <w:szCs w:val="24"/>
                <w:highlight w:val="none"/>
                <w:u w:val="none" w:color="auto"/>
                <w:vertAlign w:val="superscript"/>
                <w:lang w:val="en-US" w:eastAsia="zh-CN" w:bidi="ar"/>
              </w:rPr>
              <w:t>3</w:t>
            </w:r>
            <w:r>
              <w:rPr>
                <w:rFonts w:hint="default" w:ascii="Times New Roman" w:hAnsi="Times New Roman" w:eastAsia="宋体" w:cs="Times New Roman"/>
                <w:b w:val="0"/>
                <w:bCs/>
                <w:color w:val="auto"/>
                <w:kern w:val="0"/>
                <w:sz w:val="24"/>
                <w:szCs w:val="24"/>
                <w:highlight w:val="none"/>
                <w:u w:val="none" w:color="auto"/>
                <w:lang w:val="en-US" w:eastAsia="zh-CN" w:bidi="ar"/>
              </w:rPr>
              <w:t>/a，则污泥量约</w:t>
            </w:r>
            <w:r>
              <w:rPr>
                <w:rFonts w:hint="eastAsia" w:ascii="Times New Roman" w:hAnsi="Times New Roman" w:eastAsia="宋体" w:cs="Times New Roman"/>
                <w:b w:val="0"/>
                <w:bCs/>
                <w:color w:val="auto"/>
                <w:kern w:val="0"/>
                <w:sz w:val="24"/>
                <w:szCs w:val="24"/>
                <w:highlight w:val="none"/>
                <w:u w:val="none" w:color="auto"/>
                <w:lang w:val="en-US" w:eastAsia="zh-CN" w:bidi="ar"/>
              </w:rPr>
              <w:t>20.064</w:t>
            </w:r>
            <w:r>
              <w:rPr>
                <w:rFonts w:hint="default" w:ascii="Times New Roman" w:hAnsi="Times New Roman" w:eastAsia="宋体" w:cs="Times New Roman"/>
                <w:b w:val="0"/>
                <w:bCs/>
                <w:color w:val="auto"/>
                <w:kern w:val="0"/>
                <w:sz w:val="24"/>
                <w:szCs w:val="24"/>
                <w:highlight w:val="none"/>
                <w:u w:val="none" w:color="auto"/>
                <w:lang w:val="en-US" w:eastAsia="zh-CN" w:bidi="ar"/>
              </w:rPr>
              <w:t>t/a</w:t>
            </w:r>
            <w:r>
              <w:rPr>
                <w:rFonts w:ascii="Times New Roman" w:hAnsi="Times New Roman" w:cs="Times New Roman"/>
                <w:color w:val="auto"/>
                <w:sz w:val="24"/>
                <w:u w:val="none" w:color="auto"/>
              </w:rPr>
              <w:t>，经砂石分离器分离砂石</w:t>
            </w:r>
            <w:r>
              <w:rPr>
                <w:rFonts w:hint="eastAsia" w:ascii="Times New Roman" w:hAnsi="Times New Roman" w:cs="Times New Roman"/>
                <w:color w:val="auto"/>
                <w:sz w:val="24"/>
                <w:u w:val="none" w:color="auto"/>
                <w:lang w:val="en-US" w:eastAsia="zh-CN"/>
              </w:rPr>
              <w:t>、压滤机压滤后，砂石和滤渣</w:t>
            </w:r>
            <w:r>
              <w:rPr>
                <w:rFonts w:ascii="Times New Roman" w:hAnsi="Times New Roman" w:cs="Times New Roman"/>
                <w:color w:val="auto"/>
                <w:sz w:val="24"/>
                <w:u w:val="none" w:color="auto"/>
              </w:rPr>
              <w:t>作为原料回用。</w:t>
            </w:r>
          </w:p>
          <w:p w14:paraId="6B1036C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Times New Roman" w:eastAsia="宋体" w:cs="Times New Roman"/>
                <w:color w:val="auto"/>
                <w:sz w:val="24"/>
                <w:u w:val="none" w:color="auto"/>
              </w:rPr>
            </w:pPr>
            <w:r>
              <w:rPr>
                <w:rFonts w:ascii="宋体" w:hAnsi="Times New Roman" w:eastAsia="宋体" w:cs="Times New Roman"/>
                <w:color w:val="auto"/>
                <w:sz w:val="24"/>
                <w:u w:val="none" w:color="auto"/>
              </w:rPr>
              <w:t>③</w:t>
            </w:r>
            <w:r>
              <w:rPr>
                <w:rFonts w:hint="eastAsia" w:ascii="Times New Roman" w:hAnsi="Times New Roman" w:cs="Times New Roman"/>
                <w:color w:val="auto"/>
                <w:sz w:val="24"/>
                <w:u w:val="none" w:color="auto"/>
                <w:lang w:val="en-US" w:eastAsia="zh-CN"/>
              </w:rPr>
              <w:t>废弃试验样品：</w:t>
            </w:r>
            <w:r>
              <w:rPr>
                <w:rFonts w:ascii="Times New Roman" w:hAnsi="Times New Roman" w:cs="Times New Roman"/>
                <w:color w:val="auto"/>
                <w:sz w:val="24"/>
                <w:u w:val="none" w:color="auto"/>
              </w:rPr>
              <w:t>类比同类型项目，</w:t>
            </w:r>
            <w:r>
              <w:rPr>
                <w:rFonts w:hint="eastAsia" w:ascii="Times New Roman" w:hAnsi="Times New Roman" w:cs="Times New Roman"/>
                <w:color w:val="auto"/>
                <w:sz w:val="24"/>
                <w:u w:val="none" w:color="auto"/>
                <w:lang w:val="en-US" w:eastAsia="zh-CN"/>
              </w:rPr>
              <w:t>废弃试验样品产生量</w:t>
            </w:r>
            <w:r>
              <w:rPr>
                <w:rFonts w:ascii="Times New Roman" w:hAnsi="Times New Roman" w:cs="Times New Roman"/>
                <w:color w:val="auto"/>
                <w:sz w:val="24"/>
                <w:u w:val="none" w:color="auto"/>
              </w:rPr>
              <w:t>约</w:t>
            </w:r>
            <w:r>
              <w:rPr>
                <w:rFonts w:hint="eastAsia" w:ascii="Times New Roman" w:hAnsi="Times New Roman" w:cs="Times New Roman"/>
                <w:color w:val="auto"/>
                <w:sz w:val="24"/>
                <w:u w:val="none" w:color="auto"/>
                <w:lang w:val="en-US" w:eastAsia="zh-CN"/>
              </w:rPr>
              <w:t>3.0</w:t>
            </w:r>
            <w:r>
              <w:rPr>
                <w:rFonts w:ascii="Times New Roman" w:hAnsi="Times New Roman" w:cs="Times New Roman"/>
                <w:color w:val="auto"/>
                <w:sz w:val="24"/>
                <w:u w:val="none" w:color="auto"/>
              </w:rPr>
              <w:t>t/a，经</w:t>
            </w:r>
            <w:r>
              <w:rPr>
                <w:rFonts w:hint="eastAsia" w:ascii="Times New Roman" w:hAnsi="Times New Roman" w:cs="Times New Roman"/>
                <w:color w:val="auto"/>
                <w:sz w:val="24"/>
                <w:u w:val="none" w:color="auto"/>
                <w:lang w:val="en-US" w:eastAsia="zh-CN"/>
              </w:rPr>
              <w:t>收集后</w:t>
            </w:r>
            <w:r>
              <w:rPr>
                <w:rFonts w:ascii="Times New Roman" w:hAnsi="Times New Roman" w:cs="Times New Roman"/>
                <w:color w:val="auto"/>
                <w:sz w:val="24"/>
                <w:u w:val="none" w:color="auto"/>
              </w:rPr>
              <w:t>回用</w:t>
            </w:r>
            <w:r>
              <w:rPr>
                <w:rFonts w:hint="eastAsia" w:ascii="Times New Roman" w:hAnsi="Times New Roman" w:cs="Times New Roman"/>
                <w:color w:val="auto"/>
                <w:sz w:val="24"/>
                <w:u w:val="none" w:color="auto"/>
                <w:lang w:val="en-US" w:eastAsia="zh-CN"/>
              </w:rPr>
              <w:t>于生产，不外排</w:t>
            </w:r>
            <w:r>
              <w:rPr>
                <w:rFonts w:ascii="Times New Roman" w:hAnsi="Times New Roman" w:cs="Times New Roman"/>
                <w:color w:val="auto"/>
                <w:sz w:val="24"/>
                <w:u w:val="none" w:color="auto"/>
              </w:rPr>
              <w:t>。</w:t>
            </w:r>
          </w:p>
          <w:p w14:paraId="0EA2AE9F">
            <w:pPr>
              <w:spacing w:line="360" w:lineRule="auto"/>
              <w:ind w:firstLine="480" w:firstLineChars="200"/>
              <w:rPr>
                <w:rFonts w:ascii="Times New Roman" w:hAnsi="Times New Roman" w:cs="Times New Roman"/>
                <w:color w:val="auto"/>
                <w:sz w:val="24"/>
              </w:rPr>
            </w:pPr>
            <w:r>
              <w:rPr>
                <w:rFonts w:ascii="宋体" w:hAnsi="Times New Roman" w:eastAsia="宋体" w:cs="Times New Roman"/>
                <w:color w:val="auto"/>
                <w:sz w:val="24"/>
              </w:rPr>
              <w:t>③</w:t>
            </w:r>
            <w:r>
              <w:rPr>
                <w:rFonts w:ascii="Times New Roman" w:hAnsi="Times New Roman" w:cs="Times New Roman"/>
                <w:color w:val="auto"/>
                <w:sz w:val="24"/>
              </w:rPr>
              <w:t>生活垃圾</w:t>
            </w:r>
            <w:r>
              <w:rPr>
                <w:rFonts w:hint="eastAsia" w:ascii="Times New Roman" w:hAnsi="Times New Roman" w:cs="Times New Roman"/>
                <w:color w:val="auto"/>
                <w:sz w:val="24"/>
              </w:rPr>
              <w:t>：</w:t>
            </w:r>
            <w:r>
              <w:rPr>
                <w:rFonts w:ascii="Times New Roman" w:hAnsi="Times New Roman" w:cs="Times New Roman"/>
                <w:color w:val="auto"/>
                <w:sz w:val="24"/>
              </w:rPr>
              <w:t>本项目劳动定员</w:t>
            </w:r>
            <w:r>
              <w:rPr>
                <w:rFonts w:hint="eastAsia" w:ascii="Times New Roman" w:hAnsi="Times New Roman" w:cs="Times New Roman"/>
                <w:color w:val="auto"/>
                <w:sz w:val="24"/>
              </w:rPr>
              <w:t>40</w:t>
            </w:r>
            <w:r>
              <w:rPr>
                <w:rFonts w:ascii="Times New Roman" w:hAnsi="Times New Roman" w:cs="Times New Roman"/>
                <w:color w:val="auto"/>
                <w:sz w:val="24"/>
              </w:rPr>
              <w:t>人，年工作天数为</w:t>
            </w:r>
            <w:r>
              <w:rPr>
                <w:rFonts w:hint="eastAsia" w:ascii="Times New Roman" w:hAnsi="Times New Roman" w:cs="Times New Roman"/>
                <w:color w:val="auto"/>
                <w:sz w:val="24"/>
              </w:rPr>
              <w:t>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0天，在生产营运期间生活垃圾产生系数取</w:t>
            </w:r>
            <w:r>
              <w:rPr>
                <w:rFonts w:hint="eastAsia" w:ascii="Times New Roman" w:hAnsi="Times New Roman" w:cs="Times New Roman"/>
                <w:color w:val="auto"/>
                <w:sz w:val="24"/>
              </w:rPr>
              <w:t>1</w:t>
            </w:r>
            <w:r>
              <w:rPr>
                <w:rFonts w:ascii="Times New Roman" w:hAnsi="Times New Roman" w:cs="Times New Roman"/>
                <w:color w:val="auto"/>
                <w:sz w:val="24"/>
              </w:rPr>
              <w:t>kg/人•天，因此，项目生活垃圾产生量为</w:t>
            </w:r>
            <w:r>
              <w:rPr>
                <w:rFonts w:hint="eastAsia" w:ascii="Times New Roman" w:hAnsi="Times New Roman" w:cs="Times New Roman"/>
                <w:color w:val="auto"/>
                <w:sz w:val="24"/>
              </w:rPr>
              <w:t>4</w:t>
            </w:r>
            <w:r>
              <w:rPr>
                <w:rFonts w:hint="eastAsia" w:ascii="Times New Roman" w:hAnsi="Times New Roman" w:cs="Times New Roman"/>
                <w:color w:val="auto"/>
                <w:sz w:val="24"/>
                <w:lang w:val="en-US" w:eastAsia="zh-CN"/>
              </w:rPr>
              <w:t>4</w:t>
            </w:r>
            <w:r>
              <w:rPr>
                <w:rFonts w:ascii="Times New Roman" w:hAnsi="Times New Roman" w:cs="Times New Roman"/>
                <w:color w:val="auto"/>
                <w:sz w:val="24"/>
              </w:rPr>
              <w:t>kg/d、</w:t>
            </w:r>
            <w:r>
              <w:rPr>
                <w:rFonts w:hint="eastAsia" w:ascii="Times New Roman" w:hAnsi="Times New Roman" w:cs="Times New Roman"/>
                <w:color w:val="auto"/>
                <w:sz w:val="24"/>
              </w:rPr>
              <w:t>8.</w:t>
            </w:r>
            <w:r>
              <w:rPr>
                <w:rFonts w:hint="eastAsia" w:ascii="Times New Roman" w:hAnsi="Times New Roman" w:cs="Times New Roman"/>
                <w:color w:val="auto"/>
                <w:sz w:val="24"/>
                <w:lang w:val="en-US" w:eastAsia="zh-CN"/>
              </w:rPr>
              <w:t>8</w:t>
            </w:r>
            <w:r>
              <w:rPr>
                <w:rFonts w:ascii="Times New Roman" w:hAnsi="Times New Roman" w:cs="Times New Roman"/>
                <w:color w:val="auto"/>
                <w:sz w:val="24"/>
              </w:rPr>
              <w:t>t/a。</w:t>
            </w:r>
          </w:p>
          <w:p w14:paraId="309A42D1">
            <w:pPr>
              <w:spacing w:line="360" w:lineRule="auto"/>
              <w:ind w:firstLine="480" w:firstLineChars="200"/>
              <w:rPr>
                <w:rFonts w:ascii="Times New Roman" w:hAnsi="Times New Roman" w:cs="Times New Roman"/>
                <w:color w:val="auto"/>
                <w:sz w:val="24"/>
                <w:u w:val="none" w:color="auto"/>
              </w:rPr>
            </w:pPr>
            <w:r>
              <w:rPr>
                <w:rFonts w:ascii="宋体" w:hAnsi="Times New Roman" w:eastAsia="宋体" w:cs="Times New Roman"/>
                <w:color w:val="auto"/>
                <w:sz w:val="24"/>
                <w:u w:val="none" w:color="auto"/>
              </w:rPr>
              <w:t>④</w:t>
            </w:r>
            <w:r>
              <w:rPr>
                <w:rFonts w:hint="eastAsia" w:ascii="Times New Roman" w:hAnsi="Times New Roman" w:eastAsia="宋体" w:cs="Times New Roman"/>
                <w:color w:val="auto"/>
                <w:sz w:val="24"/>
                <w:u w:val="none" w:color="auto"/>
                <w:lang w:eastAsia="zh-CN"/>
              </w:rPr>
              <w:t>废含油抹布及手套：</w:t>
            </w:r>
            <w:r>
              <w:rPr>
                <w:rFonts w:ascii="Times New Roman" w:hAnsi="Times New Roman" w:cs="Times New Roman"/>
                <w:color w:val="auto"/>
                <w:sz w:val="24"/>
                <w:u w:val="none" w:color="auto"/>
              </w:rPr>
              <w:t>项目</w:t>
            </w:r>
            <w:r>
              <w:rPr>
                <w:rFonts w:hint="eastAsia" w:ascii="Times New Roman" w:hAnsi="Times New Roman" w:cs="Times New Roman"/>
                <w:color w:val="auto"/>
                <w:sz w:val="24"/>
                <w:u w:val="none" w:color="auto"/>
                <w:lang w:val="en-US" w:eastAsia="zh-CN"/>
              </w:rPr>
              <w:t>生产过程</w:t>
            </w:r>
            <w:r>
              <w:rPr>
                <w:rFonts w:ascii="Times New Roman" w:hAnsi="Times New Roman" w:cs="Times New Roman"/>
                <w:color w:val="auto"/>
                <w:sz w:val="24"/>
                <w:u w:val="none" w:color="auto"/>
              </w:rPr>
              <w:t>对生产设备进行维护保养，会产生少量的含油废抹布</w:t>
            </w:r>
            <w:r>
              <w:rPr>
                <w:rFonts w:hint="eastAsia" w:ascii="Times New Roman" w:hAnsi="Times New Roman" w:cs="Times New Roman"/>
                <w:color w:val="auto"/>
                <w:sz w:val="24"/>
                <w:u w:val="none" w:color="auto"/>
                <w:lang w:val="en-US" w:eastAsia="zh-CN"/>
              </w:rPr>
              <w:t>及手套</w:t>
            </w:r>
            <w:r>
              <w:rPr>
                <w:rFonts w:ascii="Times New Roman" w:hAnsi="Times New Roman" w:cs="Times New Roman"/>
                <w:color w:val="auto"/>
                <w:sz w:val="24"/>
                <w:u w:val="none" w:color="auto"/>
              </w:rPr>
              <w:t>，产生量</w:t>
            </w:r>
            <w:r>
              <w:rPr>
                <w:rFonts w:hint="eastAsia" w:ascii="Times New Roman" w:hAnsi="Times New Roman" w:cs="Times New Roman"/>
                <w:color w:val="auto"/>
                <w:sz w:val="24"/>
                <w:u w:val="none" w:color="auto"/>
                <w:lang w:val="en-US" w:eastAsia="zh-CN"/>
              </w:rPr>
              <w:t>约</w:t>
            </w:r>
            <w:r>
              <w:rPr>
                <w:rFonts w:ascii="Times New Roman" w:hAnsi="Times New Roman" w:cs="Times New Roman"/>
                <w:color w:val="auto"/>
                <w:sz w:val="24"/>
                <w:u w:val="none" w:color="auto"/>
              </w:rPr>
              <w:t>为0.2t/a</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属于</w:t>
            </w:r>
            <w:r>
              <w:rPr>
                <w:rFonts w:ascii="Times New Roman" w:hAnsi="Times New Roman" w:cs="Times New Roman"/>
                <w:color w:val="auto"/>
                <w:sz w:val="24"/>
                <w:u w:val="none" w:color="auto"/>
              </w:rPr>
              <w:t>《国家危险废物名录》（</w:t>
            </w:r>
            <w:r>
              <w:rPr>
                <w:rFonts w:hint="eastAsia" w:ascii="Times New Roman" w:hAnsi="Times New Roman" w:cs="Times New Roman"/>
                <w:color w:val="auto"/>
                <w:sz w:val="24"/>
                <w:u w:val="none" w:color="auto"/>
                <w:lang w:val="en-US" w:eastAsia="zh-CN"/>
              </w:rPr>
              <w:t>2021年版</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中危险废物，</w:t>
            </w:r>
            <w:r>
              <w:rPr>
                <w:rFonts w:ascii="Times New Roman" w:hAnsi="Times New Roman" w:cs="Times New Roman"/>
                <w:color w:val="auto"/>
                <w:sz w:val="24"/>
                <w:szCs w:val="24"/>
                <w:u w:val="none" w:color="auto"/>
              </w:rPr>
              <w:t>废物类别为</w:t>
            </w:r>
            <w:r>
              <w:rPr>
                <w:rFonts w:ascii="Times New Roman" w:hAnsi="Times New Roman" w:cs="Times New Roman"/>
                <w:color w:val="auto"/>
                <w:sz w:val="24"/>
                <w:u w:val="none" w:color="auto"/>
              </w:rPr>
              <w:t>HW49</w:t>
            </w:r>
            <w:r>
              <w:rPr>
                <w:rFonts w:hint="eastAsia" w:ascii="Times New Roman" w:hAnsi="Times New Roman" w:cs="Times New Roman"/>
                <w:color w:val="auto"/>
                <w:sz w:val="24"/>
                <w:szCs w:val="24"/>
                <w:u w:val="none" w:color="auto"/>
                <w:lang w:val="en-US" w:eastAsia="zh-CN"/>
              </w:rPr>
              <w:t>其他</w:t>
            </w:r>
            <w:r>
              <w:rPr>
                <w:rFonts w:ascii="Times New Roman" w:hAnsi="Times New Roman" w:cs="Times New Roman"/>
                <w:color w:val="auto"/>
                <w:sz w:val="24"/>
                <w:szCs w:val="24"/>
                <w:u w:val="none" w:color="auto"/>
              </w:rPr>
              <w:t>废物，</w:t>
            </w:r>
            <w:r>
              <w:rPr>
                <w:rFonts w:hint="eastAsia" w:ascii="Times New Roman" w:hAnsi="Times New Roman" w:cs="Times New Roman"/>
                <w:color w:val="auto"/>
                <w:sz w:val="24"/>
                <w:szCs w:val="24"/>
                <w:u w:val="none" w:color="auto"/>
                <w:lang w:val="en-US" w:eastAsia="zh-CN"/>
              </w:rPr>
              <w:t>废物</w:t>
            </w:r>
            <w:r>
              <w:rPr>
                <w:rFonts w:hint="eastAsia" w:ascii="Times New Roman" w:hAnsi="Times New Roman" w:cs="Times New Roman"/>
                <w:color w:val="auto"/>
                <w:sz w:val="24"/>
                <w:u w:val="none" w:color="auto"/>
                <w:lang w:val="en-US" w:eastAsia="zh-CN"/>
              </w:rPr>
              <w:t>代码为</w:t>
            </w:r>
            <w:r>
              <w:rPr>
                <w:rFonts w:ascii="Times New Roman" w:hAnsi="Times New Roman" w:cs="Times New Roman"/>
                <w:color w:val="auto"/>
                <w:sz w:val="24"/>
                <w:u w:val="none" w:color="auto"/>
              </w:rPr>
              <w:t xml:space="preserve"> 900-041-49</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收集暂存于危废暂存间，定期</w:t>
            </w:r>
            <w:r>
              <w:rPr>
                <w:rFonts w:ascii="Times New Roman" w:hAnsi="Times New Roman" w:cs="Times New Roman"/>
                <w:color w:val="auto"/>
                <w:sz w:val="24"/>
                <w:u w:val="none" w:color="auto"/>
              </w:rPr>
              <w:t>交由有资质的单位</w:t>
            </w:r>
            <w:r>
              <w:rPr>
                <w:rFonts w:hint="eastAsia" w:ascii="Times New Roman" w:hAnsi="Times New Roman" w:cs="Times New Roman"/>
                <w:color w:val="auto"/>
                <w:sz w:val="24"/>
                <w:u w:val="none" w:color="auto"/>
                <w:lang w:val="en-US" w:eastAsia="zh-CN"/>
              </w:rPr>
              <w:t>处置</w:t>
            </w:r>
            <w:r>
              <w:rPr>
                <w:rFonts w:ascii="Times New Roman" w:hAnsi="Times New Roman" w:cs="Times New Roman"/>
                <w:color w:val="auto"/>
                <w:sz w:val="24"/>
                <w:u w:val="none" w:color="auto"/>
              </w:rPr>
              <w:t>。</w:t>
            </w:r>
          </w:p>
          <w:p w14:paraId="5AA5DF02">
            <w:pPr>
              <w:spacing w:line="360" w:lineRule="auto"/>
              <w:ind w:firstLine="480" w:firstLineChars="200"/>
              <w:rPr>
                <w:rFonts w:ascii="Times New Roman" w:hAnsi="Times New Roman" w:cs="Times New Roman"/>
                <w:color w:val="auto"/>
                <w:sz w:val="24"/>
                <w:szCs w:val="24"/>
                <w:u w:val="none" w:color="auto"/>
              </w:rPr>
            </w:pPr>
            <w:r>
              <w:rPr>
                <w:rFonts w:ascii="宋体" w:hAnsi="Times New Roman" w:eastAsia="宋体" w:cs="Times New Roman"/>
                <w:color w:val="auto"/>
                <w:sz w:val="24"/>
                <w:szCs w:val="24"/>
                <w:u w:val="none" w:color="auto"/>
              </w:rPr>
              <w:t>⑤</w:t>
            </w:r>
            <w:r>
              <w:rPr>
                <w:rFonts w:ascii="Times New Roman" w:hAnsi="Times New Roman" w:cs="Times New Roman"/>
                <w:color w:val="auto"/>
                <w:sz w:val="24"/>
                <w:szCs w:val="24"/>
                <w:u w:val="none" w:color="auto"/>
              </w:rPr>
              <w:t>废</w:t>
            </w:r>
            <w:r>
              <w:rPr>
                <w:rFonts w:hint="eastAsia" w:ascii="Times New Roman" w:hAnsi="Times New Roman" w:cs="Times New Roman"/>
                <w:color w:val="auto"/>
                <w:sz w:val="24"/>
                <w:szCs w:val="24"/>
                <w:u w:val="none" w:color="auto"/>
              </w:rPr>
              <w:t>矿物油</w:t>
            </w:r>
            <w:r>
              <w:rPr>
                <w:rFonts w:hint="eastAsia" w:ascii="Times New Roman" w:hAnsi="Times New Roman" w:cs="Times New Roman"/>
                <w:color w:val="auto"/>
                <w:sz w:val="24"/>
                <w:szCs w:val="24"/>
                <w:u w:val="none" w:color="auto"/>
                <w:lang w:eastAsia="zh-CN"/>
              </w:rPr>
              <w:t>：</w:t>
            </w:r>
            <w:r>
              <w:rPr>
                <w:rFonts w:hint="eastAsia"/>
                <w:color w:val="auto"/>
                <w:sz w:val="24"/>
                <w:u w:val="none" w:color="auto"/>
                <w:lang w:val="en-US" w:eastAsia="zh-CN"/>
              </w:rPr>
              <w:t>本</w:t>
            </w:r>
            <w:r>
              <w:rPr>
                <w:rFonts w:ascii="Times New Roman" w:hAnsi="Times New Roman" w:cs="Times New Roman"/>
                <w:color w:val="auto"/>
                <w:sz w:val="24"/>
                <w:szCs w:val="24"/>
                <w:u w:val="none" w:color="auto"/>
              </w:rPr>
              <w:t>项目废矿物油主要</w:t>
            </w:r>
            <w:r>
              <w:rPr>
                <w:rFonts w:hint="eastAsia" w:ascii="Times New Roman" w:hAnsi="Times New Roman" w:cs="Times New Roman"/>
                <w:color w:val="auto"/>
                <w:sz w:val="24"/>
                <w:szCs w:val="24"/>
                <w:u w:val="none" w:color="auto"/>
                <w:lang w:eastAsia="zh-CN"/>
              </w:rPr>
              <w:t>来自</w:t>
            </w:r>
            <w:r>
              <w:rPr>
                <w:rFonts w:hint="eastAsia" w:ascii="Times New Roman" w:hAnsi="Times New Roman" w:cs="Times New Roman"/>
                <w:color w:val="auto"/>
                <w:sz w:val="24"/>
                <w:szCs w:val="24"/>
                <w:u w:val="none" w:color="auto"/>
                <w:lang w:val="en-US" w:eastAsia="zh-CN"/>
              </w:rPr>
              <w:t>机械</w:t>
            </w:r>
            <w:r>
              <w:rPr>
                <w:rFonts w:ascii="Times New Roman" w:hAnsi="Times New Roman" w:cs="Times New Roman"/>
                <w:color w:val="auto"/>
                <w:sz w:val="24"/>
                <w:szCs w:val="24"/>
                <w:u w:val="none" w:color="auto"/>
              </w:rPr>
              <w:t>设备</w:t>
            </w:r>
            <w:r>
              <w:rPr>
                <w:rFonts w:hint="eastAsia" w:ascii="Times New Roman" w:hAnsi="Times New Roman" w:cs="Times New Roman"/>
                <w:color w:val="auto"/>
                <w:sz w:val="24"/>
                <w:szCs w:val="24"/>
                <w:u w:val="none" w:color="auto"/>
                <w:lang w:val="en-US" w:eastAsia="zh-CN"/>
              </w:rPr>
              <w:t>的维护保养</w:t>
            </w:r>
            <w:r>
              <w:rPr>
                <w:rFonts w:ascii="Times New Roman" w:hAnsi="Times New Roman" w:cs="Times New Roman"/>
                <w:color w:val="auto"/>
                <w:sz w:val="24"/>
                <w:szCs w:val="24"/>
                <w:u w:val="none" w:color="auto"/>
              </w:rPr>
              <w:t>，产生量约为0.5t/a</w:t>
            </w:r>
            <w:r>
              <w:rPr>
                <w:rFonts w:hint="eastAsia" w:ascii="Times New Roman" w:hAnsi="Times New Roman" w:cs="Times New Roman"/>
                <w:color w:val="auto"/>
                <w:sz w:val="24"/>
                <w:szCs w:val="24"/>
                <w:u w:val="none" w:color="auto"/>
                <w:lang w:eastAsia="zh-CN"/>
              </w:rPr>
              <w:t>，</w:t>
            </w:r>
            <w:r>
              <w:rPr>
                <w:rFonts w:ascii="Times New Roman" w:hAnsi="Times New Roman" w:cs="Times New Roman"/>
                <w:color w:val="auto"/>
                <w:sz w:val="24"/>
                <w:szCs w:val="24"/>
                <w:u w:val="none" w:color="auto"/>
              </w:rPr>
              <w:t>废矿物油属于</w:t>
            </w:r>
            <w:r>
              <w:rPr>
                <w:rFonts w:ascii="Times New Roman" w:hAnsi="Times New Roman" w:cs="Times New Roman"/>
                <w:color w:val="auto"/>
                <w:sz w:val="24"/>
                <w:u w:val="none" w:color="auto"/>
              </w:rPr>
              <w:t>《国家危险废物名录》（</w:t>
            </w:r>
            <w:r>
              <w:rPr>
                <w:rFonts w:hint="eastAsia" w:ascii="Times New Roman" w:hAnsi="Times New Roman" w:cs="Times New Roman"/>
                <w:color w:val="auto"/>
                <w:sz w:val="24"/>
                <w:u w:val="none" w:color="auto"/>
                <w:lang w:val="en-US" w:eastAsia="zh-CN"/>
              </w:rPr>
              <w:t>2021年版</w:t>
            </w:r>
            <w:r>
              <w:rPr>
                <w:rFonts w:ascii="Times New Roman" w:hAnsi="Times New Roman" w:cs="Times New Roman"/>
                <w:color w:val="auto"/>
                <w:sz w:val="24"/>
                <w:u w:val="none" w:color="auto"/>
              </w:rPr>
              <w:t>）</w:t>
            </w:r>
            <w:r>
              <w:rPr>
                <w:rFonts w:hint="eastAsia" w:ascii="Times New Roman" w:hAnsi="Times New Roman" w:cs="Times New Roman"/>
                <w:color w:val="auto"/>
                <w:sz w:val="24"/>
                <w:u w:val="none" w:color="auto"/>
                <w:lang w:val="en-US" w:eastAsia="zh-CN"/>
              </w:rPr>
              <w:t>中</w:t>
            </w:r>
            <w:r>
              <w:rPr>
                <w:rFonts w:ascii="Times New Roman" w:hAnsi="Times New Roman" w:cs="Times New Roman"/>
                <w:color w:val="auto"/>
                <w:sz w:val="24"/>
                <w:szCs w:val="24"/>
                <w:u w:val="none" w:color="auto"/>
              </w:rPr>
              <w:t>危险废物，废物类别为HW08废矿物油与含矿物油废物，废物代码为900-21</w:t>
            </w:r>
            <w:r>
              <w:rPr>
                <w:rFonts w:hint="eastAsia" w:ascii="Times New Roman" w:hAnsi="Times New Roman" w:cs="Times New Roman"/>
                <w:color w:val="auto"/>
                <w:sz w:val="24"/>
                <w:szCs w:val="24"/>
                <w:u w:val="none" w:color="auto"/>
                <w:lang w:val="en-US" w:eastAsia="zh-CN"/>
              </w:rPr>
              <w:t>4</w:t>
            </w:r>
            <w:r>
              <w:rPr>
                <w:rFonts w:ascii="Times New Roman" w:hAnsi="Times New Roman" w:cs="Times New Roman"/>
                <w:color w:val="auto"/>
                <w:sz w:val="24"/>
                <w:szCs w:val="24"/>
                <w:u w:val="none" w:color="auto"/>
              </w:rPr>
              <w:t>-08，</w:t>
            </w:r>
            <w:r>
              <w:rPr>
                <w:rFonts w:hint="eastAsia" w:ascii="Times New Roman" w:hAnsi="Times New Roman" w:cs="Times New Roman"/>
                <w:color w:val="auto"/>
                <w:sz w:val="24"/>
                <w:u w:val="none" w:color="auto"/>
                <w:lang w:val="en-US" w:eastAsia="zh-CN"/>
              </w:rPr>
              <w:t>收集暂存于危废暂存间，定期</w:t>
            </w:r>
            <w:r>
              <w:rPr>
                <w:rFonts w:ascii="Times New Roman" w:hAnsi="Times New Roman" w:cs="Times New Roman"/>
                <w:color w:val="auto"/>
                <w:sz w:val="24"/>
                <w:u w:val="none" w:color="auto"/>
              </w:rPr>
              <w:t>交由有资质的单位</w:t>
            </w:r>
            <w:r>
              <w:rPr>
                <w:rFonts w:hint="eastAsia" w:ascii="Times New Roman" w:hAnsi="Times New Roman" w:cs="Times New Roman"/>
                <w:color w:val="auto"/>
                <w:sz w:val="24"/>
                <w:u w:val="none" w:color="auto"/>
                <w:lang w:val="en-US" w:eastAsia="zh-CN"/>
              </w:rPr>
              <w:t>处置</w:t>
            </w:r>
            <w:r>
              <w:rPr>
                <w:rFonts w:ascii="Times New Roman" w:hAnsi="Times New Roman" w:cs="Times New Roman"/>
                <w:color w:val="auto"/>
                <w:sz w:val="24"/>
                <w:u w:val="none" w:color="auto"/>
              </w:rPr>
              <w:t>。</w:t>
            </w:r>
          </w:p>
          <w:p w14:paraId="58256295">
            <w:pPr>
              <w:snapToGrid w:val="0"/>
              <w:jc w:val="center"/>
              <w:rPr>
                <w:rFonts w:ascii="Times New Roman" w:hAnsi="Times New Roman" w:cs="Times New Roman"/>
                <w:b/>
                <w:color w:val="auto"/>
                <w:sz w:val="24"/>
                <w:u w:val="none" w:color="auto"/>
              </w:rPr>
            </w:pPr>
          </w:p>
          <w:p w14:paraId="18A1E905">
            <w:pPr>
              <w:snapToGrid w:val="0"/>
              <w:jc w:val="center"/>
              <w:rPr>
                <w:rFonts w:ascii="Times New Roman" w:hAnsi="Times New Roman" w:cs="Times New Roman"/>
                <w:b/>
                <w:color w:val="auto"/>
                <w:sz w:val="24"/>
                <w:u w:val="none" w:color="auto"/>
              </w:rPr>
            </w:pPr>
            <w:r>
              <w:rPr>
                <w:rFonts w:ascii="Times New Roman" w:hAnsi="Times New Roman" w:cs="Times New Roman"/>
                <w:b/>
                <w:color w:val="auto"/>
                <w:sz w:val="24"/>
                <w:u w:val="none" w:color="auto"/>
              </w:rPr>
              <w:t>表4-</w:t>
            </w:r>
            <w:r>
              <w:rPr>
                <w:rFonts w:hint="eastAsia" w:ascii="Times New Roman" w:hAnsi="Times New Roman" w:cs="Times New Roman"/>
                <w:b/>
                <w:color w:val="auto"/>
                <w:sz w:val="24"/>
                <w:u w:val="none" w:color="auto"/>
                <w:lang w:val="en-US" w:eastAsia="zh-CN"/>
              </w:rPr>
              <w:t xml:space="preserve">8  </w:t>
            </w:r>
            <w:r>
              <w:rPr>
                <w:rFonts w:ascii="Times New Roman" w:hAnsi="Times New Roman" w:cs="Times New Roman"/>
                <w:b/>
                <w:color w:val="auto"/>
                <w:sz w:val="24"/>
                <w:u w:val="none" w:color="auto"/>
              </w:rPr>
              <w:t>本项目固废</w:t>
            </w:r>
            <w:r>
              <w:rPr>
                <w:rFonts w:hint="eastAsia" w:ascii="Times New Roman" w:hAnsi="Times New Roman" w:cs="Times New Roman"/>
                <w:b/>
                <w:color w:val="auto"/>
                <w:sz w:val="24"/>
                <w:u w:val="none" w:color="auto"/>
                <w:lang w:val="en-US" w:eastAsia="zh-CN"/>
              </w:rPr>
              <w:t>产生和处置情况</w:t>
            </w:r>
          </w:p>
          <w:tbl>
            <w:tblPr>
              <w:tblStyle w:val="26"/>
              <w:tblW w:w="49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6"/>
              <w:gridCol w:w="849"/>
              <w:gridCol w:w="709"/>
              <w:gridCol w:w="1561"/>
              <w:gridCol w:w="709"/>
              <w:gridCol w:w="568"/>
              <w:gridCol w:w="709"/>
              <w:gridCol w:w="704"/>
              <w:gridCol w:w="873"/>
              <w:gridCol w:w="914"/>
            </w:tblGrid>
            <w:tr w14:paraId="48097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tcMar>
                    <w:left w:w="0" w:type="dxa"/>
                    <w:right w:w="0" w:type="dxa"/>
                  </w:tcMar>
                  <w:vAlign w:val="center"/>
                </w:tcPr>
                <w:p w14:paraId="325FC822">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属性</w:t>
                  </w:r>
                </w:p>
              </w:tc>
              <w:tc>
                <w:tcPr>
                  <w:tcW w:w="531" w:type="pct"/>
                  <w:tcMar>
                    <w:left w:w="0" w:type="dxa"/>
                    <w:right w:w="0" w:type="dxa"/>
                  </w:tcMar>
                  <w:vAlign w:val="center"/>
                </w:tcPr>
                <w:p w14:paraId="72BC0AD1">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污染物</w:t>
                  </w:r>
                </w:p>
              </w:tc>
              <w:tc>
                <w:tcPr>
                  <w:tcW w:w="444" w:type="pct"/>
                  <w:tcMar>
                    <w:left w:w="0" w:type="dxa"/>
                    <w:right w:w="0" w:type="dxa"/>
                  </w:tcMar>
                  <w:vAlign w:val="center"/>
                </w:tcPr>
                <w:p w14:paraId="6E6C4298">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产生环节</w:t>
                  </w:r>
                </w:p>
              </w:tc>
              <w:tc>
                <w:tcPr>
                  <w:tcW w:w="977" w:type="pct"/>
                  <w:tcMar>
                    <w:left w:w="0" w:type="dxa"/>
                    <w:right w:w="0" w:type="dxa"/>
                  </w:tcMar>
                  <w:vAlign w:val="center"/>
                </w:tcPr>
                <w:p w14:paraId="15A3AFDC">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废物编码</w:t>
                  </w:r>
                </w:p>
              </w:tc>
              <w:tc>
                <w:tcPr>
                  <w:tcW w:w="444" w:type="pct"/>
                  <w:tcMar>
                    <w:left w:w="0" w:type="dxa"/>
                    <w:right w:w="0" w:type="dxa"/>
                  </w:tcMar>
                  <w:vAlign w:val="center"/>
                </w:tcPr>
                <w:p w14:paraId="497F3B02">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毒害</w:t>
                  </w:r>
                </w:p>
                <w:p w14:paraId="6EF5001B">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成分</w:t>
                  </w:r>
                </w:p>
              </w:tc>
              <w:tc>
                <w:tcPr>
                  <w:tcW w:w="355" w:type="pct"/>
                  <w:tcMar>
                    <w:left w:w="0" w:type="dxa"/>
                    <w:right w:w="0" w:type="dxa"/>
                  </w:tcMar>
                  <w:vAlign w:val="center"/>
                </w:tcPr>
                <w:p w14:paraId="278A7286">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形态</w:t>
                  </w:r>
                </w:p>
              </w:tc>
              <w:tc>
                <w:tcPr>
                  <w:tcW w:w="444" w:type="pct"/>
                  <w:tcMar>
                    <w:left w:w="0" w:type="dxa"/>
                    <w:right w:w="0" w:type="dxa"/>
                  </w:tcMar>
                  <w:vAlign w:val="center"/>
                </w:tcPr>
                <w:p w14:paraId="47E1044A">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危险特性</w:t>
                  </w:r>
                </w:p>
              </w:tc>
              <w:tc>
                <w:tcPr>
                  <w:tcW w:w="440" w:type="pct"/>
                  <w:tcMar>
                    <w:left w:w="0" w:type="dxa"/>
                    <w:right w:w="0" w:type="dxa"/>
                  </w:tcMar>
                  <w:vAlign w:val="center"/>
                </w:tcPr>
                <w:p w14:paraId="1EB0B4DC">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产生量(t/a)</w:t>
                  </w:r>
                </w:p>
              </w:tc>
              <w:tc>
                <w:tcPr>
                  <w:tcW w:w="546" w:type="pct"/>
                  <w:tcMar>
                    <w:left w:w="0" w:type="dxa"/>
                    <w:right w:w="0" w:type="dxa"/>
                  </w:tcMar>
                  <w:vAlign w:val="center"/>
                </w:tcPr>
                <w:p w14:paraId="144C5AD9">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处置措施</w:t>
                  </w:r>
                </w:p>
              </w:tc>
              <w:tc>
                <w:tcPr>
                  <w:tcW w:w="572" w:type="pct"/>
                  <w:vAlign w:val="center"/>
                </w:tcPr>
                <w:p w14:paraId="2EA695AA">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b/>
                      <w:color w:val="auto"/>
                      <w:szCs w:val="21"/>
                      <w:u w:val="none" w:color="auto"/>
                    </w:rPr>
                    <w:t>处置量(t/a)</w:t>
                  </w:r>
                </w:p>
              </w:tc>
            </w:tr>
            <w:tr w14:paraId="5F820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vMerge w:val="restart"/>
                  <w:tcMar>
                    <w:left w:w="0" w:type="dxa"/>
                    <w:right w:w="0" w:type="dxa"/>
                  </w:tcMar>
                  <w:vAlign w:val="center"/>
                </w:tcPr>
                <w:p w14:paraId="0A404C5E">
                  <w:pPr>
                    <w:kinsoku w:val="0"/>
                    <w:overflowPunct w:val="0"/>
                    <w:jc w:val="center"/>
                    <w:rPr>
                      <w:rFonts w:ascii="Times New Roman" w:hAnsi="Times New Roman" w:eastAsia="宋体" w:cs="Times New Roman"/>
                      <w:b/>
                      <w:color w:val="auto"/>
                      <w:szCs w:val="21"/>
                      <w:u w:val="none" w:color="auto"/>
                    </w:rPr>
                  </w:pPr>
                  <w:r>
                    <w:rPr>
                      <w:rFonts w:ascii="Times New Roman" w:hAnsi="Times New Roman" w:eastAsia="宋体" w:cs="Times New Roman"/>
                      <w:color w:val="auto"/>
                      <w:szCs w:val="21"/>
                      <w:u w:val="none" w:color="auto"/>
                    </w:rPr>
                    <w:t>危险废物</w:t>
                  </w:r>
                </w:p>
              </w:tc>
              <w:tc>
                <w:tcPr>
                  <w:tcW w:w="531" w:type="pct"/>
                  <w:tcMar>
                    <w:left w:w="0" w:type="dxa"/>
                    <w:right w:w="0" w:type="dxa"/>
                  </w:tcMar>
                  <w:vAlign w:val="center"/>
                </w:tcPr>
                <w:p w14:paraId="07402820">
                  <w:pPr>
                    <w:kinsoku w:val="0"/>
                    <w:overflowPunct w:val="0"/>
                    <w:jc w:val="center"/>
                    <w:rPr>
                      <w:rFonts w:ascii="Times New Roman" w:hAnsi="Times New Roman" w:eastAsia="宋体" w:cs="Times New Roman"/>
                      <w:color w:val="auto"/>
                      <w:szCs w:val="21"/>
                      <w:u w:val="none" w:color="auto"/>
                    </w:rPr>
                  </w:pPr>
                  <w:r>
                    <w:rPr>
                      <w:rFonts w:hint="eastAsia" w:ascii="Times New Roman" w:hAnsi="Times New Roman" w:eastAsia="宋体" w:cs="Times New Roman"/>
                      <w:color w:val="auto"/>
                      <w:szCs w:val="21"/>
                      <w:u w:val="none" w:color="auto"/>
                    </w:rPr>
                    <w:t>废矿物油</w:t>
                  </w:r>
                </w:p>
              </w:tc>
              <w:tc>
                <w:tcPr>
                  <w:tcW w:w="444" w:type="pct"/>
                  <w:tcMar>
                    <w:left w:w="0" w:type="dxa"/>
                    <w:right w:w="0" w:type="dxa"/>
                  </w:tcMar>
                  <w:vAlign w:val="center"/>
                </w:tcPr>
                <w:p w14:paraId="33EEB736">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生产操作</w:t>
                  </w:r>
                </w:p>
              </w:tc>
              <w:tc>
                <w:tcPr>
                  <w:tcW w:w="977" w:type="pct"/>
                  <w:tcMar>
                    <w:left w:w="0" w:type="dxa"/>
                    <w:right w:w="0" w:type="dxa"/>
                  </w:tcMar>
                  <w:vAlign w:val="center"/>
                </w:tcPr>
                <w:p w14:paraId="53E2D8A0">
                  <w:pPr>
                    <w:kinsoku w:val="0"/>
                    <w:overflowPunct w:val="0"/>
                    <w:jc w:val="center"/>
                    <w:rPr>
                      <w:rFonts w:ascii="Times New Roman" w:hAnsi="Times New Roman" w:eastAsia="宋体" w:cs="Times New Roman"/>
                      <w:bCs/>
                      <w:color w:val="auto"/>
                      <w:szCs w:val="21"/>
                      <w:u w:val="none" w:color="auto"/>
                    </w:rPr>
                  </w:pPr>
                  <w:r>
                    <w:rPr>
                      <w:rFonts w:ascii="Times New Roman" w:hAnsi="Times New Roman" w:cs="Times New Roman"/>
                      <w:color w:val="auto"/>
                      <w:u w:val="none" w:color="auto"/>
                    </w:rPr>
                    <w:t>HW08</w:t>
                  </w:r>
                </w:p>
                <w:p w14:paraId="74C8A54F">
                  <w:pPr>
                    <w:kinsoku w:val="0"/>
                    <w:overflowPunct w:val="0"/>
                    <w:jc w:val="center"/>
                    <w:rPr>
                      <w:rFonts w:ascii="Times New Roman" w:hAnsi="Times New Roman" w:eastAsia="宋体" w:cs="Times New Roman"/>
                      <w:color w:val="auto"/>
                      <w:szCs w:val="21"/>
                      <w:u w:val="none" w:color="auto"/>
                    </w:rPr>
                  </w:pPr>
                  <w:r>
                    <w:rPr>
                      <w:rFonts w:ascii="Times New Roman" w:hAnsi="Times New Roman" w:cs="Times New Roman"/>
                      <w:color w:val="auto"/>
                      <w:u w:val="none" w:color="auto"/>
                    </w:rPr>
                    <w:t>900-214-08</w:t>
                  </w:r>
                </w:p>
              </w:tc>
              <w:tc>
                <w:tcPr>
                  <w:tcW w:w="444" w:type="pct"/>
                  <w:tcMar>
                    <w:left w:w="0" w:type="dxa"/>
                    <w:right w:w="0" w:type="dxa"/>
                  </w:tcMar>
                  <w:vAlign w:val="center"/>
                </w:tcPr>
                <w:p w14:paraId="61D516A7">
                  <w:pPr>
                    <w:widowControl/>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bCs/>
                      <w:color w:val="auto"/>
                      <w:szCs w:val="21"/>
                      <w:u w:val="none" w:color="auto"/>
                    </w:rPr>
                    <w:t>废矿物油</w:t>
                  </w:r>
                </w:p>
              </w:tc>
              <w:tc>
                <w:tcPr>
                  <w:tcW w:w="355" w:type="pct"/>
                  <w:tcMar>
                    <w:left w:w="0" w:type="dxa"/>
                    <w:right w:w="0" w:type="dxa"/>
                  </w:tcMar>
                  <w:vAlign w:val="center"/>
                </w:tcPr>
                <w:p w14:paraId="07566A2F">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液</w:t>
                  </w:r>
                </w:p>
              </w:tc>
              <w:tc>
                <w:tcPr>
                  <w:tcW w:w="444" w:type="pct"/>
                  <w:tcMar>
                    <w:left w:w="0" w:type="dxa"/>
                    <w:right w:w="0" w:type="dxa"/>
                  </w:tcMar>
                  <w:vAlign w:val="center"/>
                </w:tcPr>
                <w:p w14:paraId="375CB728">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T，I</w:t>
                  </w:r>
                </w:p>
              </w:tc>
              <w:tc>
                <w:tcPr>
                  <w:tcW w:w="440" w:type="pct"/>
                  <w:tcMar>
                    <w:left w:w="0" w:type="dxa"/>
                    <w:right w:w="0" w:type="dxa"/>
                  </w:tcMar>
                  <w:vAlign w:val="center"/>
                </w:tcPr>
                <w:p w14:paraId="782FC343">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0.5</w:t>
                  </w:r>
                </w:p>
              </w:tc>
              <w:tc>
                <w:tcPr>
                  <w:tcW w:w="546" w:type="pct"/>
                  <w:vMerge w:val="restart"/>
                  <w:tcMar>
                    <w:left w:w="0" w:type="dxa"/>
                    <w:right w:w="0" w:type="dxa"/>
                  </w:tcMar>
                  <w:vAlign w:val="center"/>
                </w:tcPr>
                <w:p w14:paraId="5A67B374">
                  <w:pPr>
                    <w:keepNext w:val="0"/>
                    <w:keepLines w:val="0"/>
                    <w:pageBreakBefore w:val="0"/>
                    <w:widowControl w:val="0"/>
                    <w:kinsoku w:val="0"/>
                    <w:wordWrap/>
                    <w:overflowPunct w:val="0"/>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Cs w:val="21"/>
                      <w:u w:val="none" w:color="auto"/>
                    </w:rPr>
                  </w:pPr>
                  <w:r>
                    <w:rPr>
                      <w:rFonts w:ascii="Times New Roman" w:hAnsi="Times New Roman" w:eastAsia="宋体" w:cs="Times New Roman"/>
                      <w:bCs/>
                      <w:color w:val="auto"/>
                      <w:sz w:val="21"/>
                      <w:szCs w:val="21"/>
                      <w:u w:val="none" w:color="auto"/>
                    </w:rPr>
                    <w:t>收集暂存于危废暂存间，定期交有资质单位处置</w:t>
                  </w:r>
                </w:p>
              </w:tc>
              <w:tc>
                <w:tcPr>
                  <w:tcW w:w="572" w:type="pct"/>
                  <w:vAlign w:val="center"/>
                </w:tcPr>
                <w:p w14:paraId="49008E43">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0.5</w:t>
                  </w:r>
                </w:p>
              </w:tc>
            </w:tr>
            <w:tr w14:paraId="7AF59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vMerge w:val="continue"/>
                  <w:tcMar>
                    <w:left w:w="0" w:type="dxa"/>
                    <w:right w:w="0" w:type="dxa"/>
                  </w:tcMar>
                  <w:vAlign w:val="center"/>
                </w:tcPr>
                <w:p w14:paraId="761D81AF">
                  <w:pPr>
                    <w:kinsoku w:val="0"/>
                    <w:overflowPunct w:val="0"/>
                    <w:jc w:val="center"/>
                    <w:rPr>
                      <w:rFonts w:ascii="Times New Roman" w:hAnsi="Times New Roman" w:eastAsia="宋体" w:cs="Times New Roman"/>
                      <w:color w:val="auto"/>
                      <w:szCs w:val="21"/>
                      <w:u w:val="none" w:color="auto"/>
                    </w:rPr>
                  </w:pPr>
                </w:p>
              </w:tc>
              <w:tc>
                <w:tcPr>
                  <w:tcW w:w="531" w:type="pct"/>
                  <w:tcMar>
                    <w:left w:w="0" w:type="dxa"/>
                    <w:right w:w="0" w:type="dxa"/>
                  </w:tcMar>
                  <w:vAlign w:val="center"/>
                </w:tcPr>
                <w:p w14:paraId="090DA3A5">
                  <w:pPr>
                    <w:kinsoku w:val="0"/>
                    <w:overflowPunct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eastAsia="zh-CN"/>
                    </w:rPr>
                    <w:t>废含油抹布及手套</w:t>
                  </w:r>
                </w:p>
              </w:tc>
              <w:tc>
                <w:tcPr>
                  <w:tcW w:w="444" w:type="pct"/>
                  <w:tcMar>
                    <w:left w:w="0" w:type="dxa"/>
                    <w:right w:w="0" w:type="dxa"/>
                  </w:tcMar>
                  <w:vAlign w:val="center"/>
                </w:tcPr>
                <w:p w14:paraId="7B1804F8">
                  <w:pPr>
                    <w:kinsoku w:val="0"/>
                    <w:overflowPunct w:val="0"/>
                    <w:jc w:val="center"/>
                    <w:rPr>
                      <w:rFonts w:ascii="Times New Roman" w:hAnsi="Times New Roman" w:eastAsia="宋体" w:cs="Times New Roman"/>
                      <w:bCs/>
                      <w:color w:val="auto"/>
                      <w:szCs w:val="21"/>
                      <w:u w:val="none" w:color="auto"/>
                    </w:rPr>
                  </w:pPr>
                  <w:r>
                    <w:rPr>
                      <w:rFonts w:ascii="Times New Roman" w:hAnsi="Times New Roman" w:eastAsia="宋体" w:cs="Times New Roman"/>
                      <w:bCs/>
                      <w:color w:val="auto"/>
                      <w:szCs w:val="21"/>
                      <w:u w:val="none" w:color="auto"/>
                    </w:rPr>
                    <w:t>生产操作</w:t>
                  </w:r>
                </w:p>
              </w:tc>
              <w:tc>
                <w:tcPr>
                  <w:tcW w:w="977" w:type="pct"/>
                  <w:tcMar>
                    <w:left w:w="0" w:type="dxa"/>
                    <w:right w:w="0" w:type="dxa"/>
                  </w:tcMar>
                  <w:vAlign w:val="center"/>
                </w:tcPr>
                <w:p w14:paraId="520D5DFF">
                  <w:pPr>
                    <w:kinsoku w:val="0"/>
                    <w:overflowPunct w:val="0"/>
                    <w:jc w:val="center"/>
                    <w:rPr>
                      <w:rFonts w:ascii="Times New Roman" w:hAnsi="Times New Roman" w:eastAsia="宋体" w:cs="Times New Roman"/>
                      <w:bCs/>
                      <w:color w:val="auto"/>
                      <w:szCs w:val="21"/>
                      <w:u w:val="none" w:color="auto"/>
                    </w:rPr>
                  </w:pPr>
                  <w:r>
                    <w:rPr>
                      <w:rFonts w:ascii="Times New Roman" w:hAnsi="Times New Roman" w:eastAsia="宋体" w:cs="Times New Roman"/>
                      <w:bCs/>
                      <w:color w:val="auto"/>
                      <w:szCs w:val="21"/>
                      <w:u w:val="none" w:color="auto"/>
                    </w:rPr>
                    <w:t>HW49</w:t>
                  </w:r>
                </w:p>
                <w:p w14:paraId="5FE7E822">
                  <w:pPr>
                    <w:kinsoku w:val="0"/>
                    <w:overflowPunct w:val="0"/>
                    <w:jc w:val="center"/>
                    <w:rPr>
                      <w:rFonts w:ascii="Times New Roman" w:hAnsi="Times New Roman" w:cs="Times New Roman"/>
                      <w:color w:val="auto"/>
                      <w:u w:val="none" w:color="auto"/>
                    </w:rPr>
                  </w:pPr>
                  <w:r>
                    <w:rPr>
                      <w:rFonts w:ascii="Times New Roman" w:hAnsi="Times New Roman" w:eastAsia="宋体" w:cs="Times New Roman"/>
                      <w:bCs/>
                      <w:color w:val="auto"/>
                      <w:szCs w:val="21"/>
                      <w:u w:val="none" w:color="auto"/>
                    </w:rPr>
                    <w:t>900-041-49</w:t>
                  </w:r>
                </w:p>
              </w:tc>
              <w:tc>
                <w:tcPr>
                  <w:tcW w:w="444" w:type="pct"/>
                  <w:tcMar>
                    <w:left w:w="0" w:type="dxa"/>
                    <w:right w:w="0" w:type="dxa"/>
                  </w:tcMar>
                  <w:vAlign w:val="center"/>
                </w:tcPr>
                <w:p w14:paraId="76A0B2B8">
                  <w:pPr>
                    <w:widowControl/>
                    <w:kinsoku w:val="0"/>
                    <w:overflowPunct w:val="0"/>
                    <w:jc w:val="center"/>
                    <w:rPr>
                      <w:rFonts w:ascii="Times New Roman" w:hAnsi="Times New Roman" w:eastAsia="宋体" w:cs="Times New Roman"/>
                      <w:bCs/>
                      <w:color w:val="auto"/>
                      <w:szCs w:val="21"/>
                      <w:u w:val="none" w:color="auto"/>
                    </w:rPr>
                  </w:pPr>
                  <w:r>
                    <w:rPr>
                      <w:rFonts w:ascii="Times New Roman" w:hAnsi="Times New Roman" w:eastAsia="宋体" w:cs="Times New Roman"/>
                      <w:bCs/>
                      <w:color w:val="auto"/>
                      <w:szCs w:val="21"/>
                      <w:u w:val="none" w:color="auto"/>
                    </w:rPr>
                    <w:t>废矿物油</w:t>
                  </w:r>
                </w:p>
              </w:tc>
              <w:tc>
                <w:tcPr>
                  <w:tcW w:w="355" w:type="pct"/>
                  <w:tcMar>
                    <w:left w:w="0" w:type="dxa"/>
                    <w:right w:w="0" w:type="dxa"/>
                  </w:tcMar>
                  <w:vAlign w:val="center"/>
                </w:tcPr>
                <w:p w14:paraId="59FD17C1">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固</w:t>
                  </w:r>
                </w:p>
              </w:tc>
              <w:tc>
                <w:tcPr>
                  <w:tcW w:w="444" w:type="pct"/>
                  <w:tcMar>
                    <w:left w:w="0" w:type="dxa"/>
                    <w:right w:w="0" w:type="dxa"/>
                  </w:tcMar>
                  <w:vAlign w:val="center"/>
                </w:tcPr>
                <w:p w14:paraId="1FD9BB30">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T/In</w:t>
                  </w:r>
                </w:p>
              </w:tc>
              <w:tc>
                <w:tcPr>
                  <w:tcW w:w="440" w:type="pct"/>
                  <w:tcMar>
                    <w:left w:w="0" w:type="dxa"/>
                    <w:right w:w="0" w:type="dxa"/>
                  </w:tcMar>
                  <w:vAlign w:val="center"/>
                </w:tcPr>
                <w:p w14:paraId="202C13A6">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0.2</w:t>
                  </w:r>
                </w:p>
              </w:tc>
              <w:tc>
                <w:tcPr>
                  <w:tcW w:w="546" w:type="pct"/>
                  <w:vMerge w:val="continue"/>
                  <w:tcMar>
                    <w:left w:w="0" w:type="dxa"/>
                    <w:right w:w="0" w:type="dxa"/>
                  </w:tcMar>
                  <w:vAlign w:val="center"/>
                </w:tcPr>
                <w:p w14:paraId="5E9B7A98">
                  <w:pPr>
                    <w:kinsoku w:val="0"/>
                    <w:overflowPunct w:val="0"/>
                    <w:jc w:val="center"/>
                    <w:rPr>
                      <w:rFonts w:ascii="Times New Roman" w:hAnsi="Times New Roman" w:eastAsia="宋体" w:cs="Times New Roman"/>
                      <w:color w:val="auto"/>
                      <w:szCs w:val="21"/>
                      <w:u w:val="none" w:color="auto"/>
                    </w:rPr>
                  </w:pPr>
                </w:p>
              </w:tc>
              <w:tc>
                <w:tcPr>
                  <w:tcW w:w="572" w:type="pct"/>
                  <w:vAlign w:val="center"/>
                </w:tcPr>
                <w:p w14:paraId="12026F46">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0.2</w:t>
                  </w:r>
                </w:p>
              </w:tc>
            </w:tr>
            <w:tr w14:paraId="7479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vMerge w:val="restart"/>
                  <w:vAlign w:val="center"/>
                </w:tcPr>
                <w:p w14:paraId="249C2C8B">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一般固废</w:t>
                  </w:r>
                </w:p>
              </w:tc>
              <w:tc>
                <w:tcPr>
                  <w:tcW w:w="531" w:type="pct"/>
                  <w:vAlign w:val="center"/>
                </w:tcPr>
                <w:p w14:paraId="06F37044">
                  <w:pPr>
                    <w:adjustRightInd w:val="0"/>
                    <w:snapToGrid w:val="0"/>
                    <w:jc w:val="center"/>
                    <w:rPr>
                      <w:rFonts w:hint="eastAsia" w:ascii="Times New Roman" w:hAnsi="Times New Roman" w:cs="Times New Roman" w:eastAsiaTheme="minorEastAsia"/>
                      <w:color w:val="auto"/>
                      <w:szCs w:val="21"/>
                      <w:u w:val="none" w:color="auto"/>
                      <w:lang w:eastAsia="zh-CN"/>
                    </w:rPr>
                  </w:pPr>
                  <w:r>
                    <w:rPr>
                      <w:rFonts w:hint="eastAsia" w:ascii="Times New Roman" w:hAnsi="Times New Roman" w:cs="Times New Roman"/>
                      <w:color w:val="auto"/>
                      <w:szCs w:val="21"/>
                      <w:u w:val="none" w:color="auto"/>
                      <w:lang w:eastAsia="zh-CN"/>
                    </w:rPr>
                    <w:t>污泥</w:t>
                  </w:r>
                </w:p>
              </w:tc>
              <w:tc>
                <w:tcPr>
                  <w:tcW w:w="444" w:type="pct"/>
                  <w:vAlign w:val="center"/>
                </w:tcPr>
                <w:p w14:paraId="35E5076B">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废水处理</w:t>
                  </w:r>
                </w:p>
              </w:tc>
              <w:tc>
                <w:tcPr>
                  <w:tcW w:w="977" w:type="pct"/>
                  <w:vAlign w:val="center"/>
                </w:tcPr>
                <w:p w14:paraId="69CDD662">
                  <w:pPr>
                    <w:kinsoku w:val="0"/>
                    <w:overflowPunct w:val="0"/>
                    <w:jc w:val="center"/>
                    <w:rPr>
                      <w:rFonts w:hint="eastAsia" w:ascii="Times New Roman" w:hAnsi="Times New Roman" w:eastAsia="宋体" w:cs="Times New Roman"/>
                      <w:bCs/>
                      <w:color w:val="auto"/>
                      <w:szCs w:val="21"/>
                      <w:u w:val="none" w:color="auto"/>
                      <w:lang w:val="en-US" w:eastAsia="zh-CN"/>
                    </w:rPr>
                  </w:pPr>
                  <w:r>
                    <w:rPr>
                      <w:rFonts w:hint="eastAsia" w:ascii="Times New Roman" w:hAnsi="Times New Roman" w:eastAsia="宋体" w:cs="Times New Roman"/>
                      <w:bCs/>
                      <w:color w:val="auto"/>
                      <w:szCs w:val="21"/>
                      <w:u w:val="none" w:color="auto"/>
                      <w:lang w:val="en-US" w:eastAsia="zh-CN"/>
                    </w:rPr>
                    <w:t>SW07</w:t>
                  </w:r>
                </w:p>
                <w:p w14:paraId="2013CFA2">
                  <w:pPr>
                    <w:kinsoku w:val="0"/>
                    <w:overflowPunct w:val="0"/>
                    <w:jc w:val="center"/>
                    <w:rPr>
                      <w:rFonts w:hint="default"/>
                      <w:color w:val="auto"/>
                      <w:u w:val="none" w:color="auto"/>
                      <w:lang w:val="en-US"/>
                    </w:rPr>
                  </w:pPr>
                  <w:r>
                    <w:rPr>
                      <w:rFonts w:hint="eastAsia" w:ascii="Times New Roman" w:hAnsi="Times New Roman" w:eastAsia="宋体" w:cs="Times New Roman"/>
                      <w:bCs/>
                      <w:color w:val="auto"/>
                      <w:szCs w:val="21"/>
                      <w:u w:val="none" w:color="auto"/>
                      <w:lang w:val="en-US" w:eastAsia="zh-CN"/>
                    </w:rPr>
                    <w:t>900-099-S07</w:t>
                  </w:r>
                </w:p>
              </w:tc>
              <w:tc>
                <w:tcPr>
                  <w:tcW w:w="444" w:type="pct"/>
                  <w:vAlign w:val="center"/>
                </w:tcPr>
                <w:p w14:paraId="5E423779">
                  <w:pPr>
                    <w:widowControl/>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355" w:type="pct"/>
                  <w:vAlign w:val="center"/>
                </w:tcPr>
                <w:p w14:paraId="76E46E31">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固</w:t>
                  </w:r>
                </w:p>
              </w:tc>
              <w:tc>
                <w:tcPr>
                  <w:tcW w:w="444" w:type="pct"/>
                  <w:vAlign w:val="center"/>
                </w:tcPr>
                <w:p w14:paraId="6710CFCC">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440" w:type="pct"/>
                  <w:vAlign w:val="center"/>
                </w:tcPr>
                <w:p w14:paraId="52AC6ECF">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20.064</w:t>
                  </w:r>
                </w:p>
              </w:tc>
              <w:tc>
                <w:tcPr>
                  <w:tcW w:w="546" w:type="pct"/>
                  <w:vMerge w:val="restart"/>
                  <w:vAlign w:val="center"/>
                </w:tcPr>
                <w:p w14:paraId="35BD2AC3">
                  <w:pPr>
                    <w:kinsoku w:val="0"/>
                    <w:overflowPunct w:val="0"/>
                    <w:jc w:val="center"/>
                    <w:rPr>
                      <w:rFonts w:ascii="Times New Roman" w:hAnsi="Times New Roman" w:eastAsia="宋体" w:cs="Times New Roman"/>
                      <w:color w:val="auto"/>
                      <w:szCs w:val="21"/>
                      <w:u w:val="none" w:color="auto"/>
                    </w:rPr>
                  </w:pPr>
                  <w:r>
                    <w:rPr>
                      <w:rFonts w:ascii="Times New Roman" w:hAnsi="Times New Roman" w:cs="Times New Roman"/>
                      <w:color w:val="auto"/>
                      <w:szCs w:val="21"/>
                      <w:u w:val="none" w:color="auto"/>
                    </w:rPr>
                    <w:t>作为原料回用</w:t>
                  </w:r>
                </w:p>
              </w:tc>
              <w:tc>
                <w:tcPr>
                  <w:tcW w:w="572" w:type="pct"/>
                  <w:vAlign w:val="center"/>
                </w:tcPr>
                <w:p w14:paraId="0C18B28F">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20.064</w:t>
                  </w:r>
                </w:p>
              </w:tc>
            </w:tr>
            <w:tr w14:paraId="5F6FF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vMerge w:val="continue"/>
                  <w:vAlign w:val="center"/>
                </w:tcPr>
                <w:p w14:paraId="7EFC4BAF">
                  <w:pPr>
                    <w:kinsoku w:val="0"/>
                    <w:overflowPunct w:val="0"/>
                    <w:jc w:val="center"/>
                    <w:rPr>
                      <w:rFonts w:ascii="Times New Roman" w:hAnsi="Times New Roman" w:eastAsia="宋体" w:cs="Times New Roman"/>
                      <w:color w:val="auto"/>
                      <w:szCs w:val="21"/>
                      <w:u w:val="none" w:color="auto"/>
                    </w:rPr>
                  </w:pPr>
                </w:p>
              </w:tc>
              <w:tc>
                <w:tcPr>
                  <w:tcW w:w="531" w:type="pct"/>
                  <w:vAlign w:val="center"/>
                </w:tcPr>
                <w:p w14:paraId="4CB99F27">
                  <w:pPr>
                    <w:adjustRightInd w:val="0"/>
                    <w:snapToGrid w:val="0"/>
                    <w:jc w:val="center"/>
                    <w:rPr>
                      <w:rFonts w:ascii="Times New Roman" w:hAnsi="Times New Roman" w:cs="Times New Roman"/>
                      <w:color w:val="auto"/>
                      <w:szCs w:val="21"/>
                      <w:u w:val="none" w:color="auto"/>
                    </w:rPr>
                  </w:pPr>
                  <w:r>
                    <w:rPr>
                      <w:rFonts w:ascii="Times New Roman" w:hAnsi="Times New Roman" w:cs="Times New Roman"/>
                      <w:color w:val="auto"/>
                      <w:szCs w:val="21"/>
                      <w:u w:val="none" w:color="auto"/>
                    </w:rPr>
                    <w:t>除尘器收集的粉尘</w:t>
                  </w:r>
                </w:p>
              </w:tc>
              <w:tc>
                <w:tcPr>
                  <w:tcW w:w="444" w:type="pct"/>
                  <w:vAlign w:val="center"/>
                </w:tcPr>
                <w:p w14:paraId="059B1CD9">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废气处理</w:t>
                  </w:r>
                </w:p>
              </w:tc>
              <w:tc>
                <w:tcPr>
                  <w:tcW w:w="977" w:type="pct"/>
                  <w:vAlign w:val="center"/>
                </w:tcPr>
                <w:p w14:paraId="20DCFD81">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SW59</w:t>
                  </w:r>
                </w:p>
                <w:p w14:paraId="0657C557">
                  <w:pPr>
                    <w:kinsoku w:val="0"/>
                    <w:overflowPunct w:val="0"/>
                    <w:jc w:val="center"/>
                    <w:rPr>
                      <w:rFonts w:hint="default" w:ascii="Times New Roman" w:hAnsi="Times New Roman" w:eastAsia="宋体" w:cs="Times New Roman"/>
                      <w:color w:val="auto"/>
                      <w:szCs w:val="21"/>
                      <w:u w:val="none" w:color="auto"/>
                      <w:lang w:val="en-US"/>
                    </w:rPr>
                  </w:pPr>
                  <w:r>
                    <w:rPr>
                      <w:rFonts w:hint="eastAsia" w:ascii="Times New Roman" w:hAnsi="Times New Roman" w:eastAsia="宋体" w:cs="Times New Roman"/>
                      <w:color w:val="auto"/>
                      <w:szCs w:val="21"/>
                      <w:u w:val="none" w:color="auto"/>
                      <w:lang w:val="en-US" w:eastAsia="zh-CN"/>
                    </w:rPr>
                    <w:t>900-099-S59</w:t>
                  </w:r>
                </w:p>
              </w:tc>
              <w:tc>
                <w:tcPr>
                  <w:tcW w:w="444" w:type="pct"/>
                  <w:vAlign w:val="center"/>
                </w:tcPr>
                <w:p w14:paraId="5169CCE3">
                  <w:pPr>
                    <w:widowControl/>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355" w:type="pct"/>
                  <w:vAlign w:val="center"/>
                </w:tcPr>
                <w:p w14:paraId="145923BB">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固</w:t>
                  </w:r>
                </w:p>
              </w:tc>
              <w:tc>
                <w:tcPr>
                  <w:tcW w:w="444" w:type="pct"/>
                  <w:vAlign w:val="center"/>
                </w:tcPr>
                <w:p w14:paraId="5AF39913">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440" w:type="pct"/>
                  <w:vAlign w:val="center"/>
                </w:tcPr>
                <w:p w14:paraId="46AEC3DE">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358.88</w:t>
                  </w:r>
                </w:p>
              </w:tc>
              <w:tc>
                <w:tcPr>
                  <w:tcW w:w="546" w:type="pct"/>
                  <w:vMerge w:val="continue"/>
                  <w:vAlign w:val="center"/>
                </w:tcPr>
                <w:p w14:paraId="371DE7F6">
                  <w:pPr>
                    <w:kinsoku w:val="0"/>
                    <w:overflowPunct w:val="0"/>
                    <w:jc w:val="center"/>
                    <w:rPr>
                      <w:rFonts w:ascii="Times New Roman" w:hAnsi="Times New Roman" w:eastAsia="宋体" w:cs="Times New Roman"/>
                      <w:color w:val="auto"/>
                      <w:szCs w:val="21"/>
                      <w:u w:val="none" w:color="auto"/>
                    </w:rPr>
                  </w:pPr>
                </w:p>
              </w:tc>
              <w:tc>
                <w:tcPr>
                  <w:tcW w:w="572" w:type="pct"/>
                  <w:vAlign w:val="center"/>
                </w:tcPr>
                <w:p w14:paraId="336220EF">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358.88</w:t>
                  </w:r>
                </w:p>
              </w:tc>
            </w:tr>
            <w:tr w14:paraId="5C419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vMerge w:val="continue"/>
                  <w:vAlign w:val="center"/>
                </w:tcPr>
                <w:p w14:paraId="6EFE7731">
                  <w:pPr>
                    <w:kinsoku w:val="0"/>
                    <w:overflowPunct w:val="0"/>
                    <w:jc w:val="center"/>
                    <w:rPr>
                      <w:rFonts w:ascii="Times New Roman" w:hAnsi="Times New Roman" w:eastAsia="宋体" w:cs="Times New Roman"/>
                      <w:color w:val="auto"/>
                      <w:szCs w:val="21"/>
                      <w:u w:val="none" w:color="auto"/>
                    </w:rPr>
                  </w:pPr>
                </w:p>
              </w:tc>
              <w:tc>
                <w:tcPr>
                  <w:tcW w:w="531" w:type="pct"/>
                  <w:vAlign w:val="center"/>
                </w:tcPr>
                <w:p w14:paraId="0D18A99A">
                  <w:pPr>
                    <w:adjustRightInd w:val="0"/>
                    <w:snapToGrid w:val="0"/>
                    <w:jc w:val="center"/>
                    <w:rPr>
                      <w:rFonts w:ascii="Times New Roman" w:hAnsi="Times New Roman" w:cs="Times New Roman"/>
                      <w:color w:val="auto"/>
                      <w:szCs w:val="21"/>
                      <w:u w:val="none" w:color="auto"/>
                    </w:rPr>
                  </w:pPr>
                  <w:r>
                    <w:rPr>
                      <w:rFonts w:hint="eastAsia" w:ascii="Times New Roman" w:hAnsi="Times New Roman" w:cs="Times New Roman"/>
                      <w:color w:val="auto"/>
                      <w:sz w:val="21"/>
                      <w:szCs w:val="20"/>
                      <w:u w:val="none" w:color="auto"/>
                      <w:lang w:val="en-US" w:eastAsia="zh-CN"/>
                    </w:rPr>
                    <w:t>废弃试验样品</w:t>
                  </w:r>
                </w:p>
              </w:tc>
              <w:tc>
                <w:tcPr>
                  <w:tcW w:w="444" w:type="pct"/>
                  <w:vAlign w:val="center"/>
                </w:tcPr>
                <w:p w14:paraId="09234712">
                  <w:pPr>
                    <w:kinsoku w:val="0"/>
                    <w:overflowPunct w:val="0"/>
                    <w:jc w:val="center"/>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lang w:val="en-US" w:eastAsia="zh-CN"/>
                    </w:rPr>
                    <w:t>实验室</w:t>
                  </w:r>
                </w:p>
              </w:tc>
              <w:tc>
                <w:tcPr>
                  <w:tcW w:w="977" w:type="pct"/>
                  <w:vAlign w:val="center"/>
                </w:tcPr>
                <w:p w14:paraId="67D94501">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SW92</w:t>
                  </w:r>
                </w:p>
                <w:p w14:paraId="297D3C60">
                  <w:pPr>
                    <w:kinsoku w:val="0"/>
                    <w:overflowPunct w:val="0"/>
                    <w:jc w:val="center"/>
                    <w:rPr>
                      <w:rFonts w:hint="default" w:ascii="Times New Roman" w:hAnsi="Times New Roman" w:eastAsia="宋体" w:cs="Times New Roman"/>
                      <w:color w:val="auto"/>
                      <w:szCs w:val="21"/>
                      <w:u w:val="none" w:color="auto"/>
                      <w:lang w:val="en-US"/>
                    </w:rPr>
                  </w:pPr>
                  <w:r>
                    <w:rPr>
                      <w:rFonts w:hint="eastAsia" w:ascii="Times New Roman" w:hAnsi="Times New Roman" w:eastAsia="宋体" w:cs="Times New Roman"/>
                      <w:color w:val="auto"/>
                      <w:szCs w:val="21"/>
                      <w:u w:val="none" w:color="auto"/>
                      <w:lang w:val="en-US" w:eastAsia="zh-CN"/>
                    </w:rPr>
                    <w:t>900-001-S92</w:t>
                  </w:r>
                </w:p>
              </w:tc>
              <w:tc>
                <w:tcPr>
                  <w:tcW w:w="444" w:type="pct"/>
                  <w:vAlign w:val="center"/>
                </w:tcPr>
                <w:p w14:paraId="34F35639">
                  <w:pPr>
                    <w:widowControl/>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355" w:type="pct"/>
                  <w:vAlign w:val="center"/>
                </w:tcPr>
                <w:p w14:paraId="725B6BEB">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固</w:t>
                  </w:r>
                </w:p>
              </w:tc>
              <w:tc>
                <w:tcPr>
                  <w:tcW w:w="444" w:type="pct"/>
                  <w:vAlign w:val="center"/>
                </w:tcPr>
                <w:p w14:paraId="1648C931">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440" w:type="pct"/>
                  <w:vAlign w:val="center"/>
                </w:tcPr>
                <w:p w14:paraId="7C36ADA0">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3</w:t>
                  </w:r>
                </w:p>
              </w:tc>
              <w:tc>
                <w:tcPr>
                  <w:tcW w:w="546" w:type="pct"/>
                  <w:vMerge w:val="continue"/>
                  <w:vAlign w:val="center"/>
                </w:tcPr>
                <w:p w14:paraId="4EECF548">
                  <w:pPr>
                    <w:kinsoku w:val="0"/>
                    <w:overflowPunct w:val="0"/>
                    <w:jc w:val="center"/>
                    <w:rPr>
                      <w:rFonts w:ascii="Times New Roman" w:hAnsi="Times New Roman" w:eastAsia="宋体" w:cs="Times New Roman"/>
                      <w:color w:val="auto"/>
                      <w:szCs w:val="21"/>
                      <w:u w:val="none" w:color="auto"/>
                    </w:rPr>
                  </w:pPr>
                </w:p>
              </w:tc>
              <w:tc>
                <w:tcPr>
                  <w:tcW w:w="572" w:type="pct"/>
                  <w:vAlign w:val="center"/>
                </w:tcPr>
                <w:p w14:paraId="2F4C83F7">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3</w:t>
                  </w:r>
                </w:p>
              </w:tc>
            </w:tr>
            <w:tr w14:paraId="1D42F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1" w:type="pct"/>
                  <w:vAlign w:val="center"/>
                </w:tcPr>
                <w:p w14:paraId="7439AC42">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生活垃圾</w:t>
                  </w:r>
                </w:p>
              </w:tc>
              <w:tc>
                <w:tcPr>
                  <w:tcW w:w="531" w:type="pct"/>
                  <w:vAlign w:val="center"/>
                </w:tcPr>
                <w:p w14:paraId="5EF6661D">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生活垃圾</w:t>
                  </w:r>
                </w:p>
              </w:tc>
              <w:tc>
                <w:tcPr>
                  <w:tcW w:w="444" w:type="pct"/>
                  <w:vAlign w:val="center"/>
                </w:tcPr>
                <w:p w14:paraId="159B488C">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员工生活</w:t>
                  </w:r>
                </w:p>
              </w:tc>
              <w:tc>
                <w:tcPr>
                  <w:tcW w:w="977" w:type="pct"/>
                  <w:vAlign w:val="center"/>
                </w:tcPr>
                <w:p w14:paraId="4FF02678">
                  <w:pPr>
                    <w:kinsoku w:val="0"/>
                    <w:overflowPunct w:val="0"/>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SW61</w:t>
                  </w:r>
                </w:p>
                <w:p w14:paraId="28EBDE7B">
                  <w:pPr>
                    <w:kinsoku w:val="0"/>
                    <w:overflowPunct w:val="0"/>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900-002-S61</w:t>
                  </w:r>
                </w:p>
                <w:p w14:paraId="56CE1B5C">
                  <w:pPr>
                    <w:kinsoku w:val="0"/>
                    <w:overflowPunct w:val="0"/>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SW62</w:t>
                  </w:r>
                </w:p>
                <w:p w14:paraId="370B7035">
                  <w:pPr>
                    <w:kinsoku w:val="0"/>
                    <w:overflowPunct w:val="0"/>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900-001-S62</w:t>
                  </w:r>
                </w:p>
                <w:p w14:paraId="6F048B8C">
                  <w:pPr>
                    <w:kinsoku w:val="0"/>
                    <w:overflowPunct w:val="0"/>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SW62</w:t>
                  </w:r>
                </w:p>
                <w:p w14:paraId="0411A703">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900-002-S62</w:t>
                  </w:r>
                </w:p>
              </w:tc>
              <w:tc>
                <w:tcPr>
                  <w:tcW w:w="444" w:type="pct"/>
                  <w:vAlign w:val="center"/>
                </w:tcPr>
                <w:p w14:paraId="0AC472F4">
                  <w:pPr>
                    <w:widowControl/>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355" w:type="pct"/>
                  <w:vAlign w:val="center"/>
                </w:tcPr>
                <w:p w14:paraId="7CDD5FD8">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固</w:t>
                  </w:r>
                </w:p>
              </w:tc>
              <w:tc>
                <w:tcPr>
                  <w:tcW w:w="444" w:type="pct"/>
                  <w:vAlign w:val="center"/>
                </w:tcPr>
                <w:p w14:paraId="40628EE0">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w:t>
                  </w:r>
                </w:p>
              </w:tc>
              <w:tc>
                <w:tcPr>
                  <w:tcW w:w="440" w:type="pct"/>
                  <w:vAlign w:val="center"/>
                </w:tcPr>
                <w:p w14:paraId="498C3205">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8</w:t>
                  </w:r>
                </w:p>
              </w:tc>
              <w:tc>
                <w:tcPr>
                  <w:tcW w:w="546" w:type="pct"/>
                  <w:vAlign w:val="center"/>
                </w:tcPr>
                <w:p w14:paraId="2231F2D2">
                  <w:pPr>
                    <w:kinsoku w:val="0"/>
                    <w:overflowPunct w:val="0"/>
                    <w:jc w:val="center"/>
                    <w:rPr>
                      <w:rFonts w:ascii="Times New Roman" w:hAnsi="Times New Roman" w:eastAsia="宋体" w:cs="Times New Roman"/>
                      <w:color w:val="auto"/>
                      <w:szCs w:val="21"/>
                      <w:u w:val="none" w:color="auto"/>
                    </w:rPr>
                  </w:pPr>
                  <w:r>
                    <w:rPr>
                      <w:rFonts w:ascii="Times New Roman" w:hAnsi="Times New Roman" w:eastAsia="宋体" w:cs="Times New Roman"/>
                      <w:color w:val="auto"/>
                      <w:szCs w:val="21"/>
                      <w:u w:val="none" w:color="auto"/>
                    </w:rPr>
                    <w:t>环卫清运</w:t>
                  </w:r>
                </w:p>
              </w:tc>
              <w:tc>
                <w:tcPr>
                  <w:tcW w:w="572" w:type="pct"/>
                  <w:vAlign w:val="center"/>
                </w:tcPr>
                <w:p w14:paraId="31DFC085">
                  <w:pPr>
                    <w:kinsoku w:val="0"/>
                    <w:overflowPunct w:val="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8</w:t>
                  </w:r>
                </w:p>
              </w:tc>
            </w:tr>
          </w:tbl>
          <w:p w14:paraId="1744A60F">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4.2固体废物管理要求</w:t>
            </w:r>
          </w:p>
          <w:p w14:paraId="0AFBA6AE">
            <w:pPr>
              <w:spacing w:line="360" w:lineRule="auto"/>
              <w:ind w:firstLine="480" w:firstLineChars="200"/>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lang w:val="en-US" w:eastAsia="zh-CN"/>
              </w:rPr>
              <w:t>1</w:t>
            </w:r>
            <w:r>
              <w:rPr>
                <w:rFonts w:hint="default"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lang w:val="en-US" w:eastAsia="zh-CN"/>
              </w:rPr>
              <w:t>危废暂存间</w:t>
            </w:r>
          </w:p>
          <w:p w14:paraId="658CE2F9">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项目营运过程中废矿物油</w:t>
            </w:r>
            <w:r>
              <w:rPr>
                <w:rFonts w:hint="eastAsia" w:ascii="Times New Roman" w:hAnsi="Times New Roman" w:cs="Times New Roman"/>
                <w:color w:val="auto"/>
                <w:sz w:val="24"/>
                <w:szCs w:val="24"/>
                <w:u w:val="none" w:color="auto"/>
                <w:lang w:eastAsia="zh-CN"/>
              </w:rPr>
              <w:t>、废含油抹布及手套</w:t>
            </w:r>
            <w:r>
              <w:rPr>
                <w:rFonts w:ascii="Times New Roman" w:hAnsi="Times New Roman" w:cs="Times New Roman"/>
                <w:color w:val="auto"/>
                <w:sz w:val="24"/>
                <w:szCs w:val="24"/>
                <w:u w:val="none" w:color="auto"/>
              </w:rPr>
              <w:t>属于</w:t>
            </w:r>
            <w:r>
              <w:rPr>
                <w:rFonts w:hint="eastAsia" w:ascii="Times New Roman" w:hAnsi="Times New Roman" w:cs="Times New Roman"/>
                <w:color w:val="auto"/>
                <w:sz w:val="24"/>
                <w:szCs w:val="24"/>
                <w:u w:val="none" w:color="auto"/>
                <w:lang w:eastAsia="zh-CN"/>
              </w:rPr>
              <w:t>危险废物</w:t>
            </w:r>
            <w:r>
              <w:rPr>
                <w:rFonts w:ascii="Times New Roman" w:hAnsi="Times New Roman" w:cs="Times New Roman"/>
                <w:color w:val="auto"/>
                <w:sz w:val="24"/>
                <w:szCs w:val="24"/>
                <w:u w:val="none" w:color="auto"/>
              </w:rPr>
              <w:t>，</w:t>
            </w:r>
            <w:r>
              <w:rPr>
                <w:rFonts w:hint="eastAsia" w:ascii="Times New Roman" w:hAnsi="Times New Roman" w:cs="Times New Roman"/>
                <w:color w:val="auto"/>
                <w:sz w:val="24"/>
                <w:u w:val="none" w:color="auto"/>
                <w:lang w:val="en-US" w:eastAsia="zh-CN"/>
              </w:rPr>
              <w:t>收集暂存于危废暂存间，定期</w:t>
            </w:r>
            <w:r>
              <w:rPr>
                <w:rFonts w:ascii="Times New Roman" w:hAnsi="Times New Roman" w:cs="Times New Roman"/>
                <w:color w:val="auto"/>
                <w:sz w:val="24"/>
                <w:u w:val="none" w:color="auto"/>
              </w:rPr>
              <w:t>交由有资质的单位</w:t>
            </w:r>
            <w:r>
              <w:rPr>
                <w:rFonts w:hint="eastAsia" w:ascii="Times New Roman" w:hAnsi="Times New Roman" w:cs="Times New Roman"/>
                <w:color w:val="auto"/>
                <w:sz w:val="24"/>
                <w:u w:val="none" w:color="auto"/>
                <w:lang w:val="en-US" w:eastAsia="zh-CN"/>
              </w:rPr>
              <w:t>处置</w:t>
            </w:r>
            <w:r>
              <w:rPr>
                <w:rFonts w:ascii="Times New Roman" w:hAnsi="Times New Roman" w:cs="Times New Roman"/>
                <w:color w:val="auto"/>
                <w:sz w:val="24"/>
                <w:szCs w:val="24"/>
                <w:u w:val="none" w:color="auto"/>
              </w:rPr>
              <w:t>。项目危废暂存间的建设必须满足《危险废物贮存污染控制标准》</w:t>
            </w:r>
            <w:r>
              <w:rPr>
                <w:rFonts w:hint="eastAsia" w:ascii="Times New Roman" w:hAnsi="Times New Roman" w:cs="Times New Roman"/>
                <w:color w:val="auto"/>
                <w:sz w:val="24"/>
                <w:szCs w:val="24"/>
                <w:u w:val="none" w:color="auto"/>
                <w:lang w:eastAsia="zh-CN"/>
              </w:rPr>
              <w:t>（</w:t>
            </w:r>
            <w:r>
              <w:rPr>
                <w:rFonts w:ascii="Times New Roman" w:hAnsi="Times New Roman" w:cs="Times New Roman"/>
                <w:color w:val="auto"/>
                <w:sz w:val="24"/>
                <w:szCs w:val="24"/>
                <w:u w:val="none" w:color="auto"/>
              </w:rPr>
              <w:t>GB18597-20</w:t>
            </w:r>
            <w:r>
              <w:rPr>
                <w:rFonts w:hint="eastAsia" w:ascii="Times New Roman" w:hAnsi="Times New Roman" w:cs="Times New Roman"/>
                <w:color w:val="auto"/>
                <w:sz w:val="24"/>
                <w:szCs w:val="24"/>
                <w:u w:val="none" w:color="auto"/>
                <w:lang w:val="en-US" w:eastAsia="zh-CN"/>
              </w:rPr>
              <w:t>23</w:t>
            </w: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的</w:t>
            </w:r>
            <w:r>
              <w:rPr>
                <w:rFonts w:ascii="Times New Roman" w:hAnsi="Times New Roman" w:cs="Times New Roman"/>
                <w:color w:val="auto"/>
                <w:sz w:val="24"/>
                <w:szCs w:val="24"/>
                <w:u w:val="none" w:color="auto"/>
              </w:rPr>
              <w:t>相关要求。</w:t>
            </w:r>
          </w:p>
          <w:p w14:paraId="6B8F3868">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对危险废物的收集、暂存和运输按国家标准有如下要求：</w:t>
            </w:r>
          </w:p>
          <w:p w14:paraId="599E008E">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fldChar w:fldCharType="begin"/>
            </w:r>
            <w:r>
              <w:rPr>
                <w:rFonts w:ascii="Times New Roman" w:hAnsi="Times New Roman" w:cs="Times New Roman"/>
                <w:color w:val="auto"/>
                <w:sz w:val="24"/>
                <w:szCs w:val="24"/>
                <w:u w:val="none" w:color="auto"/>
              </w:rPr>
              <w:instrText xml:space="preserve"> = 1 \* GB3 </w:instrText>
            </w:r>
            <w:r>
              <w:rPr>
                <w:rFonts w:ascii="Times New Roman" w:hAnsi="Times New Roman" w:cs="Times New Roman"/>
                <w:color w:val="auto"/>
                <w:sz w:val="24"/>
                <w:szCs w:val="24"/>
                <w:u w:val="none" w:color="auto"/>
              </w:rPr>
              <w:fldChar w:fldCharType="separate"/>
            </w:r>
            <w:r>
              <w:rPr>
                <w:rFonts w:ascii="宋体" w:hAnsi="Times New Roman" w:eastAsia="宋体" w:cs="Times New Roman"/>
                <w:color w:val="auto"/>
                <w:sz w:val="24"/>
                <w:szCs w:val="24"/>
                <w:u w:val="none" w:color="auto"/>
              </w:rPr>
              <w:t>①</w:t>
            </w:r>
            <w:r>
              <w:rPr>
                <w:rFonts w:ascii="Times New Roman" w:hAnsi="Times New Roman" w:cs="Times New Roman"/>
                <w:color w:val="auto"/>
                <w:sz w:val="24"/>
                <w:szCs w:val="24"/>
                <w:u w:val="none" w:color="auto"/>
              </w:rPr>
              <w:fldChar w:fldCharType="end"/>
            </w:r>
            <w:r>
              <w:rPr>
                <w:rFonts w:ascii="Times New Roman" w:hAnsi="Times New Roman" w:cs="Times New Roman"/>
                <w:color w:val="auto"/>
                <w:sz w:val="24"/>
                <w:szCs w:val="24"/>
                <w:u w:val="none" w:color="auto"/>
              </w:rPr>
              <w:t>危险废物的收集包装</w:t>
            </w:r>
          </w:p>
          <w:p w14:paraId="1D82C164">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a．有符合要求的包装容器、收集人员的个人防护设备。</w:t>
            </w:r>
          </w:p>
          <w:p w14:paraId="1A759A4E">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b．危险废物的收集容器应在醒目位置贴有危险废物标签，在收集场所醒目的地方设置危险废物警告标识。</w:t>
            </w:r>
          </w:p>
          <w:p w14:paraId="59C3A23B">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c．危险废物标签应标明信息：危险废物名称、数量、物理形态、危险类别、安全措施以及危险废物产生单位名称、地址、联系人及电话。</w:t>
            </w:r>
          </w:p>
          <w:p w14:paraId="1D6B2A91">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fldChar w:fldCharType="begin"/>
            </w:r>
            <w:r>
              <w:rPr>
                <w:rFonts w:ascii="Times New Roman" w:hAnsi="Times New Roman" w:cs="Times New Roman"/>
                <w:color w:val="auto"/>
                <w:sz w:val="24"/>
                <w:szCs w:val="24"/>
                <w:u w:val="none" w:color="auto"/>
              </w:rPr>
              <w:instrText xml:space="preserve"> = 2 \* GB3 </w:instrText>
            </w:r>
            <w:r>
              <w:rPr>
                <w:rFonts w:ascii="Times New Roman" w:hAnsi="Times New Roman" w:cs="Times New Roman"/>
                <w:color w:val="auto"/>
                <w:sz w:val="24"/>
                <w:szCs w:val="24"/>
                <w:u w:val="none" w:color="auto"/>
              </w:rPr>
              <w:fldChar w:fldCharType="separate"/>
            </w:r>
            <w:r>
              <w:rPr>
                <w:rFonts w:ascii="宋体" w:hAnsi="Times New Roman" w:eastAsia="宋体" w:cs="Times New Roman"/>
                <w:color w:val="auto"/>
                <w:sz w:val="24"/>
                <w:szCs w:val="24"/>
                <w:u w:val="none" w:color="auto"/>
              </w:rPr>
              <w:t>②</w:t>
            </w:r>
            <w:r>
              <w:rPr>
                <w:rFonts w:ascii="Times New Roman" w:hAnsi="Times New Roman" w:cs="Times New Roman"/>
                <w:color w:val="auto"/>
                <w:sz w:val="24"/>
                <w:szCs w:val="24"/>
                <w:u w:val="none" w:color="auto"/>
              </w:rPr>
              <w:fldChar w:fldCharType="end"/>
            </w:r>
            <w:r>
              <w:rPr>
                <w:rFonts w:ascii="Times New Roman" w:hAnsi="Times New Roman" w:cs="Times New Roman"/>
                <w:color w:val="auto"/>
                <w:sz w:val="24"/>
                <w:szCs w:val="24"/>
                <w:u w:val="none" w:color="auto"/>
              </w:rPr>
              <w:t>危险废物的暂存要求</w:t>
            </w:r>
          </w:p>
          <w:p w14:paraId="3C89B8A3">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危险废物堆放场所应满足《危险废物贮存污染控制标准》</w:t>
            </w:r>
            <w:r>
              <w:rPr>
                <w:rFonts w:hint="eastAsia" w:ascii="Times New Roman" w:hAnsi="Times New Roman" w:cs="Times New Roman"/>
                <w:color w:val="auto"/>
                <w:sz w:val="24"/>
                <w:szCs w:val="24"/>
                <w:u w:val="none" w:color="auto"/>
                <w:lang w:eastAsia="zh-CN"/>
              </w:rPr>
              <w:t>（</w:t>
            </w:r>
            <w:r>
              <w:rPr>
                <w:rFonts w:ascii="Times New Roman" w:hAnsi="Times New Roman" w:cs="Times New Roman"/>
                <w:color w:val="auto"/>
                <w:sz w:val="24"/>
                <w:szCs w:val="24"/>
                <w:u w:val="none" w:color="auto"/>
              </w:rPr>
              <w:t>GB18597-20</w:t>
            </w:r>
            <w:r>
              <w:rPr>
                <w:rFonts w:hint="eastAsia" w:ascii="Times New Roman" w:hAnsi="Times New Roman" w:cs="Times New Roman"/>
                <w:color w:val="auto"/>
                <w:sz w:val="24"/>
                <w:szCs w:val="24"/>
                <w:u w:val="none" w:color="auto"/>
                <w:lang w:val="en-US" w:eastAsia="zh-CN"/>
              </w:rPr>
              <w:t>23</w:t>
            </w:r>
            <w:r>
              <w:rPr>
                <w:rFonts w:hint="eastAsia" w:ascii="Times New Roman" w:hAnsi="Times New Roman" w:cs="Times New Roman"/>
                <w:color w:val="auto"/>
                <w:sz w:val="24"/>
                <w:szCs w:val="24"/>
                <w:u w:val="none" w:color="auto"/>
                <w:lang w:eastAsia="zh-CN"/>
              </w:rPr>
              <w:t>）</w:t>
            </w:r>
            <w:r>
              <w:rPr>
                <w:rFonts w:ascii="Times New Roman" w:hAnsi="Times New Roman" w:cs="Times New Roman"/>
                <w:color w:val="auto"/>
                <w:sz w:val="24"/>
                <w:szCs w:val="24"/>
                <w:u w:val="none" w:color="auto"/>
              </w:rPr>
              <w:t>中的有关规定：</w:t>
            </w:r>
          </w:p>
          <w:p w14:paraId="23B7E3A4">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a．按《</w:t>
            </w:r>
            <w:r>
              <w:rPr>
                <w:rFonts w:hint="eastAsia" w:ascii="Times New Roman" w:hAnsi="Times New Roman" w:cs="Times New Roman"/>
                <w:color w:val="auto"/>
                <w:sz w:val="24"/>
                <w:szCs w:val="24"/>
                <w:u w:val="none" w:color="auto"/>
                <w:lang w:eastAsia="zh-CN"/>
              </w:rPr>
              <w:t>环境保护图形标志 固体废物贮存（处置）场</w:t>
            </w:r>
            <w:r>
              <w:rPr>
                <w:rFonts w:ascii="Times New Roman" w:hAnsi="Times New Roman" w:cs="Times New Roman"/>
                <w:color w:val="auto"/>
                <w:sz w:val="24"/>
                <w:szCs w:val="24"/>
                <w:u w:val="none" w:color="auto"/>
              </w:rPr>
              <w:t>》</w:t>
            </w:r>
            <w:r>
              <w:rPr>
                <w:rFonts w:hint="eastAsia" w:ascii="Times New Roman" w:hAnsi="Times New Roman" w:cs="Times New Roman"/>
                <w:color w:val="auto"/>
                <w:sz w:val="24"/>
                <w:szCs w:val="24"/>
                <w:u w:val="none" w:color="auto"/>
                <w:lang w:eastAsia="zh-CN"/>
              </w:rPr>
              <w:t>（GB 15562.2-1995）</w:t>
            </w:r>
            <w:r>
              <w:rPr>
                <w:rFonts w:ascii="Times New Roman" w:hAnsi="Times New Roman" w:cs="Times New Roman"/>
                <w:color w:val="auto"/>
                <w:sz w:val="24"/>
                <w:szCs w:val="24"/>
                <w:u w:val="none" w:color="auto"/>
              </w:rPr>
              <w:t>设置警示标志。</w:t>
            </w:r>
          </w:p>
          <w:p w14:paraId="72E110A8">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b．必须有耐腐蚀的硬化地面和基础防渗层，地面无裂隙；设施底部必须高于地下水最高水位。</w:t>
            </w:r>
          </w:p>
          <w:p w14:paraId="6E674408">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c．要求有必要的防风、防雨、防晒措施。</w:t>
            </w:r>
          </w:p>
          <w:p w14:paraId="5FAE32EC">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d．要有隔离设施或其它防护栅栏。</w:t>
            </w:r>
          </w:p>
          <w:p w14:paraId="6832E76E">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e．应配备通讯设备、照明设施、安全防护服装，并设有报警装置和应急防护设施。</w:t>
            </w:r>
          </w:p>
          <w:p w14:paraId="0A2CC14D">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fldChar w:fldCharType="begin"/>
            </w:r>
            <w:r>
              <w:rPr>
                <w:rFonts w:ascii="Times New Roman" w:hAnsi="Times New Roman" w:cs="Times New Roman"/>
                <w:color w:val="auto"/>
                <w:sz w:val="24"/>
                <w:szCs w:val="24"/>
                <w:u w:val="none" w:color="auto"/>
              </w:rPr>
              <w:instrText xml:space="preserve"> = 3 \* GB3 </w:instrText>
            </w:r>
            <w:r>
              <w:rPr>
                <w:rFonts w:ascii="Times New Roman" w:hAnsi="Times New Roman" w:cs="Times New Roman"/>
                <w:color w:val="auto"/>
                <w:sz w:val="24"/>
                <w:szCs w:val="24"/>
                <w:u w:val="none" w:color="auto"/>
              </w:rPr>
              <w:fldChar w:fldCharType="separate"/>
            </w:r>
            <w:r>
              <w:rPr>
                <w:rFonts w:ascii="宋体" w:hAnsi="Times New Roman" w:eastAsia="宋体" w:cs="Times New Roman"/>
                <w:color w:val="auto"/>
                <w:sz w:val="24"/>
                <w:szCs w:val="24"/>
                <w:u w:val="none" w:color="auto"/>
              </w:rPr>
              <w:t>③</w:t>
            </w:r>
            <w:r>
              <w:rPr>
                <w:rFonts w:ascii="Times New Roman" w:hAnsi="Times New Roman" w:cs="Times New Roman"/>
                <w:color w:val="auto"/>
                <w:sz w:val="24"/>
                <w:szCs w:val="24"/>
                <w:u w:val="none" w:color="auto"/>
              </w:rPr>
              <w:fldChar w:fldCharType="end"/>
            </w:r>
            <w:r>
              <w:rPr>
                <w:rFonts w:ascii="Times New Roman" w:hAnsi="Times New Roman" w:cs="Times New Roman"/>
                <w:color w:val="auto"/>
                <w:sz w:val="24"/>
                <w:szCs w:val="24"/>
                <w:u w:val="none" w:color="auto"/>
              </w:rPr>
              <w:t>危险废物的运输要求</w:t>
            </w:r>
          </w:p>
          <w:p w14:paraId="46511AA7">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危险废物的运输应采取危险废物转移“五联单”制度，保证运输安全，防止非法转移和非法处置，保证危险废物的安全监控，防止危险废物污染事故发生。</w:t>
            </w:r>
          </w:p>
          <w:p w14:paraId="62C62F44">
            <w:pPr>
              <w:snapToGrid w:val="0"/>
              <w:jc w:val="center"/>
              <w:rPr>
                <w:rFonts w:ascii="Times New Roman" w:hAnsi="Times New Roman" w:cs="Times New Roman"/>
                <w:b/>
                <w:color w:val="auto"/>
                <w:sz w:val="24"/>
                <w:u w:val="none" w:color="auto"/>
              </w:rPr>
            </w:pPr>
            <w:r>
              <w:rPr>
                <w:rFonts w:ascii="Times New Roman" w:hAnsi="Times New Roman" w:cs="Times New Roman"/>
                <w:b/>
                <w:color w:val="auto"/>
                <w:sz w:val="24"/>
                <w:u w:val="none" w:color="auto"/>
              </w:rPr>
              <w:t>表4-</w:t>
            </w:r>
            <w:r>
              <w:rPr>
                <w:rFonts w:hint="eastAsia" w:ascii="Times New Roman" w:hAnsi="Times New Roman" w:cs="Times New Roman"/>
                <w:b/>
                <w:color w:val="auto"/>
                <w:sz w:val="24"/>
                <w:u w:val="none" w:color="auto"/>
                <w:lang w:val="en-US" w:eastAsia="zh-CN"/>
              </w:rPr>
              <w:t xml:space="preserve">9  </w:t>
            </w:r>
            <w:r>
              <w:rPr>
                <w:rFonts w:ascii="Times New Roman" w:hAnsi="Times New Roman" w:cs="Times New Roman"/>
                <w:b/>
                <w:color w:val="auto"/>
                <w:sz w:val="24"/>
                <w:u w:val="none" w:color="auto"/>
              </w:rPr>
              <w:t>建设项目危险废物贮存场所（设施）基本情况样表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1087"/>
              <w:gridCol w:w="958"/>
              <w:gridCol w:w="968"/>
              <w:gridCol w:w="965"/>
              <w:gridCol w:w="757"/>
              <w:gridCol w:w="746"/>
              <w:gridCol w:w="689"/>
              <w:gridCol w:w="772"/>
            </w:tblGrid>
            <w:tr w14:paraId="2238B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80" w:type="dxa"/>
                  <w:vAlign w:val="center"/>
                </w:tcPr>
                <w:p w14:paraId="3811538B">
                  <w:pPr>
                    <w:pStyle w:val="103"/>
                    <w:rPr>
                      <w:color w:val="auto"/>
                      <w:kern w:val="0"/>
                      <w:u w:val="none" w:color="auto"/>
                    </w:rPr>
                  </w:pPr>
                  <w:r>
                    <w:rPr>
                      <w:color w:val="auto"/>
                      <w:u w:val="none" w:color="auto"/>
                    </w:rPr>
                    <w:t>贮存场所</w:t>
                  </w:r>
                </w:p>
                <w:p w14:paraId="591C0AB2">
                  <w:pPr>
                    <w:pStyle w:val="103"/>
                    <w:rPr>
                      <w:color w:val="auto"/>
                      <w:kern w:val="0"/>
                      <w:u w:val="none" w:color="auto"/>
                    </w:rPr>
                  </w:pPr>
                  <w:r>
                    <w:rPr>
                      <w:color w:val="auto"/>
                      <w:u w:val="none" w:color="auto"/>
                    </w:rPr>
                    <w:t>名称</w:t>
                  </w:r>
                </w:p>
              </w:tc>
              <w:tc>
                <w:tcPr>
                  <w:tcW w:w="1087" w:type="dxa"/>
                  <w:vAlign w:val="center"/>
                </w:tcPr>
                <w:p w14:paraId="66BF3CA6">
                  <w:pPr>
                    <w:pStyle w:val="103"/>
                    <w:rPr>
                      <w:color w:val="auto"/>
                      <w:kern w:val="0"/>
                      <w:u w:val="none" w:color="auto"/>
                    </w:rPr>
                  </w:pPr>
                  <w:r>
                    <w:rPr>
                      <w:color w:val="auto"/>
                      <w:u w:val="none" w:color="auto"/>
                    </w:rPr>
                    <w:t>危险废物名称</w:t>
                  </w:r>
                </w:p>
              </w:tc>
              <w:tc>
                <w:tcPr>
                  <w:tcW w:w="958" w:type="dxa"/>
                  <w:vAlign w:val="center"/>
                </w:tcPr>
                <w:p w14:paraId="5C583D02">
                  <w:pPr>
                    <w:pStyle w:val="103"/>
                    <w:rPr>
                      <w:color w:val="auto"/>
                      <w:kern w:val="0"/>
                      <w:u w:val="none" w:color="auto"/>
                    </w:rPr>
                  </w:pPr>
                  <w:r>
                    <w:rPr>
                      <w:color w:val="auto"/>
                      <w:u w:val="none" w:color="auto"/>
                    </w:rPr>
                    <w:t>危险废物类别</w:t>
                  </w:r>
                </w:p>
              </w:tc>
              <w:tc>
                <w:tcPr>
                  <w:tcW w:w="968" w:type="dxa"/>
                  <w:vAlign w:val="center"/>
                </w:tcPr>
                <w:p w14:paraId="21DFB8F2">
                  <w:pPr>
                    <w:pStyle w:val="103"/>
                    <w:rPr>
                      <w:color w:val="auto"/>
                      <w:kern w:val="0"/>
                      <w:u w:val="none" w:color="auto"/>
                    </w:rPr>
                  </w:pPr>
                  <w:r>
                    <w:rPr>
                      <w:color w:val="auto"/>
                      <w:u w:val="none" w:color="auto"/>
                    </w:rPr>
                    <w:t>危险废物代码</w:t>
                  </w:r>
                </w:p>
              </w:tc>
              <w:tc>
                <w:tcPr>
                  <w:tcW w:w="965" w:type="dxa"/>
                  <w:vAlign w:val="center"/>
                </w:tcPr>
                <w:p w14:paraId="12E45878">
                  <w:pPr>
                    <w:pStyle w:val="103"/>
                    <w:rPr>
                      <w:color w:val="auto"/>
                      <w:kern w:val="0"/>
                      <w:u w:val="none" w:color="auto"/>
                    </w:rPr>
                  </w:pPr>
                  <w:r>
                    <w:rPr>
                      <w:color w:val="auto"/>
                      <w:u w:val="none" w:color="auto"/>
                    </w:rPr>
                    <w:t>位置</w:t>
                  </w:r>
                </w:p>
              </w:tc>
              <w:tc>
                <w:tcPr>
                  <w:tcW w:w="757" w:type="dxa"/>
                  <w:vAlign w:val="center"/>
                </w:tcPr>
                <w:p w14:paraId="09554E80">
                  <w:pPr>
                    <w:pStyle w:val="103"/>
                    <w:rPr>
                      <w:color w:val="auto"/>
                      <w:u w:val="none" w:color="auto"/>
                    </w:rPr>
                  </w:pPr>
                  <w:r>
                    <w:rPr>
                      <w:color w:val="auto"/>
                      <w:u w:val="none" w:color="auto"/>
                    </w:rPr>
                    <w:t>占地</w:t>
                  </w:r>
                </w:p>
                <w:p w14:paraId="6277414E">
                  <w:pPr>
                    <w:pStyle w:val="103"/>
                    <w:rPr>
                      <w:color w:val="auto"/>
                      <w:kern w:val="0"/>
                      <w:u w:val="none" w:color="auto"/>
                    </w:rPr>
                  </w:pPr>
                  <w:r>
                    <w:rPr>
                      <w:color w:val="auto"/>
                      <w:u w:val="none" w:color="auto"/>
                    </w:rPr>
                    <w:t>面积</w:t>
                  </w:r>
                </w:p>
              </w:tc>
              <w:tc>
                <w:tcPr>
                  <w:tcW w:w="746" w:type="dxa"/>
                  <w:vAlign w:val="center"/>
                </w:tcPr>
                <w:p w14:paraId="11B56A10">
                  <w:pPr>
                    <w:pStyle w:val="103"/>
                    <w:rPr>
                      <w:color w:val="auto"/>
                      <w:kern w:val="0"/>
                      <w:u w:val="none" w:color="auto"/>
                    </w:rPr>
                  </w:pPr>
                  <w:r>
                    <w:rPr>
                      <w:color w:val="auto"/>
                      <w:u w:val="none" w:color="auto"/>
                    </w:rPr>
                    <w:t>贮存方式</w:t>
                  </w:r>
                </w:p>
              </w:tc>
              <w:tc>
                <w:tcPr>
                  <w:tcW w:w="689" w:type="dxa"/>
                  <w:vAlign w:val="center"/>
                </w:tcPr>
                <w:p w14:paraId="5E8F816D">
                  <w:pPr>
                    <w:pStyle w:val="103"/>
                    <w:rPr>
                      <w:color w:val="auto"/>
                      <w:kern w:val="0"/>
                      <w:u w:val="none" w:color="auto"/>
                    </w:rPr>
                  </w:pPr>
                  <w:r>
                    <w:rPr>
                      <w:color w:val="auto"/>
                      <w:u w:val="none" w:color="auto"/>
                    </w:rPr>
                    <w:t>贮存</w:t>
                  </w:r>
                </w:p>
                <w:p w14:paraId="37E555BA">
                  <w:pPr>
                    <w:pStyle w:val="103"/>
                    <w:rPr>
                      <w:color w:val="auto"/>
                      <w:kern w:val="0"/>
                      <w:u w:val="none" w:color="auto"/>
                    </w:rPr>
                  </w:pPr>
                  <w:r>
                    <w:rPr>
                      <w:color w:val="auto"/>
                      <w:u w:val="none" w:color="auto"/>
                    </w:rPr>
                    <w:t>能力</w:t>
                  </w:r>
                </w:p>
              </w:tc>
              <w:tc>
                <w:tcPr>
                  <w:tcW w:w="772" w:type="dxa"/>
                  <w:vAlign w:val="center"/>
                </w:tcPr>
                <w:p w14:paraId="1188B88A">
                  <w:pPr>
                    <w:pStyle w:val="103"/>
                    <w:rPr>
                      <w:color w:val="auto"/>
                      <w:kern w:val="0"/>
                      <w:u w:val="none" w:color="auto"/>
                    </w:rPr>
                  </w:pPr>
                  <w:r>
                    <w:rPr>
                      <w:color w:val="auto"/>
                      <w:u w:val="none" w:color="auto"/>
                    </w:rPr>
                    <w:t>贮存</w:t>
                  </w:r>
                </w:p>
                <w:p w14:paraId="3A79BDE4">
                  <w:pPr>
                    <w:pStyle w:val="103"/>
                    <w:rPr>
                      <w:color w:val="auto"/>
                      <w:kern w:val="0"/>
                      <w:u w:val="none" w:color="auto"/>
                    </w:rPr>
                  </w:pPr>
                  <w:r>
                    <w:rPr>
                      <w:color w:val="auto"/>
                      <w:u w:val="none" w:color="auto"/>
                    </w:rPr>
                    <w:t>周期</w:t>
                  </w:r>
                </w:p>
              </w:tc>
            </w:tr>
            <w:tr w14:paraId="7D596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80" w:type="dxa"/>
                  <w:vMerge w:val="restart"/>
                  <w:vAlign w:val="center"/>
                </w:tcPr>
                <w:p w14:paraId="53212AA4">
                  <w:pPr>
                    <w:pStyle w:val="103"/>
                    <w:rPr>
                      <w:color w:val="auto"/>
                      <w:kern w:val="0"/>
                      <w:u w:val="none" w:color="auto"/>
                    </w:rPr>
                  </w:pPr>
                  <w:r>
                    <w:rPr>
                      <w:color w:val="auto"/>
                      <w:u w:val="none" w:color="auto"/>
                    </w:rPr>
                    <w:t>危废暂存间</w:t>
                  </w:r>
                </w:p>
              </w:tc>
              <w:tc>
                <w:tcPr>
                  <w:tcW w:w="1087" w:type="dxa"/>
                  <w:vAlign w:val="center"/>
                </w:tcPr>
                <w:p w14:paraId="6ADA48F7">
                  <w:pPr>
                    <w:pStyle w:val="103"/>
                    <w:rPr>
                      <w:color w:val="auto"/>
                      <w:kern w:val="0"/>
                      <w:u w:val="none" w:color="auto"/>
                    </w:rPr>
                  </w:pPr>
                  <w:r>
                    <w:rPr>
                      <w:color w:val="auto"/>
                      <w:u w:val="none" w:color="auto"/>
                    </w:rPr>
                    <w:t>废矿物油</w:t>
                  </w:r>
                </w:p>
              </w:tc>
              <w:tc>
                <w:tcPr>
                  <w:tcW w:w="958" w:type="dxa"/>
                  <w:vAlign w:val="center"/>
                </w:tcPr>
                <w:p w14:paraId="472CAB36">
                  <w:pPr>
                    <w:pStyle w:val="103"/>
                    <w:rPr>
                      <w:color w:val="auto"/>
                      <w:kern w:val="0"/>
                      <w:u w:val="none" w:color="auto"/>
                    </w:rPr>
                  </w:pPr>
                  <w:r>
                    <w:rPr>
                      <w:color w:val="auto"/>
                      <w:u w:val="none" w:color="auto"/>
                    </w:rPr>
                    <w:t>HW08</w:t>
                  </w:r>
                </w:p>
              </w:tc>
              <w:tc>
                <w:tcPr>
                  <w:tcW w:w="968" w:type="dxa"/>
                  <w:vAlign w:val="center"/>
                </w:tcPr>
                <w:p w14:paraId="6B435549">
                  <w:pPr>
                    <w:pStyle w:val="103"/>
                    <w:rPr>
                      <w:color w:val="auto"/>
                      <w:kern w:val="0"/>
                      <w:u w:val="none" w:color="auto"/>
                    </w:rPr>
                  </w:pPr>
                  <w:r>
                    <w:rPr>
                      <w:color w:val="auto"/>
                      <w:u w:val="none" w:color="auto"/>
                    </w:rPr>
                    <w:t>900-21</w:t>
                  </w:r>
                  <w:r>
                    <w:rPr>
                      <w:rFonts w:hint="eastAsia"/>
                      <w:color w:val="auto"/>
                      <w:u w:val="none" w:color="auto"/>
                      <w:lang w:val="en-US" w:eastAsia="zh-CN"/>
                    </w:rPr>
                    <w:t>4</w:t>
                  </w:r>
                  <w:r>
                    <w:rPr>
                      <w:color w:val="auto"/>
                      <w:u w:val="none" w:color="auto"/>
                    </w:rPr>
                    <w:t>-08</w:t>
                  </w:r>
                </w:p>
              </w:tc>
              <w:tc>
                <w:tcPr>
                  <w:tcW w:w="965" w:type="dxa"/>
                  <w:vMerge w:val="restart"/>
                  <w:vAlign w:val="center"/>
                </w:tcPr>
                <w:p w14:paraId="5CACD176">
                  <w:pPr>
                    <w:pStyle w:val="103"/>
                    <w:rPr>
                      <w:color w:val="auto"/>
                      <w:kern w:val="0"/>
                      <w:u w:val="none" w:color="auto"/>
                    </w:rPr>
                  </w:pPr>
                  <w:r>
                    <w:rPr>
                      <w:color w:val="auto"/>
                      <w:u w:val="none" w:color="auto"/>
                    </w:rPr>
                    <w:t>综合楼内危废暂存间</w:t>
                  </w:r>
                </w:p>
              </w:tc>
              <w:tc>
                <w:tcPr>
                  <w:tcW w:w="757" w:type="dxa"/>
                  <w:vMerge w:val="restart"/>
                  <w:vAlign w:val="center"/>
                </w:tcPr>
                <w:p w14:paraId="15EB1651">
                  <w:pPr>
                    <w:pStyle w:val="103"/>
                    <w:rPr>
                      <w:color w:val="auto"/>
                      <w:kern w:val="0"/>
                      <w:u w:val="none" w:color="auto"/>
                    </w:rPr>
                  </w:pPr>
                  <w:r>
                    <w:rPr>
                      <w:color w:val="auto"/>
                      <w:u w:val="none" w:color="auto"/>
                    </w:rPr>
                    <w:t>4m</w:t>
                  </w:r>
                  <w:r>
                    <w:rPr>
                      <w:color w:val="auto"/>
                      <w:u w:val="none" w:color="auto"/>
                      <w:vertAlign w:val="superscript"/>
                    </w:rPr>
                    <w:t>2</w:t>
                  </w:r>
                </w:p>
              </w:tc>
              <w:tc>
                <w:tcPr>
                  <w:tcW w:w="746" w:type="dxa"/>
                  <w:vAlign w:val="center"/>
                </w:tcPr>
                <w:p w14:paraId="3FEC7CA3">
                  <w:pPr>
                    <w:pStyle w:val="103"/>
                    <w:rPr>
                      <w:color w:val="auto"/>
                      <w:kern w:val="0"/>
                      <w:u w:val="none" w:color="auto"/>
                    </w:rPr>
                  </w:pPr>
                  <w:r>
                    <w:rPr>
                      <w:color w:val="auto"/>
                      <w:u w:val="none" w:color="auto"/>
                    </w:rPr>
                    <w:t>桶装</w:t>
                  </w:r>
                </w:p>
              </w:tc>
              <w:tc>
                <w:tcPr>
                  <w:tcW w:w="689" w:type="dxa"/>
                  <w:vAlign w:val="center"/>
                </w:tcPr>
                <w:p w14:paraId="4002684D">
                  <w:pPr>
                    <w:pStyle w:val="103"/>
                    <w:rPr>
                      <w:color w:val="auto"/>
                      <w:kern w:val="0"/>
                      <w:u w:val="none" w:color="auto"/>
                    </w:rPr>
                  </w:pPr>
                  <w:r>
                    <w:rPr>
                      <w:color w:val="auto"/>
                      <w:u w:val="none" w:color="auto"/>
                    </w:rPr>
                    <w:t>0.5t/a</w:t>
                  </w:r>
                </w:p>
              </w:tc>
              <w:tc>
                <w:tcPr>
                  <w:tcW w:w="772" w:type="dxa"/>
                  <w:vAlign w:val="center"/>
                </w:tcPr>
                <w:p w14:paraId="3926FFEE">
                  <w:pPr>
                    <w:pStyle w:val="103"/>
                    <w:rPr>
                      <w:color w:val="auto"/>
                      <w:kern w:val="0"/>
                      <w:u w:val="none" w:color="auto"/>
                    </w:rPr>
                  </w:pPr>
                  <w:r>
                    <w:rPr>
                      <w:color w:val="auto"/>
                      <w:u w:val="none" w:color="auto"/>
                    </w:rPr>
                    <w:t>一年</w:t>
                  </w:r>
                </w:p>
              </w:tc>
            </w:tr>
            <w:tr w14:paraId="2D617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80" w:type="dxa"/>
                  <w:vMerge w:val="continue"/>
                  <w:vAlign w:val="center"/>
                </w:tcPr>
                <w:p w14:paraId="0B5FC6BC">
                  <w:pPr>
                    <w:pStyle w:val="103"/>
                    <w:rPr>
                      <w:color w:val="auto"/>
                      <w:u w:val="none" w:color="auto"/>
                    </w:rPr>
                  </w:pPr>
                </w:p>
              </w:tc>
              <w:tc>
                <w:tcPr>
                  <w:tcW w:w="1087" w:type="dxa"/>
                  <w:vAlign w:val="center"/>
                </w:tcPr>
                <w:p w14:paraId="26F8B67B">
                  <w:pPr>
                    <w:pStyle w:val="103"/>
                    <w:rPr>
                      <w:rFonts w:hint="default" w:eastAsia="宋体"/>
                      <w:color w:val="auto"/>
                      <w:u w:val="none" w:color="auto"/>
                      <w:lang w:val="en-US" w:eastAsia="zh-CN"/>
                    </w:rPr>
                  </w:pPr>
                  <w:r>
                    <w:rPr>
                      <w:rFonts w:hint="eastAsia"/>
                      <w:color w:val="auto"/>
                      <w:u w:val="none" w:color="auto"/>
                      <w:lang w:val="en-US" w:eastAsia="zh-CN"/>
                    </w:rPr>
                    <w:t>废含油抹布及手套</w:t>
                  </w:r>
                </w:p>
              </w:tc>
              <w:tc>
                <w:tcPr>
                  <w:tcW w:w="958" w:type="dxa"/>
                  <w:vAlign w:val="center"/>
                </w:tcPr>
                <w:p w14:paraId="16D89180">
                  <w:pPr>
                    <w:pStyle w:val="103"/>
                    <w:rPr>
                      <w:rFonts w:hint="default" w:eastAsia="宋体"/>
                      <w:color w:val="auto"/>
                      <w:u w:val="none" w:color="auto"/>
                      <w:lang w:val="en-US" w:eastAsia="zh-CN"/>
                    </w:rPr>
                  </w:pPr>
                  <w:r>
                    <w:rPr>
                      <w:rFonts w:hint="eastAsia"/>
                      <w:color w:val="auto"/>
                      <w:u w:val="none" w:color="auto"/>
                      <w:lang w:val="en-US" w:eastAsia="zh-CN"/>
                    </w:rPr>
                    <w:t>HHW49</w:t>
                  </w:r>
                </w:p>
              </w:tc>
              <w:tc>
                <w:tcPr>
                  <w:tcW w:w="968" w:type="dxa"/>
                  <w:vAlign w:val="center"/>
                </w:tcPr>
                <w:p w14:paraId="5F00E88F">
                  <w:pPr>
                    <w:pStyle w:val="103"/>
                    <w:rPr>
                      <w:rFonts w:hint="default" w:eastAsia="宋体"/>
                      <w:color w:val="auto"/>
                      <w:u w:val="none" w:color="auto"/>
                      <w:lang w:val="en-US" w:eastAsia="zh-CN"/>
                    </w:rPr>
                  </w:pPr>
                  <w:r>
                    <w:rPr>
                      <w:rFonts w:hint="eastAsia"/>
                      <w:color w:val="auto"/>
                      <w:u w:val="none" w:color="auto"/>
                      <w:lang w:val="en-US" w:eastAsia="zh-CN"/>
                    </w:rPr>
                    <w:t>900-041-49</w:t>
                  </w:r>
                </w:p>
              </w:tc>
              <w:tc>
                <w:tcPr>
                  <w:tcW w:w="965" w:type="dxa"/>
                  <w:vMerge w:val="continue"/>
                  <w:vAlign w:val="center"/>
                </w:tcPr>
                <w:p w14:paraId="52AC7DAE">
                  <w:pPr>
                    <w:pStyle w:val="103"/>
                    <w:rPr>
                      <w:color w:val="auto"/>
                      <w:u w:val="none" w:color="auto"/>
                    </w:rPr>
                  </w:pPr>
                </w:p>
              </w:tc>
              <w:tc>
                <w:tcPr>
                  <w:tcW w:w="757" w:type="dxa"/>
                  <w:vMerge w:val="continue"/>
                  <w:vAlign w:val="center"/>
                </w:tcPr>
                <w:p w14:paraId="6EDA6B12">
                  <w:pPr>
                    <w:pStyle w:val="103"/>
                    <w:rPr>
                      <w:color w:val="auto"/>
                      <w:u w:val="none" w:color="auto"/>
                    </w:rPr>
                  </w:pPr>
                </w:p>
              </w:tc>
              <w:tc>
                <w:tcPr>
                  <w:tcW w:w="746" w:type="dxa"/>
                  <w:vAlign w:val="center"/>
                </w:tcPr>
                <w:p w14:paraId="7E8F2041">
                  <w:pPr>
                    <w:pStyle w:val="103"/>
                    <w:rPr>
                      <w:rFonts w:hint="eastAsia" w:eastAsia="宋体"/>
                      <w:color w:val="auto"/>
                      <w:u w:val="none" w:color="auto"/>
                      <w:lang w:val="en-US" w:eastAsia="zh-CN"/>
                    </w:rPr>
                  </w:pPr>
                  <w:r>
                    <w:rPr>
                      <w:rFonts w:hint="eastAsia"/>
                      <w:color w:val="auto"/>
                      <w:u w:val="none" w:color="auto"/>
                      <w:lang w:val="en-US" w:eastAsia="zh-CN"/>
                    </w:rPr>
                    <w:t>袋装</w:t>
                  </w:r>
                </w:p>
              </w:tc>
              <w:tc>
                <w:tcPr>
                  <w:tcW w:w="689" w:type="dxa"/>
                  <w:vAlign w:val="center"/>
                </w:tcPr>
                <w:p w14:paraId="16320A72">
                  <w:pPr>
                    <w:pStyle w:val="103"/>
                    <w:rPr>
                      <w:rFonts w:hint="default" w:eastAsia="宋体"/>
                      <w:color w:val="auto"/>
                      <w:u w:val="none" w:color="auto"/>
                      <w:lang w:val="en-US" w:eastAsia="zh-CN"/>
                    </w:rPr>
                  </w:pPr>
                  <w:r>
                    <w:rPr>
                      <w:rFonts w:hint="eastAsia"/>
                      <w:color w:val="auto"/>
                      <w:u w:val="none" w:color="auto"/>
                      <w:lang w:val="en-US" w:eastAsia="zh-CN"/>
                    </w:rPr>
                    <w:t>0.2t/a</w:t>
                  </w:r>
                </w:p>
              </w:tc>
              <w:tc>
                <w:tcPr>
                  <w:tcW w:w="772" w:type="dxa"/>
                  <w:vAlign w:val="center"/>
                </w:tcPr>
                <w:p w14:paraId="292384D9">
                  <w:pPr>
                    <w:pStyle w:val="103"/>
                    <w:rPr>
                      <w:rFonts w:hint="default" w:eastAsia="宋体"/>
                      <w:color w:val="auto"/>
                      <w:u w:val="none" w:color="auto"/>
                      <w:lang w:val="en-US" w:eastAsia="zh-CN"/>
                    </w:rPr>
                  </w:pPr>
                  <w:r>
                    <w:rPr>
                      <w:rFonts w:hint="eastAsia"/>
                      <w:color w:val="auto"/>
                      <w:u w:val="none" w:color="auto"/>
                      <w:lang w:val="en-US" w:eastAsia="zh-CN"/>
                    </w:rPr>
                    <w:t>一年</w:t>
                  </w:r>
                </w:p>
              </w:tc>
            </w:tr>
          </w:tbl>
          <w:p w14:paraId="22E6C467">
            <w:pPr>
              <w:spacing w:line="360" w:lineRule="auto"/>
              <w:ind w:firstLine="480" w:firstLineChars="200"/>
              <w:rPr>
                <w:rFonts w:hint="eastAsia" w:ascii="Times New Roman" w:hAnsi="Times New Roman" w:cs="Times New Roman" w:eastAsiaTheme="minorEastAsia"/>
                <w:color w:val="auto"/>
                <w:sz w:val="24"/>
                <w:szCs w:val="24"/>
                <w:u w:val="none" w:color="auto"/>
                <w:lang w:eastAsia="zh-CN"/>
              </w:rPr>
            </w:pPr>
            <w:r>
              <w:rPr>
                <w:rFonts w:ascii="Times New Roman" w:hAnsi="Times New Roman" w:cs="Times New Roman"/>
                <w:color w:val="auto"/>
                <w:sz w:val="24"/>
                <w:szCs w:val="24"/>
                <w:u w:val="none" w:color="auto"/>
              </w:rPr>
              <w:t>（2）一般工业固废</w:t>
            </w:r>
            <w:r>
              <w:rPr>
                <w:rFonts w:hint="eastAsia" w:ascii="Times New Roman" w:hAnsi="Times New Roman" w:cs="Times New Roman"/>
                <w:color w:val="auto"/>
                <w:sz w:val="24"/>
                <w:szCs w:val="24"/>
                <w:u w:val="none" w:color="auto"/>
                <w:lang w:val="en-US" w:eastAsia="zh-CN"/>
              </w:rPr>
              <w:t>仓库</w:t>
            </w:r>
          </w:p>
          <w:p w14:paraId="72EB70AF">
            <w:pPr>
              <w:pStyle w:val="114"/>
              <w:spacing w:before="0"/>
              <w:ind w:firstLine="480"/>
              <w:jc w:val="both"/>
              <w:rPr>
                <w:rFonts w:ascii="Times New Roman" w:hAnsi="Times New Roman" w:cs="Times New Roman"/>
                <w:color w:val="auto"/>
                <w:u w:val="none" w:color="auto"/>
              </w:rPr>
            </w:pPr>
            <w:r>
              <w:rPr>
                <w:rFonts w:ascii="Times New Roman" w:hAnsi="Times New Roman" w:cs="Times New Roman"/>
                <w:color w:val="auto"/>
                <w:u w:val="none" w:color="auto"/>
              </w:rPr>
              <w:t>一般固废仓库的建设应满足《</w:t>
            </w:r>
            <w:r>
              <w:rPr>
                <w:rFonts w:hint="default" w:ascii="Times New Roman" w:hAnsi="Times New Roman" w:cs="Times New Roman"/>
                <w:color w:val="auto"/>
                <w:u w:val="none" w:color="auto"/>
                <w:lang w:eastAsia="zh-CN"/>
              </w:rPr>
              <w:t>一般工业固体废物贮存和填埋污染控制标准</w:t>
            </w:r>
            <w:r>
              <w:rPr>
                <w:rFonts w:ascii="Times New Roman" w:hAnsi="Times New Roman" w:cs="Times New Roman"/>
                <w:color w:val="auto"/>
                <w:u w:val="none" w:color="auto"/>
              </w:rPr>
              <w:t>》（GB18599-2020）相关要求，具体为：</w:t>
            </w:r>
          </w:p>
          <w:p w14:paraId="518F836A">
            <w:pPr>
              <w:pStyle w:val="114"/>
              <w:spacing w:before="0"/>
              <w:ind w:firstLine="480"/>
              <w:jc w:val="both"/>
              <w:rPr>
                <w:rFonts w:ascii="Times New Roman" w:hAnsi="Times New Roman" w:cs="Times New Roman"/>
                <w:color w:val="auto"/>
                <w:u w:val="none" w:color="auto"/>
              </w:rPr>
            </w:pPr>
            <w:r>
              <w:rPr>
                <w:rFonts w:ascii="Times New Roman" w:hAnsi="Times New Roman" w:cs="Times New Roman"/>
                <w:color w:val="auto"/>
                <w:u w:val="none" w:color="auto"/>
              </w:rPr>
              <w:t>①贮存区采取防风、防雨、防渗透、防泄漏措施；</w:t>
            </w:r>
          </w:p>
          <w:p w14:paraId="2054E308">
            <w:pPr>
              <w:pStyle w:val="114"/>
              <w:spacing w:before="0"/>
              <w:ind w:firstLine="480"/>
              <w:jc w:val="both"/>
              <w:rPr>
                <w:rFonts w:ascii="Times New Roman" w:hAnsi="Times New Roman" w:cs="Times New Roman"/>
                <w:color w:val="auto"/>
                <w:u w:val="none" w:color="auto"/>
              </w:rPr>
            </w:pPr>
            <w:r>
              <w:rPr>
                <w:rFonts w:ascii="Times New Roman" w:hAnsi="Times New Roman" w:cs="Times New Roman"/>
                <w:color w:val="auto"/>
                <w:u w:val="none" w:color="auto"/>
              </w:rPr>
              <w:t>②各类固废应分类收集；指定专人进行日常管理，落实安全管理责任，避免二次污染，确保固废</w:t>
            </w:r>
            <w:r>
              <w:rPr>
                <w:rFonts w:hint="default" w:ascii="Times New Roman" w:hAnsi="Times New Roman" w:cs="Times New Roman"/>
                <w:color w:val="auto"/>
                <w:u w:val="none" w:color="auto"/>
              </w:rPr>
              <w:t>“</w:t>
            </w:r>
            <w:r>
              <w:rPr>
                <w:rFonts w:ascii="Times New Roman" w:hAnsi="Times New Roman" w:cs="Times New Roman"/>
                <w:color w:val="auto"/>
                <w:u w:val="none" w:color="auto"/>
              </w:rPr>
              <w:t>零排放</w:t>
            </w:r>
            <w:r>
              <w:rPr>
                <w:rFonts w:hint="default" w:ascii="Times New Roman" w:hAnsi="Times New Roman" w:cs="Times New Roman"/>
                <w:color w:val="auto"/>
                <w:u w:val="none" w:color="auto"/>
              </w:rPr>
              <w:t>”</w:t>
            </w:r>
            <w:r>
              <w:rPr>
                <w:rFonts w:ascii="Times New Roman" w:hAnsi="Times New Roman" w:cs="Times New Roman"/>
                <w:color w:val="auto"/>
                <w:u w:val="none" w:color="auto"/>
              </w:rPr>
              <w:t>；</w:t>
            </w:r>
          </w:p>
          <w:p w14:paraId="281E1C88">
            <w:pPr>
              <w:pStyle w:val="114"/>
              <w:spacing w:before="0"/>
              <w:ind w:firstLine="480"/>
              <w:jc w:val="both"/>
              <w:rPr>
                <w:rFonts w:ascii="Times New Roman" w:hAnsi="Times New Roman" w:cs="Times New Roman"/>
                <w:color w:val="auto"/>
                <w:u w:val="none" w:color="auto"/>
              </w:rPr>
            </w:pPr>
            <w:r>
              <w:rPr>
                <w:rFonts w:ascii="Times New Roman" w:hAnsi="Times New Roman" w:cs="Times New Roman"/>
                <w:color w:val="auto"/>
                <w:u w:val="none" w:color="auto"/>
              </w:rPr>
              <w:t>③贮存区按照《</w:t>
            </w:r>
            <w:r>
              <w:rPr>
                <w:rFonts w:hint="default" w:ascii="Times New Roman" w:hAnsi="Times New Roman" w:cs="Times New Roman"/>
                <w:color w:val="auto"/>
                <w:u w:val="none" w:color="auto"/>
                <w:lang w:eastAsia="zh-CN"/>
              </w:rPr>
              <w:t>环境保护图形标志 固体废物贮存（处置）场</w:t>
            </w:r>
            <w:r>
              <w:rPr>
                <w:rFonts w:ascii="Times New Roman" w:hAnsi="Times New Roman" w:cs="Times New Roman"/>
                <w:color w:val="auto"/>
                <w:u w:val="none" w:color="auto"/>
              </w:rPr>
              <w:t>》（GB15562.2</w:t>
            </w:r>
            <w:r>
              <w:rPr>
                <w:rFonts w:hint="default" w:ascii="Times New Roman" w:hAnsi="Times New Roman" w:cs="Times New Roman"/>
                <w:color w:val="auto"/>
                <w:u w:val="none" w:color="auto"/>
                <w:lang w:val="en-US" w:eastAsia="zh-CN"/>
              </w:rPr>
              <w:t>-1995</w:t>
            </w:r>
            <w:r>
              <w:rPr>
                <w:rFonts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及其修改单</w:t>
            </w:r>
            <w:r>
              <w:rPr>
                <w:rFonts w:ascii="Times New Roman" w:hAnsi="Times New Roman" w:cs="Times New Roman"/>
                <w:color w:val="auto"/>
                <w:u w:val="none" w:color="auto"/>
              </w:rPr>
              <w:t>的要求设置环保图形标志。</w:t>
            </w:r>
          </w:p>
          <w:p w14:paraId="3F6C6C24">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（3）生活垃圾处置措施</w:t>
            </w:r>
          </w:p>
          <w:p w14:paraId="591473E3">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项目生活垃圾集中收集后由环卫部门统一清运。</w:t>
            </w:r>
          </w:p>
          <w:p w14:paraId="71991ED1">
            <w:pPr>
              <w:spacing w:line="360" w:lineRule="auto"/>
              <w:ind w:firstLine="480" w:firstLineChars="200"/>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采取上述措施后，本工程固体废物可得到妥善</w:t>
            </w:r>
            <w:r>
              <w:rPr>
                <w:rFonts w:hint="eastAsia" w:ascii="Times New Roman" w:hAnsi="Times New Roman" w:cs="Times New Roman"/>
                <w:color w:val="auto"/>
                <w:sz w:val="24"/>
                <w:szCs w:val="24"/>
                <w:u w:val="none" w:color="auto"/>
                <w:lang w:val="en-US" w:eastAsia="zh-CN"/>
              </w:rPr>
              <w:t>的</w:t>
            </w:r>
            <w:r>
              <w:rPr>
                <w:rFonts w:ascii="Times New Roman" w:hAnsi="Times New Roman" w:cs="Times New Roman"/>
                <w:color w:val="auto"/>
                <w:sz w:val="24"/>
                <w:szCs w:val="24"/>
                <w:u w:val="none" w:color="auto"/>
              </w:rPr>
              <w:t>处理，对周围环境造成的影响很小。</w:t>
            </w:r>
          </w:p>
          <w:p w14:paraId="05809595">
            <w:pPr>
              <w:adjustRightInd w:val="0"/>
              <w:snapToGrid w:val="0"/>
              <w:spacing w:line="360" w:lineRule="auto"/>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5</w:t>
            </w:r>
            <w:r>
              <w:rPr>
                <w:rFonts w:hint="eastAsia" w:ascii="Times New Roman" w:hAnsi="Times New Roman" w:eastAsia="宋体" w:cs="Times New Roman"/>
                <w:b/>
                <w:color w:val="auto"/>
                <w:sz w:val="24"/>
                <w:szCs w:val="24"/>
                <w:u w:val="none" w:color="auto"/>
                <w:lang w:eastAsia="zh-CN"/>
              </w:rPr>
              <w:t>、</w:t>
            </w:r>
            <w:r>
              <w:rPr>
                <w:rFonts w:ascii="Times New Roman" w:hAnsi="Times New Roman" w:eastAsia="宋体" w:cs="Times New Roman"/>
                <w:b/>
                <w:color w:val="auto"/>
                <w:sz w:val="24"/>
                <w:szCs w:val="24"/>
                <w:u w:val="none" w:color="auto"/>
              </w:rPr>
              <w:t>地下水及土壤环境</w:t>
            </w:r>
          </w:p>
          <w:p w14:paraId="0E7038E9">
            <w:pPr>
              <w:spacing w:line="360" w:lineRule="auto"/>
              <w:ind w:firstLine="480" w:firstLineChars="200"/>
              <w:rPr>
                <w:rFonts w:ascii="Times New Roman" w:hAnsi="Times New Roman" w:cs="Times New Roman"/>
                <w:color w:val="auto"/>
                <w:sz w:val="24"/>
                <w:u w:val="none" w:color="auto"/>
              </w:rPr>
            </w:pPr>
            <w:r>
              <w:rPr>
                <w:rFonts w:hint="default" w:ascii="Times New Roman" w:hAnsi="Times New Roman" w:cs="Times New Roman"/>
                <w:color w:val="auto"/>
                <w:kern w:val="0"/>
                <w:sz w:val="24"/>
                <w:u w:val="none" w:color="auto"/>
                <w:lang w:val="en-US" w:eastAsia="zh-CN"/>
              </w:rPr>
              <w:t>项目</w:t>
            </w:r>
            <w:r>
              <w:rPr>
                <w:rFonts w:hint="default" w:ascii="Times New Roman" w:hAnsi="Times New Roman" w:cs="Times New Roman"/>
                <w:color w:val="auto"/>
                <w:kern w:val="0"/>
                <w:sz w:val="24"/>
                <w:u w:val="none" w:color="auto"/>
              </w:rPr>
              <w:t>须对危险废物暂存间</w:t>
            </w:r>
            <w:r>
              <w:rPr>
                <w:rFonts w:hint="default" w:ascii="Times New Roman" w:hAnsi="Times New Roman" w:cs="Times New Roman"/>
                <w:color w:val="auto"/>
                <w:kern w:val="0"/>
                <w:sz w:val="24"/>
                <w:u w:val="none" w:color="auto"/>
                <w:lang w:val="en-US" w:eastAsia="zh-CN"/>
              </w:rPr>
              <w:t>进行重点防渗</w:t>
            </w:r>
            <w:r>
              <w:rPr>
                <w:rFonts w:hint="eastAsia"/>
                <w:color w:val="auto"/>
                <w:kern w:val="0"/>
                <w:sz w:val="24"/>
                <w:u w:val="none" w:color="auto"/>
                <w:lang w:val="en-US" w:eastAsia="zh-CN"/>
              </w:rPr>
              <w:t>，</w:t>
            </w:r>
            <w:r>
              <w:rPr>
                <w:color w:val="auto"/>
                <w:kern w:val="0"/>
                <w:sz w:val="24"/>
                <w:u w:val="none" w:color="auto"/>
              </w:rPr>
              <w:t>采取有效的防雨、防渗漏、防溢流措施，加强危险废物</w:t>
            </w:r>
            <w:r>
              <w:rPr>
                <w:rFonts w:hint="eastAsia"/>
                <w:color w:val="auto"/>
                <w:kern w:val="0"/>
                <w:sz w:val="24"/>
                <w:u w:val="none" w:color="auto"/>
                <w:lang w:val="en-US" w:eastAsia="zh-CN"/>
              </w:rPr>
              <w:t>收集、贮</w:t>
            </w:r>
            <w:r>
              <w:rPr>
                <w:color w:val="auto"/>
                <w:kern w:val="0"/>
                <w:sz w:val="24"/>
                <w:u w:val="none" w:color="auto"/>
              </w:rPr>
              <w:t>存的管理</w:t>
            </w:r>
            <w:r>
              <w:rPr>
                <w:rFonts w:hint="eastAsia"/>
                <w:color w:val="auto"/>
                <w:kern w:val="0"/>
                <w:sz w:val="24"/>
                <w:u w:val="none" w:color="auto"/>
                <w:lang w:val="en-US" w:eastAsia="zh-CN"/>
              </w:rPr>
              <w:t>。此外，</w:t>
            </w:r>
            <w:r>
              <w:rPr>
                <w:rFonts w:hint="eastAsia"/>
                <w:color w:val="auto"/>
                <w:kern w:val="0"/>
                <w:sz w:val="24"/>
                <w:u w:val="none" w:color="auto"/>
              </w:rPr>
              <w:t>对</w:t>
            </w:r>
            <w:r>
              <w:rPr>
                <w:rFonts w:hint="eastAsia"/>
                <w:color w:val="auto"/>
                <w:kern w:val="0"/>
                <w:sz w:val="24"/>
                <w:u w:val="none" w:color="auto"/>
                <w:lang w:val="en-US" w:eastAsia="zh-CN"/>
              </w:rPr>
              <w:t>生产车间地面、初期雨水收集沉淀池、</w:t>
            </w:r>
            <w:r>
              <w:rPr>
                <w:rFonts w:hint="eastAsia"/>
                <w:color w:val="auto"/>
                <w:kern w:val="0"/>
                <w:sz w:val="24"/>
                <w:u w:val="none" w:color="auto"/>
              </w:rPr>
              <w:t>沉淀池、</w:t>
            </w:r>
            <w:r>
              <w:rPr>
                <w:rFonts w:hint="eastAsia"/>
                <w:color w:val="auto"/>
                <w:kern w:val="0"/>
                <w:sz w:val="24"/>
                <w:u w:val="none" w:color="auto"/>
                <w:lang w:val="en-US" w:eastAsia="zh-CN"/>
              </w:rPr>
              <w:t>化</w:t>
            </w:r>
            <w:r>
              <w:rPr>
                <w:color w:val="auto"/>
                <w:kern w:val="0"/>
                <w:sz w:val="24"/>
                <w:u w:val="none" w:color="auto"/>
              </w:rPr>
              <w:t>粪池采取</w:t>
            </w:r>
            <w:r>
              <w:rPr>
                <w:rFonts w:hint="eastAsia"/>
                <w:color w:val="auto"/>
                <w:kern w:val="0"/>
                <w:sz w:val="24"/>
                <w:u w:val="none" w:color="auto"/>
                <w:lang w:val="en-US" w:eastAsia="zh-CN"/>
              </w:rPr>
              <w:t>一般</w:t>
            </w:r>
            <w:r>
              <w:rPr>
                <w:color w:val="auto"/>
                <w:kern w:val="0"/>
                <w:sz w:val="24"/>
                <w:u w:val="none" w:color="auto"/>
              </w:rPr>
              <w:t>防渗措施。</w:t>
            </w:r>
            <w:r>
              <w:rPr>
                <w:rFonts w:hint="eastAsia"/>
                <w:color w:val="auto"/>
                <w:kern w:val="0"/>
                <w:sz w:val="24"/>
                <w:u w:val="none" w:color="auto"/>
                <w:lang w:val="en-US" w:eastAsia="zh-CN"/>
              </w:rPr>
              <w:t>采取上述措施后，项目</w:t>
            </w:r>
            <w:r>
              <w:rPr>
                <w:rFonts w:ascii="Times New Roman" w:hAnsi="Times New Roman" w:cs="Times New Roman"/>
                <w:color w:val="auto"/>
                <w:sz w:val="24"/>
                <w:u w:val="none" w:color="auto"/>
              </w:rPr>
              <w:t>无污染土壤及地下水环境途径，不会对土壤及地下水环境产生</w:t>
            </w:r>
            <w:r>
              <w:rPr>
                <w:rFonts w:hint="eastAsia" w:ascii="Times New Roman" w:hAnsi="Times New Roman" w:cs="Times New Roman"/>
                <w:color w:val="auto"/>
                <w:sz w:val="24"/>
                <w:u w:val="none" w:color="auto"/>
                <w:lang w:val="en-US" w:eastAsia="zh-CN"/>
              </w:rPr>
              <w:t>显著不利</w:t>
            </w:r>
            <w:r>
              <w:rPr>
                <w:rFonts w:ascii="Times New Roman" w:hAnsi="Times New Roman" w:cs="Times New Roman"/>
                <w:color w:val="auto"/>
                <w:sz w:val="24"/>
                <w:u w:val="none" w:color="auto"/>
              </w:rPr>
              <w:t>影响。</w:t>
            </w:r>
          </w:p>
          <w:p w14:paraId="1F53D26C">
            <w:pPr>
              <w:adjustRightInd w:val="0"/>
              <w:snapToGrid w:val="0"/>
              <w:spacing w:line="360" w:lineRule="auto"/>
              <w:rPr>
                <w:rFonts w:ascii="Times New Roman" w:hAnsi="Times New Roman" w:eastAsia="宋体" w:cs="Times New Roman"/>
                <w:b/>
                <w:color w:val="auto"/>
                <w:sz w:val="24"/>
                <w:szCs w:val="24"/>
                <w:u w:val="none" w:color="auto"/>
              </w:rPr>
            </w:pPr>
            <w:r>
              <w:rPr>
                <w:rFonts w:hint="eastAsia" w:ascii="Times New Roman" w:hAnsi="Times New Roman" w:eastAsia="宋体" w:cs="Times New Roman"/>
                <w:b/>
                <w:color w:val="auto"/>
                <w:sz w:val="24"/>
                <w:szCs w:val="24"/>
                <w:u w:val="none" w:color="auto"/>
                <w:lang w:val="en-US" w:eastAsia="zh-CN"/>
              </w:rPr>
              <w:t>6、</w:t>
            </w:r>
            <w:r>
              <w:rPr>
                <w:rFonts w:ascii="Times New Roman" w:hAnsi="Times New Roman" w:eastAsia="宋体" w:cs="Times New Roman"/>
                <w:b/>
                <w:color w:val="auto"/>
                <w:sz w:val="24"/>
                <w:szCs w:val="24"/>
                <w:u w:val="none" w:color="auto"/>
              </w:rPr>
              <w:t>环境风险</w:t>
            </w:r>
          </w:p>
          <w:p w14:paraId="23420FDE">
            <w:pPr>
              <w:adjustRightInd w:val="0"/>
              <w:snapToGrid w:val="0"/>
              <w:spacing w:line="360" w:lineRule="auto"/>
              <w:ind w:firstLine="482" w:firstLineChars="200"/>
              <w:rPr>
                <w:rFonts w:ascii="Times New Roman" w:hAnsi="Times New Roman" w:eastAsia="宋体" w:cs="Times New Roman"/>
                <w:b/>
                <w:color w:val="auto"/>
                <w:sz w:val="24"/>
                <w:szCs w:val="24"/>
                <w:u w:val="none" w:color="auto"/>
              </w:rPr>
            </w:pPr>
            <w:r>
              <w:rPr>
                <w:rFonts w:hint="eastAsia" w:ascii="Times New Roman" w:hAnsi="Times New Roman" w:eastAsia="宋体" w:cs="Times New Roman"/>
                <w:b/>
                <w:color w:val="auto"/>
                <w:sz w:val="24"/>
                <w:szCs w:val="24"/>
                <w:u w:val="none" w:color="auto"/>
                <w:lang w:val="en-US" w:eastAsia="zh-CN"/>
              </w:rPr>
              <w:t>6</w:t>
            </w:r>
            <w:r>
              <w:rPr>
                <w:rFonts w:ascii="Times New Roman" w:hAnsi="Times New Roman" w:eastAsia="宋体" w:cs="Times New Roman"/>
                <w:b/>
                <w:color w:val="auto"/>
                <w:sz w:val="24"/>
                <w:szCs w:val="24"/>
                <w:u w:val="none" w:color="auto"/>
              </w:rPr>
              <w:t xml:space="preserve">.1 </w:t>
            </w:r>
            <w:r>
              <w:rPr>
                <w:rFonts w:ascii="Times New Roman" w:hAnsi="Times New Roman" w:cs="Times New Roman"/>
                <w:b/>
                <w:color w:val="auto"/>
                <w:spacing w:val="8"/>
                <w:sz w:val="24"/>
                <w:szCs w:val="24"/>
                <w:u w:val="none" w:color="auto"/>
              </w:rPr>
              <w:t>环境风险调查</w:t>
            </w:r>
          </w:p>
          <w:p w14:paraId="7260DB0F">
            <w:pPr>
              <w:adjustRightInd w:val="0"/>
              <w:snapToGrid w:val="0"/>
              <w:spacing w:line="360" w:lineRule="auto"/>
              <w:ind w:firstLine="480" w:firstLineChars="200"/>
              <w:rPr>
                <w:rFonts w:ascii="Times New Roman" w:hAnsi="Times New Roman" w:eastAsia="宋体" w:cs="Times New Roman"/>
                <w:bCs/>
                <w:color w:val="auto"/>
                <w:sz w:val="24"/>
                <w:szCs w:val="24"/>
                <w:u w:val="none" w:color="auto"/>
              </w:rPr>
            </w:pPr>
            <w:r>
              <w:rPr>
                <w:rFonts w:ascii="Times New Roman" w:hAnsi="Times New Roman" w:eastAsia="宋体" w:cs="Times New Roman"/>
                <w:bCs/>
                <w:color w:val="auto"/>
                <w:sz w:val="24"/>
                <w:szCs w:val="24"/>
                <w:u w:val="none" w:color="auto"/>
              </w:rPr>
              <w:t>根据《建设项目环境风险评价技术导则》（</w:t>
            </w:r>
            <w:r>
              <w:rPr>
                <w:rFonts w:hint="eastAsia" w:ascii="Times New Roman" w:hAnsi="Times New Roman" w:eastAsia="宋体" w:cs="Times New Roman"/>
                <w:bCs/>
                <w:color w:val="auto"/>
                <w:sz w:val="24"/>
                <w:szCs w:val="24"/>
                <w:u w:val="none" w:color="auto"/>
                <w:lang w:val="en-US" w:eastAsia="zh-CN"/>
              </w:rPr>
              <w:t>HJ169</w:t>
            </w:r>
            <w:r>
              <w:rPr>
                <w:rFonts w:ascii="Times New Roman" w:hAnsi="Times New Roman" w:eastAsia="宋体" w:cs="Times New Roman"/>
                <w:bCs/>
                <w:color w:val="auto"/>
                <w:sz w:val="24"/>
                <w:szCs w:val="24"/>
                <w:u w:val="none" w:color="auto"/>
              </w:rPr>
              <w:t>-2018）附录B中表B.1和表B.2中的环境风险物质，本项目</w:t>
            </w:r>
            <w:r>
              <w:rPr>
                <w:rFonts w:hint="eastAsia" w:ascii="Times New Roman" w:hAnsi="Times New Roman" w:eastAsia="宋体" w:cs="Times New Roman"/>
                <w:bCs/>
                <w:color w:val="auto"/>
                <w:sz w:val="24"/>
                <w:szCs w:val="24"/>
                <w:u w:val="none" w:color="auto"/>
                <w:lang w:val="en-US" w:eastAsia="zh-CN"/>
              </w:rPr>
              <w:t>所</w:t>
            </w:r>
            <w:r>
              <w:rPr>
                <w:rFonts w:ascii="Times New Roman" w:hAnsi="Times New Roman" w:eastAsia="宋体" w:cs="Times New Roman"/>
                <w:bCs/>
                <w:color w:val="auto"/>
                <w:sz w:val="24"/>
                <w:szCs w:val="24"/>
                <w:u w:val="none" w:color="auto"/>
              </w:rPr>
              <w:t>涉及</w:t>
            </w:r>
            <w:r>
              <w:rPr>
                <w:rFonts w:hint="eastAsia" w:ascii="Times New Roman" w:hAnsi="Times New Roman" w:eastAsia="宋体" w:cs="Times New Roman"/>
                <w:bCs/>
                <w:color w:val="auto"/>
                <w:sz w:val="24"/>
                <w:szCs w:val="24"/>
                <w:u w:val="none" w:color="auto"/>
                <w:lang w:val="en-US" w:eastAsia="zh-CN"/>
              </w:rPr>
              <w:t>的</w:t>
            </w:r>
            <w:r>
              <w:rPr>
                <w:rFonts w:ascii="Times New Roman" w:hAnsi="Times New Roman" w:eastAsia="宋体" w:cs="Times New Roman"/>
                <w:bCs/>
                <w:color w:val="auto"/>
                <w:sz w:val="24"/>
                <w:szCs w:val="24"/>
                <w:u w:val="none" w:color="auto"/>
              </w:rPr>
              <w:t>环境风险物质的</w:t>
            </w:r>
            <w:r>
              <w:rPr>
                <w:rFonts w:hint="eastAsia" w:ascii="Times New Roman" w:hAnsi="Times New Roman" w:eastAsia="宋体" w:cs="Times New Roman"/>
                <w:bCs/>
                <w:color w:val="auto"/>
                <w:sz w:val="24"/>
                <w:szCs w:val="24"/>
                <w:u w:val="none" w:color="auto"/>
                <w:lang w:val="en-US" w:eastAsia="zh-CN"/>
              </w:rPr>
              <w:t>为</w:t>
            </w:r>
            <w:r>
              <w:rPr>
                <w:rFonts w:ascii="Times New Roman" w:hAnsi="Times New Roman" w:cs="Times New Roman"/>
                <w:color w:val="auto"/>
                <w:sz w:val="24"/>
                <w:u w:val="none" w:color="auto"/>
              </w:rPr>
              <w:t>废矿物油</w:t>
            </w:r>
            <w:r>
              <w:rPr>
                <w:rFonts w:ascii="Times New Roman" w:hAnsi="Times New Roman" w:eastAsia="宋体" w:cs="Times New Roman"/>
                <w:bCs/>
                <w:color w:val="auto"/>
                <w:sz w:val="24"/>
                <w:szCs w:val="24"/>
                <w:u w:val="none" w:color="auto"/>
              </w:rPr>
              <w:t>，其最大储存量及临界量见下表。</w:t>
            </w:r>
          </w:p>
          <w:p w14:paraId="728B0D10">
            <w:pPr>
              <w:overflowPunct w:val="0"/>
              <w:jc w:val="center"/>
              <w:textAlignment w:val="baseline"/>
              <w:outlineLvl w:val="1"/>
              <w:rPr>
                <w:rFonts w:ascii="Times New Roman" w:hAnsi="Times New Roman" w:eastAsia="宋体" w:cs="Times New Roman"/>
                <w:b/>
                <w:color w:val="auto"/>
                <w:sz w:val="24"/>
                <w:szCs w:val="24"/>
                <w:u w:val="none" w:color="auto"/>
              </w:rPr>
            </w:pPr>
            <w:r>
              <w:rPr>
                <w:rFonts w:ascii="Times New Roman" w:hAnsi="Times New Roman" w:eastAsia="宋体" w:cs="Times New Roman"/>
                <w:b/>
                <w:color w:val="auto"/>
                <w:sz w:val="24"/>
                <w:szCs w:val="24"/>
                <w:u w:val="none" w:color="auto"/>
              </w:rPr>
              <w:t>表4-1</w:t>
            </w:r>
            <w:r>
              <w:rPr>
                <w:rFonts w:hint="eastAsia" w:ascii="Times New Roman" w:hAnsi="Times New Roman" w:eastAsia="宋体" w:cs="Times New Roman"/>
                <w:b/>
                <w:color w:val="auto"/>
                <w:sz w:val="24"/>
                <w:szCs w:val="24"/>
                <w:u w:val="none" w:color="auto"/>
                <w:lang w:val="en-US" w:eastAsia="zh-CN"/>
              </w:rPr>
              <w:t xml:space="preserve">0  </w:t>
            </w:r>
            <w:r>
              <w:rPr>
                <w:rFonts w:ascii="Times New Roman" w:hAnsi="Times New Roman" w:eastAsia="宋体" w:cs="Times New Roman"/>
                <w:b/>
                <w:color w:val="auto"/>
                <w:sz w:val="24"/>
                <w:szCs w:val="24"/>
                <w:u w:val="none" w:color="auto"/>
              </w:rPr>
              <w:t>风险物质最大贮存量及临界量一览表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498"/>
              <w:gridCol w:w="942"/>
              <w:gridCol w:w="1159"/>
              <w:gridCol w:w="1482"/>
              <w:gridCol w:w="1089"/>
              <w:gridCol w:w="1010"/>
              <w:gridCol w:w="851"/>
              <w:gridCol w:w="991"/>
            </w:tblGrid>
            <w:tr w14:paraId="304F7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27" w:hRule="atLeast"/>
                <w:jc w:val="center"/>
              </w:trPr>
              <w:tc>
                <w:tcPr>
                  <w:tcW w:w="498" w:type="dxa"/>
                  <w:tcBorders>
                    <w:top w:val="single" w:color="auto" w:sz="12" w:space="0"/>
                    <w:left w:val="single" w:color="auto" w:sz="12" w:space="0"/>
                    <w:bottom w:val="single" w:color="auto" w:sz="6" w:space="0"/>
                    <w:right w:val="single" w:color="auto" w:sz="6" w:space="0"/>
                  </w:tcBorders>
                  <w:vAlign w:val="center"/>
                </w:tcPr>
                <w:p w14:paraId="20240E79">
                  <w:pPr>
                    <w:pStyle w:val="103"/>
                    <w:rPr>
                      <w:color w:val="auto"/>
                      <w:kern w:val="0"/>
                      <w:u w:val="none" w:color="auto"/>
                    </w:rPr>
                  </w:pPr>
                  <w:r>
                    <w:rPr>
                      <w:color w:val="auto"/>
                      <w:u w:val="none" w:color="auto"/>
                    </w:rPr>
                    <w:t>序号</w:t>
                  </w:r>
                </w:p>
              </w:tc>
              <w:tc>
                <w:tcPr>
                  <w:tcW w:w="942" w:type="dxa"/>
                  <w:tcBorders>
                    <w:top w:val="single" w:color="auto" w:sz="12" w:space="0"/>
                    <w:left w:val="single" w:color="auto" w:sz="6" w:space="0"/>
                    <w:bottom w:val="single" w:color="auto" w:sz="6" w:space="0"/>
                    <w:right w:val="single" w:color="auto" w:sz="6" w:space="0"/>
                  </w:tcBorders>
                  <w:vAlign w:val="center"/>
                </w:tcPr>
                <w:p w14:paraId="4AD6FA59">
                  <w:pPr>
                    <w:pStyle w:val="103"/>
                    <w:rPr>
                      <w:color w:val="auto"/>
                      <w:kern w:val="0"/>
                      <w:u w:val="none" w:color="auto"/>
                    </w:rPr>
                  </w:pPr>
                  <w:r>
                    <w:rPr>
                      <w:color w:val="auto"/>
                      <w:u w:val="none" w:color="auto"/>
                    </w:rPr>
                    <w:t>名称</w:t>
                  </w:r>
                </w:p>
              </w:tc>
              <w:tc>
                <w:tcPr>
                  <w:tcW w:w="1159" w:type="dxa"/>
                  <w:tcBorders>
                    <w:top w:val="single" w:color="auto" w:sz="12" w:space="0"/>
                    <w:left w:val="single" w:color="auto" w:sz="6" w:space="0"/>
                    <w:bottom w:val="single" w:color="auto" w:sz="6" w:space="0"/>
                    <w:right w:val="single" w:color="auto" w:sz="6" w:space="0"/>
                  </w:tcBorders>
                  <w:vAlign w:val="center"/>
                </w:tcPr>
                <w:p w14:paraId="3E96F492">
                  <w:pPr>
                    <w:pStyle w:val="103"/>
                    <w:rPr>
                      <w:color w:val="auto"/>
                      <w:kern w:val="0"/>
                      <w:u w:val="none" w:color="auto"/>
                    </w:rPr>
                  </w:pPr>
                  <w:r>
                    <w:rPr>
                      <w:color w:val="auto"/>
                      <w:u w:val="none" w:color="auto"/>
                    </w:rPr>
                    <w:t>理化性质</w:t>
                  </w:r>
                </w:p>
              </w:tc>
              <w:tc>
                <w:tcPr>
                  <w:tcW w:w="1482" w:type="dxa"/>
                  <w:tcBorders>
                    <w:top w:val="single" w:color="auto" w:sz="12" w:space="0"/>
                    <w:left w:val="single" w:color="auto" w:sz="6" w:space="0"/>
                    <w:bottom w:val="single" w:color="auto" w:sz="6" w:space="0"/>
                    <w:right w:val="single" w:color="auto" w:sz="6" w:space="0"/>
                  </w:tcBorders>
                  <w:vAlign w:val="center"/>
                </w:tcPr>
                <w:p w14:paraId="621F2C0A">
                  <w:pPr>
                    <w:pStyle w:val="103"/>
                    <w:rPr>
                      <w:color w:val="auto"/>
                      <w:kern w:val="0"/>
                      <w:u w:val="none" w:color="auto"/>
                    </w:rPr>
                  </w:pPr>
                  <w:r>
                    <w:rPr>
                      <w:color w:val="auto"/>
                      <w:u w:val="none" w:color="auto"/>
                    </w:rPr>
                    <w:t>危害特性</w:t>
                  </w:r>
                </w:p>
              </w:tc>
              <w:tc>
                <w:tcPr>
                  <w:tcW w:w="1089" w:type="dxa"/>
                  <w:tcBorders>
                    <w:top w:val="single" w:color="auto" w:sz="12" w:space="0"/>
                    <w:left w:val="single" w:color="auto" w:sz="6" w:space="0"/>
                    <w:bottom w:val="single" w:color="auto" w:sz="6" w:space="0"/>
                    <w:right w:val="single" w:color="auto" w:sz="6" w:space="0"/>
                  </w:tcBorders>
                  <w:vAlign w:val="center"/>
                </w:tcPr>
                <w:p w14:paraId="1F1C2372">
                  <w:pPr>
                    <w:pStyle w:val="103"/>
                    <w:rPr>
                      <w:color w:val="auto"/>
                      <w:kern w:val="0"/>
                      <w:u w:val="none" w:color="auto"/>
                    </w:rPr>
                  </w:pPr>
                  <w:r>
                    <w:rPr>
                      <w:color w:val="auto"/>
                      <w:u w:val="none" w:color="auto"/>
                    </w:rPr>
                    <w:t>贮存方式</w:t>
                  </w:r>
                </w:p>
              </w:tc>
              <w:tc>
                <w:tcPr>
                  <w:tcW w:w="1010" w:type="dxa"/>
                  <w:tcBorders>
                    <w:top w:val="single" w:color="auto" w:sz="12" w:space="0"/>
                    <w:left w:val="single" w:color="auto" w:sz="6" w:space="0"/>
                    <w:bottom w:val="single" w:color="auto" w:sz="6" w:space="0"/>
                    <w:right w:val="single" w:color="auto" w:sz="6" w:space="0"/>
                  </w:tcBorders>
                  <w:vAlign w:val="center"/>
                </w:tcPr>
                <w:p w14:paraId="71E161CC">
                  <w:pPr>
                    <w:pStyle w:val="103"/>
                    <w:rPr>
                      <w:color w:val="auto"/>
                      <w:kern w:val="0"/>
                      <w:u w:val="none" w:color="auto"/>
                    </w:rPr>
                  </w:pPr>
                  <w:r>
                    <w:rPr>
                      <w:color w:val="auto"/>
                      <w:u w:val="none" w:color="auto"/>
                    </w:rPr>
                    <w:t>最大贮存量qi</w:t>
                  </w:r>
                </w:p>
              </w:tc>
              <w:tc>
                <w:tcPr>
                  <w:tcW w:w="851" w:type="dxa"/>
                  <w:tcBorders>
                    <w:top w:val="single" w:color="auto" w:sz="12" w:space="0"/>
                    <w:left w:val="single" w:color="auto" w:sz="6" w:space="0"/>
                    <w:bottom w:val="single" w:color="auto" w:sz="6" w:space="0"/>
                    <w:right w:val="single" w:color="auto" w:sz="6" w:space="0"/>
                  </w:tcBorders>
                  <w:vAlign w:val="center"/>
                </w:tcPr>
                <w:p w14:paraId="76912A3F">
                  <w:pPr>
                    <w:pStyle w:val="103"/>
                    <w:rPr>
                      <w:color w:val="auto"/>
                      <w:kern w:val="0"/>
                      <w:u w:val="none" w:color="auto"/>
                    </w:rPr>
                  </w:pPr>
                  <w:r>
                    <w:rPr>
                      <w:color w:val="auto"/>
                      <w:u w:val="none" w:color="auto"/>
                    </w:rPr>
                    <w:t>临界量Qi</w:t>
                  </w:r>
                </w:p>
              </w:tc>
              <w:tc>
                <w:tcPr>
                  <w:tcW w:w="991" w:type="dxa"/>
                  <w:tcBorders>
                    <w:top w:val="single" w:color="auto" w:sz="12" w:space="0"/>
                    <w:left w:val="single" w:color="auto" w:sz="6" w:space="0"/>
                    <w:bottom w:val="single" w:color="auto" w:sz="6" w:space="0"/>
                    <w:right w:val="single" w:color="auto" w:sz="12" w:space="0"/>
                  </w:tcBorders>
                  <w:vAlign w:val="center"/>
                </w:tcPr>
                <w:p w14:paraId="67A64EED">
                  <w:pPr>
                    <w:pStyle w:val="103"/>
                    <w:rPr>
                      <w:color w:val="auto"/>
                      <w:kern w:val="0"/>
                      <w:u w:val="none" w:color="auto"/>
                    </w:rPr>
                  </w:pPr>
                  <w:r>
                    <w:rPr>
                      <w:color w:val="auto"/>
                      <w:u w:val="none" w:color="auto"/>
                    </w:rPr>
                    <w:t>qi/Qi</w:t>
                  </w:r>
                </w:p>
              </w:tc>
            </w:tr>
            <w:tr w14:paraId="5C021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27" w:hRule="atLeast"/>
                <w:jc w:val="center"/>
              </w:trPr>
              <w:tc>
                <w:tcPr>
                  <w:tcW w:w="498" w:type="dxa"/>
                  <w:tcBorders>
                    <w:top w:val="single" w:color="auto" w:sz="6" w:space="0"/>
                    <w:left w:val="single" w:color="auto" w:sz="12" w:space="0"/>
                    <w:bottom w:val="single" w:color="auto" w:sz="6" w:space="0"/>
                    <w:right w:val="single" w:color="auto" w:sz="6" w:space="0"/>
                  </w:tcBorders>
                  <w:vAlign w:val="center"/>
                </w:tcPr>
                <w:p w14:paraId="58B0642C">
                  <w:pPr>
                    <w:pStyle w:val="103"/>
                    <w:rPr>
                      <w:color w:val="auto"/>
                      <w:kern w:val="0"/>
                      <w:u w:val="none" w:color="auto"/>
                    </w:rPr>
                  </w:pPr>
                  <w:r>
                    <w:rPr>
                      <w:color w:val="auto"/>
                      <w:u w:val="none" w:color="auto"/>
                    </w:rPr>
                    <w:t>1</w:t>
                  </w:r>
                </w:p>
              </w:tc>
              <w:tc>
                <w:tcPr>
                  <w:tcW w:w="942" w:type="dxa"/>
                  <w:tcBorders>
                    <w:top w:val="single" w:color="auto" w:sz="6" w:space="0"/>
                    <w:left w:val="single" w:color="auto" w:sz="6" w:space="0"/>
                    <w:bottom w:val="single" w:color="auto" w:sz="6" w:space="0"/>
                    <w:right w:val="single" w:color="auto" w:sz="6" w:space="0"/>
                  </w:tcBorders>
                  <w:vAlign w:val="center"/>
                </w:tcPr>
                <w:p w14:paraId="00BCE81D">
                  <w:pPr>
                    <w:pStyle w:val="103"/>
                    <w:rPr>
                      <w:color w:val="auto"/>
                      <w:kern w:val="0"/>
                      <w:u w:val="none" w:color="auto"/>
                    </w:rPr>
                  </w:pPr>
                  <w:r>
                    <w:rPr>
                      <w:color w:val="auto"/>
                      <w:u w:val="none" w:color="auto"/>
                    </w:rPr>
                    <w:t>废矿物油</w:t>
                  </w:r>
                </w:p>
              </w:tc>
              <w:tc>
                <w:tcPr>
                  <w:tcW w:w="1159" w:type="dxa"/>
                  <w:tcBorders>
                    <w:top w:val="single" w:color="auto" w:sz="6" w:space="0"/>
                    <w:left w:val="single" w:color="auto" w:sz="6" w:space="0"/>
                    <w:bottom w:val="single" w:color="auto" w:sz="6" w:space="0"/>
                    <w:right w:val="single" w:color="auto" w:sz="6" w:space="0"/>
                  </w:tcBorders>
                  <w:vAlign w:val="center"/>
                </w:tcPr>
                <w:p w14:paraId="444DCB77">
                  <w:pPr>
                    <w:pStyle w:val="103"/>
                    <w:rPr>
                      <w:color w:val="auto"/>
                      <w:kern w:val="0"/>
                      <w:u w:val="none" w:color="auto"/>
                    </w:rPr>
                  </w:pPr>
                  <w:r>
                    <w:rPr>
                      <w:rFonts w:hint="eastAsia"/>
                      <w:color w:val="auto"/>
                      <w:u w:val="none" w:color="auto"/>
                      <w:lang w:eastAsia="zh-CN"/>
                    </w:rPr>
                    <w:t>危险废物</w:t>
                  </w:r>
                  <w:r>
                    <w:rPr>
                      <w:color w:val="auto"/>
                      <w:u w:val="none" w:color="auto"/>
                    </w:rPr>
                    <w:t>HW08</w:t>
                  </w:r>
                </w:p>
              </w:tc>
              <w:tc>
                <w:tcPr>
                  <w:tcW w:w="1482" w:type="dxa"/>
                  <w:tcBorders>
                    <w:top w:val="single" w:color="auto" w:sz="6" w:space="0"/>
                    <w:left w:val="single" w:color="auto" w:sz="6" w:space="0"/>
                    <w:bottom w:val="single" w:color="auto" w:sz="6" w:space="0"/>
                    <w:right w:val="single" w:color="auto" w:sz="6" w:space="0"/>
                  </w:tcBorders>
                  <w:vAlign w:val="center"/>
                </w:tcPr>
                <w:p w14:paraId="1CF55018">
                  <w:pPr>
                    <w:pStyle w:val="103"/>
                    <w:rPr>
                      <w:color w:val="auto"/>
                      <w:kern w:val="0"/>
                      <w:u w:val="none" w:color="auto"/>
                    </w:rPr>
                  </w:pPr>
                  <w:r>
                    <w:rPr>
                      <w:color w:val="auto"/>
                      <w:u w:val="none" w:color="auto"/>
                    </w:rPr>
                    <w:t>危险废物</w:t>
                  </w:r>
                </w:p>
              </w:tc>
              <w:tc>
                <w:tcPr>
                  <w:tcW w:w="1089" w:type="dxa"/>
                  <w:tcBorders>
                    <w:top w:val="single" w:color="auto" w:sz="6" w:space="0"/>
                    <w:left w:val="single" w:color="auto" w:sz="6" w:space="0"/>
                    <w:bottom w:val="single" w:color="auto" w:sz="6" w:space="0"/>
                    <w:right w:val="single" w:color="auto" w:sz="6" w:space="0"/>
                  </w:tcBorders>
                  <w:vAlign w:val="center"/>
                </w:tcPr>
                <w:p w14:paraId="320768C2">
                  <w:pPr>
                    <w:pStyle w:val="103"/>
                    <w:rPr>
                      <w:color w:val="auto"/>
                      <w:kern w:val="0"/>
                      <w:u w:val="none" w:color="auto"/>
                    </w:rPr>
                  </w:pPr>
                  <w:r>
                    <w:rPr>
                      <w:color w:val="auto"/>
                      <w:u w:val="none" w:color="auto"/>
                    </w:rPr>
                    <w:t>危废暂存间</w:t>
                  </w:r>
                </w:p>
              </w:tc>
              <w:tc>
                <w:tcPr>
                  <w:tcW w:w="1010" w:type="dxa"/>
                  <w:tcBorders>
                    <w:top w:val="single" w:color="auto" w:sz="6" w:space="0"/>
                    <w:left w:val="single" w:color="auto" w:sz="6" w:space="0"/>
                    <w:bottom w:val="single" w:color="auto" w:sz="6" w:space="0"/>
                    <w:right w:val="single" w:color="auto" w:sz="6" w:space="0"/>
                  </w:tcBorders>
                  <w:vAlign w:val="center"/>
                </w:tcPr>
                <w:p w14:paraId="356C8C82">
                  <w:pPr>
                    <w:pStyle w:val="103"/>
                    <w:rPr>
                      <w:color w:val="auto"/>
                      <w:kern w:val="0"/>
                      <w:u w:val="none" w:color="auto"/>
                    </w:rPr>
                  </w:pPr>
                  <w:r>
                    <w:rPr>
                      <w:color w:val="auto"/>
                      <w:u w:val="none" w:color="auto"/>
                    </w:rPr>
                    <w:t>0.5t</w:t>
                  </w:r>
                </w:p>
              </w:tc>
              <w:tc>
                <w:tcPr>
                  <w:tcW w:w="851" w:type="dxa"/>
                  <w:tcBorders>
                    <w:top w:val="single" w:color="auto" w:sz="6" w:space="0"/>
                    <w:left w:val="single" w:color="auto" w:sz="6" w:space="0"/>
                    <w:bottom w:val="single" w:color="auto" w:sz="6" w:space="0"/>
                    <w:right w:val="single" w:color="auto" w:sz="6" w:space="0"/>
                  </w:tcBorders>
                  <w:vAlign w:val="center"/>
                </w:tcPr>
                <w:p w14:paraId="7DADC3CD">
                  <w:pPr>
                    <w:pStyle w:val="103"/>
                    <w:rPr>
                      <w:color w:val="auto"/>
                      <w:kern w:val="0"/>
                      <w:u w:val="none" w:color="auto"/>
                    </w:rPr>
                  </w:pPr>
                  <w:r>
                    <w:rPr>
                      <w:color w:val="auto"/>
                      <w:u w:val="none" w:color="auto"/>
                    </w:rPr>
                    <w:t>2500t</w:t>
                  </w:r>
                </w:p>
              </w:tc>
              <w:tc>
                <w:tcPr>
                  <w:tcW w:w="991" w:type="dxa"/>
                  <w:tcBorders>
                    <w:top w:val="single" w:color="auto" w:sz="6" w:space="0"/>
                    <w:left w:val="single" w:color="auto" w:sz="6" w:space="0"/>
                    <w:bottom w:val="single" w:color="auto" w:sz="6" w:space="0"/>
                    <w:right w:val="single" w:color="auto" w:sz="12" w:space="0"/>
                  </w:tcBorders>
                  <w:vAlign w:val="center"/>
                </w:tcPr>
                <w:p w14:paraId="3091E7B6">
                  <w:pPr>
                    <w:pStyle w:val="103"/>
                    <w:rPr>
                      <w:color w:val="auto"/>
                      <w:kern w:val="0"/>
                      <w:u w:val="none" w:color="auto"/>
                    </w:rPr>
                  </w:pPr>
                  <w:r>
                    <w:rPr>
                      <w:color w:val="auto"/>
                      <w:u w:val="none" w:color="auto"/>
                    </w:rPr>
                    <w:t>0.0002</w:t>
                  </w:r>
                </w:p>
              </w:tc>
            </w:tr>
            <w:tr w14:paraId="1D6F0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27" w:hRule="atLeast"/>
                <w:jc w:val="center"/>
              </w:trPr>
              <w:tc>
                <w:tcPr>
                  <w:tcW w:w="7031" w:type="dxa"/>
                  <w:gridSpan w:val="7"/>
                  <w:tcBorders>
                    <w:top w:val="single" w:color="auto" w:sz="6" w:space="0"/>
                    <w:left w:val="single" w:color="auto" w:sz="12" w:space="0"/>
                    <w:bottom w:val="single" w:color="auto" w:sz="6" w:space="0"/>
                    <w:right w:val="single" w:color="auto" w:sz="6" w:space="0"/>
                  </w:tcBorders>
                  <w:vAlign w:val="center"/>
                </w:tcPr>
                <w:p w14:paraId="718833BC">
                  <w:pPr>
                    <w:pStyle w:val="103"/>
                    <w:rPr>
                      <w:color w:val="auto"/>
                      <w:kern w:val="0"/>
                      <w:u w:val="none" w:color="auto"/>
                    </w:rPr>
                  </w:pPr>
                  <w:r>
                    <w:rPr>
                      <w:color w:val="auto"/>
                      <w:u w:val="none" w:color="auto"/>
                    </w:rPr>
                    <w:t>合计</w:t>
                  </w:r>
                </w:p>
              </w:tc>
              <w:tc>
                <w:tcPr>
                  <w:tcW w:w="991" w:type="dxa"/>
                  <w:tcBorders>
                    <w:top w:val="single" w:color="auto" w:sz="6" w:space="0"/>
                    <w:left w:val="single" w:color="auto" w:sz="6" w:space="0"/>
                    <w:bottom w:val="single" w:color="auto" w:sz="6" w:space="0"/>
                    <w:right w:val="single" w:color="auto" w:sz="12" w:space="0"/>
                  </w:tcBorders>
                  <w:vAlign w:val="center"/>
                </w:tcPr>
                <w:p w14:paraId="116565A1">
                  <w:pPr>
                    <w:pStyle w:val="103"/>
                    <w:rPr>
                      <w:color w:val="auto"/>
                      <w:kern w:val="0"/>
                      <w:u w:val="none" w:color="auto"/>
                    </w:rPr>
                  </w:pPr>
                  <w:r>
                    <w:rPr>
                      <w:color w:val="auto"/>
                      <w:u w:val="none" w:color="auto"/>
                    </w:rPr>
                    <w:t>0.0002</w:t>
                  </w:r>
                </w:p>
              </w:tc>
            </w:tr>
            <w:tr w14:paraId="2ECDD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27" w:hRule="atLeast"/>
                <w:jc w:val="center"/>
              </w:trPr>
              <w:tc>
                <w:tcPr>
                  <w:tcW w:w="8022" w:type="dxa"/>
                  <w:gridSpan w:val="8"/>
                  <w:tcBorders>
                    <w:top w:val="single" w:color="auto" w:sz="6" w:space="0"/>
                    <w:left w:val="single" w:color="auto" w:sz="12" w:space="0"/>
                    <w:bottom w:val="single" w:color="auto" w:sz="12" w:space="0"/>
                    <w:right w:val="single" w:color="auto" w:sz="12" w:space="0"/>
                  </w:tcBorders>
                  <w:vAlign w:val="center"/>
                </w:tcPr>
                <w:p w14:paraId="55F001E0">
                  <w:pPr>
                    <w:pStyle w:val="103"/>
                    <w:jc w:val="both"/>
                    <w:rPr>
                      <w:color w:val="auto"/>
                      <w:kern w:val="0"/>
                      <w:u w:val="none" w:color="auto"/>
                    </w:rPr>
                  </w:pPr>
                  <w:r>
                    <w:rPr>
                      <w:color w:val="auto"/>
                      <w:u w:val="none" w:color="auto"/>
                    </w:rPr>
                    <w:t>注：临界量Qi参照《建设项目环境风险评价技术导则》（HJ169-2018）附录B里所列的临界值，均以纯物质来计。</w:t>
                  </w:r>
                </w:p>
              </w:tc>
            </w:tr>
          </w:tbl>
          <w:p w14:paraId="1EDEA33A">
            <w:pPr>
              <w:adjustRightInd w:val="0"/>
              <w:snapToGrid w:val="0"/>
              <w:spacing w:line="360" w:lineRule="auto"/>
              <w:ind w:firstLine="480" w:firstLineChars="200"/>
              <w:rPr>
                <w:rFonts w:ascii="Times New Roman" w:hAnsi="Times New Roman" w:cs="Times New Roman"/>
                <w:color w:val="auto"/>
                <w:sz w:val="24"/>
                <w:szCs w:val="24"/>
                <w:u w:val="none" w:color="auto"/>
              </w:rPr>
            </w:pPr>
            <w:r>
              <w:rPr>
                <w:rFonts w:ascii="Times New Roman" w:cs="Times New Roman"/>
                <w:color w:val="auto"/>
                <w:sz w:val="24"/>
                <w:szCs w:val="24"/>
                <w:u w:val="none" w:color="auto"/>
              </w:rPr>
              <w:t>本项目危险物质的数量与临界量比值</w:t>
            </w:r>
            <w:r>
              <w:rPr>
                <w:rFonts w:ascii="Times New Roman" w:hAnsi="Times New Roman" w:cs="Times New Roman"/>
                <w:color w:val="auto"/>
                <w:sz w:val="24"/>
                <w:szCs w:val="24"/>
                <w:u w:val="none" w:color="auto"/>
              </w:rPr>
              <w:t>Q=0.0002</w:t>
            </w:r>
            <w:r>
              <w:rPr>
                <w:rFonts w:ascii="Times New Roman" w:cs="Times New Roman"/>
                <w:color w:val="auto"/>
                <w:sz w:val="24"/>
                <w:szCs w:val="24"/>
                <w:u w:val="none" w:color="auto"/>
              </w:rPr>
              <w:t>＜</w:t>
            </w:r>
            <w:r>
              <w:rPr>
                <w:rFonts w:ascii="Times New Roman" w:hAnsi="Times New Roman" w:cs="Times New Roman"/>
                <w:color w:val="auto"/>
                <w:sz w:val="24"/>
                <w:szCs w:val="24"/>
                <w:u w:val="none" w:color="auto"/>
              </w:rPr>
              <w:t>1</w:t>
            </w:r>
            <w:r>
              <w:rPr>
                <w:rFonts w:ascii="Times New Roman" w:cs="Times New Roman"/>
                <w:color w:val="auto"/>
                <w:sz w:val="24"/>
                <w:szCs w:val="24"/>
                <w:u w:val="none" w:color="auto"/>
              </w:rPr>
              <w:t>，风险潜势为</w:t>
            </w:r>
            <w:r>
              <w:rPr>
                <w:rFonts w:ascii="Times New Roman" w:hAnsi="Times New Roman" w:cs="Times New Roman"/>
                <w:color w:val="auto"/>
                <w:sz w:val="24"/>
                <w:szCs w:val="24"/>
                <w:u w:val="none" w:color="auto"/>
              </w:rPr>
              <w:t>I</w:t>
            </w: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故开展简单分析</w:t>
            </w:r>
            <w:r>
              <w:rPr>
                <w:rFonts w:ascii="Times New Roman" w:cs="Times New Roman"/>
                <w:color w:val="auto"/>
                <w:sz w:val="24"/>
                <w:szCs w:val="24"/>
                <w:u w:val="none" w:color="auto"/>
              </w:rPr>
              <w:t>。</w:t>
            </w:r>
          </w:p>
          <w:p w14:paraId="213C8C22">
            <w:pPr>
              <w:adjustRightInd w:val="0"/>
              <w:snapToGrid w:val="0"/>
              <w:spacing w:line="360" w:lineRule="auto"/>
              <w:ind w:firstLine="482" w:firstLineChars="200"/>
              <w:rPr>
                <w:rFonts w:ascii="Times New Roman" w:hAnsi="Times New Roman" w:eastAsia="宋体" w:cs="Times New Roman"/>
                <w:b/>
                <w:color w:val="auto"/>
                <w:sz w:val="24"/>
                <w:szCs w:val="24"/>
                <w:u w:val="none" w:color="auto"/>
              </w:rPr>
            </w:pPr>
            <w:r>
              <w:rPr>
                <w:rFonts w:hint="eastAsia" w:ascii="Times New Roman" w:hAnsi="Times New Roman" w:eastAsia="宋体" w:cs="Times New Roman"/>
                <w:b/>
                <w:color w:val="auto"/>
                <w:sz w:val="24"/>
                <w:szCs w:val="24"/>
                <w:u w:val="none" w:color="auto"/>
                <w:lang w:val="en-US" w:eastAsia="zh-CN"/>
              </w:rPr>
              <w:t>6.2</w:t>
            </w:r>
            <w:r>
              <w:rPr>
                <w:rFonts w:ascii="Times New Roman" w:hAnsi="Times New Roman" w:eastAsia="宋体" w:cs="Times New Roman"/>
                <w:b/>
                <w:color w:val="auto"/>
                <w:sz w:val="24"/>
                <w:szCs w:val="24"/>
                <w:u w:val="none" w:color="auto"/>
              </w:rPr>
              <w:t>环境风险</w:t>
            </w:r>
            <w:r>
              <w:rPr>
                <w:rFonts w:hint="eastAsia" w:ascii="Times New Roman" w:hAnsi="Times New Roman" w:eastAsia="宋体" w:cs="Times New Roman"/>
                <w:b/>
                <w:color w:val="auto"/>
                <w:sz w:val="24"/>
                <w:szCs w:val="24"/>
                <w:u w:val="none" w:color="auto"/>
                <w:lang w:val="en-US" w:eastAsia="zh-CN"/>
              </w:rPr>
              <w:t>识别及可能影响途径</w:t>
            </w:r>
          </w:p>
          <w:p w14:paraId="6C610585">
            <w:pPr>
              <w:widowControl/>
              <w:spacing w:line="360" w:lineRule="auto"/>
              <w:ind w:firstLine="480" w:firstLineChars="200"/>
              <w:rPr>
                <w:rFonts w:hint="default" w:ascii="Times New Roman" w:hAnsi="Times New Roman" w:cs="Times New Roman"/>
                <w:color w:val="auto"/>
                <w:sz w:val="24"/>
                <w:u w:val="none" w:color="auto"/>
              </w:rPr>
            </w:pP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1</w:t>
            </w:r>
            <w:r>
              <w:rPr>
                <w:rFonts w:hint="eastAsia"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本项目生产工艺较为简单，主要考虑本项目沉淀池，当由于人为管理不当，或者自然条件的影响（主要考虑暴雨情况）等导致沉淀池废水事故排放，事故状态下排放的废水将直接进入到外界水环境中，由于沉淀池废水中悬浮物浓度相对较高，泄漏进入外界水环境中会导致局部水环境中悬浮物浓度</w:t>
            </w:r>
            <w:r>
              <w:rPr>
                <w:rFonts w:hint="eastAsia" w:ascii="Times New Roman" w:hAnsi="Times New Roman" w:cs="Times New Roman"/>
                <w:color w:val="auto"/>
                <w:sz w:val="24"/>
                <w:u w:val="none" w:color="auto"/>
                <w:lang w:val="en-US" w:eastAsia="zh-CN"/>
              </w:rPr>
              <w:t>短时间内明显</w:t>
            </w:r>
            <w:r>
              <w:rPr>
                <w:rFonts w:hint="default" w:ascii="Times New Roman" w:hAnsi="Times New Roman" w:cs="Times New Roman"/>
                <w:color w:val="auto"/>
                <w:sz w:val="24"/>
                <w:u w:val="none" w:color="auto"/>
              </w:rPr>
              <w:t>上升，从而影响项目周边水体环境</w:t>
            </w:r>
            <w:r>
              <w:rPr>
                <w:rFonts w:hint="default" w:ascii="Times New Roman" w:hAnsi="Times New Roman" w:cs="Times New Roman"/>
                <w:color w:val="auto"/>
                <w:sz w:val="24"/>
                <w:u w:val="none" w:color="auto"/>
                <w:lang w:val="en-US" w:eastAsia="zh-CN"/>
              </w:rPr>
              <w:t>质量</w:t>
            </w:r>
            <w:r>
              <w:rPr>
                <w:rFonts w:hint="default" w:ascii="Times New Roman" w:hAnsi="Times New Roman" w:cs="Times New Roman"/>
                <w:color w:val="auto"/>
                <w:sz w:val="24"/>
                <w:u w:val="none" w:color="auto"/>
              </w:rPr>
              <w:t>。</w:t>
            </w:r>
          </w:p>
          <w:p w14:paraId="20C66367">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2</w:t>
            </w:r>
            <w:r>
              <w:rPr>
                <w:rFonts w:hint="eastAsia"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由于本项目粉尘为生产过程中产生的主要污染物，本项目粉尘污染防治措施主要为脉冲布袋除尘器</w:t>
            </w:r>
            <w:r>
              <w:rPr>
                <w:rFonts w:hint="eastAsia"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lang w:val="en-US" w:eastAsia="zh-CN"/>
              </w:rPr>
              <w:t>雾化</w:t>
            </w:r>
            <w:r>
              <w:rPr>
                <w:rFonts w:hint="default" w:ascii="Times New Roman" w:hAnsi="Times New Roman" w:cs="Times New Roman"/>
                <w:color w:val="auto"/>
                <w:sz w:val="24"/>
                <w:u w:val="none" w:color="auto"/>
              </w:rPr>
              <w:t>喷淋装置，当装置发生故障时，如设备老化破损、设备断电等情况，导致粉尘未得到及时处理，粉尘排放浓度会增加，对厂区周围大气环境会造成一定的影响。</w:t>
            </w:r>
          </w:p>
          <w:p w14:paraId="1705E937">
            <w:pPr>
              <w:adjustRightInd w:val="0"/>
              <w:snapToGrid w:val="0"/>
              <w:spacing w:line="360" w:lineRule="auto"/>
              <w:ind w:firstLine="480" w:firstLineChars="200"/>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lang w:val="en-US" w:eastAsia="zh-CN"/>
              </w:rPr>
              <w:t>3</w:t>
            </w:r>
            <w:r>
              <w:rPr>
                <w:rFonts w:hint="eastAsia" w:ascii="Times New Roman" w:hAnsi="Times New Roman" w:eastAsia="宋体" w:cs="Times New Roman"/>
                <w:bCs/>
                <w:color w:val="auto"/>
                <w:sz w:val="24"/>
                <w:szCs w:val="24"/>
                <w:u w:val="none" w:color="auto"/>
                <w:lang w:eastAsia="zh-CN"/>
              </w:rPr>
              <w:t>）</w:t>
            </w:r>
            <w:r>
              <w:rPr>
                <w:rFonts w:ascii="Times New Roman" w:hAnsi="Times New Roman" w:eastAsia="宋体" w:cs="Times New Roman"/>
                <w:bCs/>
                <w:color w:val="auto"/>
                <w:sz w:val="24"/>
                <w:szCs w:val="24"/>
                <w:u w:val="none" w:color="auto"/>
              </w:rPr>
              <w:t>废矿物油</w:t>
            </w:r>
            <w:r>
              <w:rPr>
                <w:rFonts w:hint="eastAsia" w:ascii="Times New Roman" w:hAnsi="Times New Roman" w:eastAsia="宋体" w:cs="Times New Roman"/>
                <w:bCs/>
                <w:color w:val="auto"/>
                <w:sz w:val="24"/>
                <w:szCs w:val="24"/>
                <w:u w:val="none" w:color="auto"/>
                <w:lang w:val="en-US" w:eastAsia="zh-CN"/>
              </w:rPr>
              <w:t>为</w:t>
            </w:r>
            <w:r>
              <w:rPr>
                <w:rFonts w:ascii="Times New Roman" w:hAnsi="Times New Roman" w:eastAsia="宋体" w:cs="Times New Roman"/>
                <w:bCs/>
                <w:color w:val="auto"/>
                <w:sz w:val="24"/>
                <w:szCs w:val="24"/>
                <w:u w:val="none" w:color="auto"/>
              </w:rPr>
              <w:t>液态危废</w:t>
            </w:r>
            <w:r>
              <w:rPr>
                <w:rFonts w:hint="eastAsia" w:ascii="Times New Roman" w:hAnsi="Times New Roman" w:eastAsia="宋体" w:cs="Times New Roman"/>
                <w:bCs/>
                <w:color w:val="auto"/>
                <w:sz w:val="24"/>
                <w:szCs w:val="24"/>
                <w:u w:val="none" w:color="auto"/>
                <w:lang w:eastAsia="zh-CN"/>
              </w:rPr>
              <w:t>，</w:t>
            </w:r>
            <w:r>
              <w:rPr>
                <w:rFonts w:ascii="Times New Roman" w:hAnsi="Times New Roman" w:eastAsia="宋体" w:cs="Times New Roman"/>
                <w:bCs/>
                <w:color w:val="auto"/>
                <w:sz w:val="24"/>
                <w:szCs w:val="24"/>
                <w:u w:val="none" w:color="auto"/>
              </w:rPr>
              <w:t>在储存过程中，由于</w:t>
            </w:r>
            <w:r>
              <w:rPr>
                <w:rFonts w:hint="eastAsia" w:ascii="Times New Roman" w:hAnsi="Times New Roman" w:eastAsia="宋体" w:cs="Times New Roman"/>
                <w:bCs/>
                <w:color w:val="auto"/>
                <w:sz w:val="24"/>
                <w:szCs w:val="24"/>
                <w:u w:val="none" w:color="auto"/>
                <w:lang w:val="en-US" w:eastAsia="zh-CN"/>
              </w:rPr>
              <w:t>容器</w:t>
            </w:r>
            <w:r>
              <w:rPr>
                <w:rFonts w:ascii="Times New Roman" w:hAnsi="Times New Roman" w:eastAsia="宋体" w:cs="Times New Roman"/>
                <w:bCs/>
                <w:color w:val="auto"/>
                <w:sz w:val="24"/>
                <w:szCs w:val="24"/>
                <w:u w:val="none" w:color="auto"/>
              </w:rPr>
              <w:t>的腐蚀破损可能造成废矿物油的泄漏，</w:t>
            </w:r>
            <w:r>
              <w:rPr>
                <w:rFonts w:hint="eastAsia" w:ascii="Times New Roman" w:hAnsi="Times New Roman" w:eastAsia="宋体" w:cs="Times New Roman"/>
                <w:bCs/>
                <w:color w:val="auto"/>
                <w:sz w:val="24"/>
                <w:szCs w:val="24"/>
                <w:u w:val="none" w:color="auto"/>
                <w:lang w:val="en-US" w:eastAsia="zh-CN"/>
              </w:rPr>
              <w:t>进而可能</w:t>
            </w:r>
            <w:r>
              <w:rPr>
                <w:rFonts w:ascii="Times New Roman" w:hAnsi="Times New Roman" w:eastAsia="宋体" w:cs="Times New Roman"/>
                <w:bCs/>
                <w:color w:val="auto"/>
                <w:sz w:val="24"/>
                <w:szCs w:val="24"/>
                <w:u w:val="none" w:color="auto"/>
              </w:rPr>
              <w:t>渗透污染</w:t>
            </w:r>
            <w:r>
              <w:rPr>
                <w:rFonts w:hint="eastAsia" w:ascii="Times New Roman" w:hAnsi="Times New Roman" w:eastAsia="宋体" w:cs="Times New Roman"/>
                <w:bCs/>
                <w:color w:val="auto"/>
                <w:sz w:val="24"/>
                <w:szCs w:val="24"/>
                <w:u w:val="none" w:color="auto"/>
                <w:lang w:val="en-US" w:eastAsia="zh-CN"/>
              </w:rPr>
              <w:t>地下水</w:t>
            </w:r>
            <w:r>
              <w:rPr>
                <w:rFonts w:ascii="Times New Roman" w:hAnsi="Times New Roman" w:eastAsia="宋体" w:cs="Times New Roman"/>
                <w:bCs/>
                <w:color w:val="auto"/>
                <w:sz w:val="24"/>
                <w:szCs w:val="24"/>
                <w:u w:val="none" w:color="auto"/>
              </w:rPr>
              <w:t>、土壤</w:t>
            </w: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lang w:val="en-US" w:eastAsia="zh-CN"/>
              </w:rPr>
              <w:t>废矿物油可能引发</w:t>
            </w:r>
            <w:r>
              <w:rPr>
                <w:rFonts w:ascii="Times New Roman" w:hAnsi="Times New Roman" w:eastAsia="宋体" w:cs="Times New Roman"/>
                <w:bCs/>
                <w:color w:val="auto"/>
                <w:sz w:val="24"/>
                <w:szCs w:val="24"/>
                <w:u w:val="none" w:color="auto"/>
              </w:rPr>
              <w:t>火灾</w:t>
            </w: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lang w:val="en-US" w:eastAsia="zh-CN"/>
              </w:rPr>
              <w:t>并导致伴/次生污染事故。</w:t>
            </w:r>
          </w:p>
          <w:p w14:paraId="2CB0873B">
            <w:pPr>
              <w:adjustRightInd w:val="0"/>
              <w:snapToGrid w:val="0"/>
              <w:spacing w:line="360" w:lineRule="auto"/>
              <w:ind w:firstLine="482" w:firstLineChars="200"/>
              <w:rPr>
                <w:rFonts w:ascii="Times New Roman" w:hAnsi="Times New Roman" w:eastAsia="宋体" w:cs="Times New Roman"/>
                <w:b/>
                <w:color w:val="auto"/>
                <w:sz w:val="24"/>
                <w:szCs w:val="24"/>
                <w:u w:val="none" w:color="auto"/>
              </w:rPr>
            </w:pPr>
            <w:r>
              <w:rPr>
                <w:rFonts w:hint="eastAsia" w:ascii="Times New Roman" w:hAnsi="Times New Roman" w:eastAsia="宋体" w:cs="Times New Roman"/>
                <w:b/>
                <w:color w:val="auto"/>
                <w:sz w:val="24"/>
                <w:szCs w:val="24"/>
                <w:u w:val="none" w:color="auto"/>
                <w:lang w:val="en-US" w:eastAsia="zh-CN"/>
              </w:rPr>
              <w:t>6</w:t>
            </w:r>
            <w:r>
              <w:rPr>
                <w:rFonts w:ascii="Times New Roman" w:hAnsi="Times New Roman" w:eastAsia="宋体" w:cs="Times New Roman"/>
                <w:b/>
                <w:color w:val="auto"/>
                <w:sz w:val="24"/>
                <w:szCs w:val="24"/>
                <w:u w:val="none" w:color="auto"/>
              </w:rPr>
              <w:t>.</w:t>
            </w:r>
            <w:r>
              <w:rPr>
                <w:rFonts w:hint="eastAsia" w:ascii="Times New Roman" w:hAnsi="Times New Roman" w:eastAsia="宋体" w:cs="Times New Roman"/>
                <w:b/>
                <w:color w:val="auto"/>
                <w:sz w:val="24"/>
                <w:szCs w:val="24"/>
                <w:u w:val="none" w:color="auto"/>
                <w:lang w:val="en-US" w:eastAsia="zh-CN"/>
              </w:rPr>
              <w:t>3</w:t>
            </w:r>
            <w:r>
              <w:rPr>
                <w:rFonts w:ascii="Times New Roman" w:hAnsi="Times New Roman" w:eastAsia="宋体" w:cs="Times New Roman"/>
                <w:b/>
                <w:color w:val="auto"/>
                <w:sz w:val="24"/>
                <w:szCs w:val="24"/>
                <w:u w:val="none" w:color="auto"/>
              </w:rPr>
              <w:t>环境风险防范措施</w:t>
            </w:r>
          </w:p>
          <w:p w14:paraId="023433D6">
            <w:pPr>
              <w:widowControl/>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①</w:t>
            </w:r>
            <w:r>
              <w:rPr>
                <w:rFonts w:hint="default" w:ascii="Times New Roman" w:hAnsi="Times New Roman" w:cs="Times New Roman"/>
                <w:color w:val="auto"/>
                <w:sz w:val="24"/>
                <w:u w:val="none" w:color="auto"/>
                <w:lang w:val="en-US" w:eastAsia="zh-CN"/>
              </w:rPr>
              <w:t>规范</w:t>
            </w:r>
            <w:r>
              <w:rPr>
                <w:rFonts w:hint="default" w:ascii="Times New Roman" w:hAnsi="Times New Roman" w:cs="Times New Roman"/>
                <w:color w:val="auto"/>
                <w:sz w:val="24"/>
                <w:u w:val="none" w:color="auto"/>
              </w:rPr>
              <w:t>沉淀池施工建设，对沉淀池进行加盖密闭处理，确保沉淀池体质量达标、满足收集处理要求，防止因池体质量不达标导致的池体破损。</w:t>
            </w:r>
          </w:p>
          <w:p w14:paraId="1701B55C">
            <w:pPr>
              <w:widowControl/>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②加强人员管理，定期对沉淀池周围进行检查，预防风险事故的发生。</w:t>
            </w:r>
          </w:p>
          <w:p w14:paraId="237083E6">
            <w:pPr>
              <w:widowControl/>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③雨季期间，加强对自然天气状况的监控，发生暴雨等自然环境影响时，及时做好项目</w:t>
            </w:r>
            <w:r>
              <w:rPr>
                <w:rFonts w:hint="default" w:ascii="Times New Roman" w:hAnsi="Times New Roman" w:cs="Times New Roman"/>
                <w:color w:val="auto"/>
                <w:sz w:val="24"/>
                <w:u w:val="none" w:color="auto"/>
                <w:lang w:val="en-US" w:eastAsia="zh-CN"/>
              </w:rPr>
              <w:t>厂</w:t>
            </w:r>
            <w:r>
              <w:rPr>
                <w:rFonts w:hint="default" w:ascii="Times New Roman" w:hAnsi="Times New Roman" w:cs="Times New Roman"/>
                <w:color w:val="auto"/>
                <w:sz w:val="24"/>
                <w:u w:val="none" w:color="auto"/>
              </w:rPr>
              <w:t>区排水工程，防止沉淀池废水外溢情况发生。</w:t>
            </w:r>
          </w:p>
          <w:p w14:paraId="7D003DB7">
            <w:pPr>
              <w:widowControl/>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④设置有专人负责废气收集与处理设施的维修与保养工作。对出现</w:t>
            </w:r>
            <w:r>
              <w:rPr>
                <w:rFonts w:hint="default" w:ascii="Times New Roman" w:hAnsi="Times New Roman" w:cs="Times New Roman"/>
                <w:color w:val="auto"/>
                <w:sz w:val="24"/>
                <w:u w:val="none" w:color="auto"/>
                <w:lang w:val="en-US" w:eastAsia="zh-CN"/>
              </w:rPr>
              <w:t>故障的</w:t>
            </w:r>
            <w:r>
              <w:rPr>
                <w:rFonts w:hint="default" w:ascii="Times New Roman" w:hAnsi="Times New Roman" w:cs="Times New Roman"/>
                <w:color w:val="auto"/>
                <w:sz w:val="24"/>
                <w:u w:val="none" w:color="auto"/>
              </w:rPr>
              <w:t>废气处理设施进行排查，分析故障原因，对破损</w:t>
            </w:r>
            <w:r>
              <w:rPr>
                <w:rFonts w:hint="default" w:ascii="Times New Roman" w:hAnsi="Times New Roman" w:cs="Times New Roman"/>
                <w:color w:val="auto"/>
                <w:sz w:val="24"/>
                <w:u w:val="none" w:color="auto"/>
                <w:lang w:eastAsia="zh-CN"/>
              </w:rPr>
              <w:t>部位</w:t>
            </w:r>
            <w:r>
              <w:rPr>
                <w:rFonts w:hint="default" w:ascii="Times New Roman" w:hAnsi="Times New Roman" w:cs="Times New Roman"/>
                <w:color w:val="auto"/>
                <w:sz w:val="24"/>
                <w:u w:val="none" w:color="auto"/>
              </w:rPr>
              <w:t>进行修补。待废气处理装置恢复正常后，方可再投入生产。</w:t>
            </w:r>
          </w:p>
          <w:p w14:paraId="37AFBF28">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⑤</w:t>
            </w:r>
            <w:r>
              <w:rPr>
                <w:rFonts w:hint="eastAsia" w:ascii="Times New Roman" w:hAnsi="Times New Roman" w:cs="Times New Roman"/>
                <w:color w:val="auto"/>
                <w:sz w:val="24"/>
                <w:u w:val="none" w:color="auto"/>
                <w:lang w:val="en-US" w:eastAsia="zh-CN"/>
              </w:rPr>
              <w:t>在</w:t>
            </w:r>
            <w:r>
              <w:rPr>
                <w:rFonts w:hint="eastAsia" w:ascii="Times New Roman" w:hAnsi="Times New Roman" w:eastAsia="宋体" w:cs="Times New Roman"/>
                <w:bCs/>
                <w:color w:val="auto"/>
                <w:sz w:val="24"/>
                <w:szCs w:val="24"/>
                <w:u w:val="none" w:color="auto"/>
                <w:lang w:val="en-US" w:eastAsia="zh-CN"/>
              </w:rPr>
              <w:t>废矿物油</w:t>
            </w:r>
            <w:r>
              <w:rPr>
                <w:rFonts w:ascii="Times New Roman" w:hAnsi="Times New Roman" w:eastAsia="宋体" w:cs="Times New Roman"/>
                <w:bCs/>
                <w:color w:val="auto"/>
                <w:sz w:val="24"/>
                <w:szCs w:val="24"/>
                <w:u w:val="none" w:color="auto"/>
              </w:rPr>
              <w:t>存储区设置围挡和防流失措施</w:t>
            </w:r>
            <w:r>
              <w:rPr>
                <w:rFonts w:hint="eastAsia" w:ascii="Times New Roman" w:hAnsi="Times New Roman" w:eastAsia="宋体" w:cs="Times New Roman"/>
                <w:bCs/>
                <w:color w:val="auto"/>
                <w:sz w:val="24"/>
                <w:szCs w:val="24"/>
                <w:u w:val="none" w:color="auto"/>
                <w:lang w:eastAsia="zh-CN"/>
              </w:rPr>
              <w:t>，</w:t>
            </w:r>
            <w:r>
              <w:rPr>
                <w:rFonts w:hint="eastAsia" w:ascii="Times New Roman" w:hAnsi="Times New Roman" w:eastAsia="宋体" w:cs="Times New Roman"/>
                <w:bCs/>
                <w:color w:val="auto"/>
                <w:sz w:val="24"/>
                <w:szCs w:val="24"/>
                <w:u w:val="none" w:color="auto"/>
                <w:lang w:val="en-US" w:eastAsia="zh-CN"/>
              </w:rPr>
              <w:t>危废暂存间地面采取硬化和重点防渗。一旦出现</w:t>
            </w:r>
            <w:r>
              <w:rPr>
                <w:rFonts w:ascii="Times New Roman" w:hAnsi="Times New Roman" w:eastAsia="宋体" w:cs="Times New Roman"/>
                <w:bCs/>
                <w:color w:val="auto"/>
                <w:sz w:val="24"/>
                <w:szCs w:val="24"/>
                <w:u w:val="none" w:color="auto"/>
              </w:rPr>
              <w:t>泄漏现象，</w:t>
            </w:r>
            <w:r>
              <w:rPr>
                <w:rFonts w:ascii="Times New Roman" w:hAnsi="Times New Roman" w:cs="Times New Roman"/>
                <w:color w:val="auto"/>
                <w:sz w:val="24"/>
                <w:u w:val="none" w:color="auto"/>
                <w:lang w:val="zh-CN"/>
              </w:rPr>
              <w:t>及时控制泄漏点，</w:t>
            </w:r>
            <w:r>
              <w:rPr>
                <w:rFonts w:hint="eastAsia" w:ascii="Times New Roman" w:hAnsi="Times New Roman" w:eastAsia="宋体" w:cs="Times New Roman"/>
                <w:bCs/>
                <w:color w:val="auto"/>
                <w:sz w:val="24"/>
                <w:szCs w:val="24"/>
                <w:u w:val="none" w:color="auto"/>
                <w:lang w:val="en-US" w:eastAsia="zh-CN"/>
              </w:rPr>
              <w:t>并</w:t>
            </w:r>
            <w:r>
              <w:rPr>
                <w:rFonts w:ascii="Times New Roman" w:hAnsi="Times New Roman" w:eastAsia="宋体" w:cs="Times New Roman"/>
                <w:bCs/>
                <w:color w:val="auto"/>
                <w:sz w:val="24"/>
                <w:szCs w:val="24"/>
                <w:u w:val="none" w:color="auto"/>
              </w:rPr>
              <w:t>更换盛装容器</w:t>
            </w:r>
            <w:r>
              <w:rPr>
                <w:rFonts w:hint="eastAsia" w:ascii="Times New Roman" w:hAnsi="Times New Roman" w:eastAsia="宋体" w:cs="Times New Roman"/>
                <w:bCs/>
                <w:color w:val="auto"/>
                <w:sz w:val="24"/>
                <w:szCs w:val="24"/>
                <w:u w:val="none" w:color="auto"/>
                <w:lang w:eastAsia="zh-CN"/>
              </w:rPr>
              <w:t>，</w:t>
            </w:r>
            <w:r>
              <w:rPr>
                <w:rFonts w:ascii="Times New Roman" w:hAnsi="Times New Roman" w:cs="Times New Roman"/>
                <w:color w:val="auto"/>
                <w:sz w:val="24"/>
                <w:u w:val="none" w:color="auto"/>
                <w:lang w:val="zh-CN"/>
              </w:rPr>
              <w:t>将泄漏的</w:t>
            </w:r>
            <w:r>
              <w:rPr>
                <w:rFonts w:hint="eastAsia" w:ascii="Times New Roman" w:hAnsi="Times New Roman" w:eastAsia="宋体" w:cs="Times New Roman"/>
                <w:bCs/>
                <w:color w:val="auto"/>
                <w:sz w:val="24"/>
                <w:szCs w:val="24"/>
                <w:u w:val="none" w:color="auto"/>
                <w:lang w:val="en-US" w:eastAsia="zh-CN"/>
              </w:rPr>
              <w:t>废矿物油</w:t>
            </w:r>
            <w:r>
              <w:rPr>
                <w:rFonts w:ascii="Times New Roman" w:hAnsi="Times New Roman" w:cs="Times New Roman"/>
                <w:color w:val="auto"/>
                <w:sz w:val="24"/>
                <w:u w:val="none" w:color="auto"/>
                <w:lang w:val="zh-CN"/>
              </w:rPr>
              <w:t>采用专门的容器收集，及时清理或清洗泄漏的地点</w:t>
            </w:r>
            <w:r>
              <w:rPr>
                <w:rFonts w:hint="eastAsia" w:ascii="Times New Roman" w:hAnsi="Times New Roman" w:cs="Times New Roman"/>
                <w:color w:val="auto"/>
                <w:sz w:val="24"/>
                <w:u w:val="none" w:color="auto"/>
                <w:lang w:val="zh-CN"/>
              </w:rPr>
              <w:t>，</w:t>
            </w:r>
            <w:r>
              <w:rPr>
                <w:rFonts w:hint="eastAsia" w:ascii="Times New Roman" w:hAnsi="Times New Roman" w:eastAsia="宋体" w:cs="Times New Roman"/>
                <w:bCs/>
                <w:color w:val="auto"/>
                <w:sz w:val="24"/>
                <w:szCs w:val="24"/>
                <w:u w:val="none" w:color="auto"/>
                <w:lang w:val="en-US" w:eastAsia="zh-CN"/>
              </w:rPr>
              <w:t>防止废矿物油漫流或下渗</w:t>
            </w:r>
            <w:r>
              <w:rPr>
                <w:rFonts w:ascii="Times New Roman" w:hAnsi="Times New Roman" w:eastAsia="宋体" w:cs="Times New Roman"/>
                <w:bCs/>
                <w:color w:val="auto"/>
                <w:sz w:val="24"/>
                <w:szCs w:val="24"/>
                <w:u w:val="none" w:color="auto"/>
              </w:rPr>
              <w:t>。</w:t>
            </w:r>
            <w:r>
              <w:rPr>
                <w:rFonts w:hint="eastAsia" w:ascii="Times New Roman" w:hAnsi="Times New Roman" w:eastAsia="宋体" w:cs="Times New Roman"/>
                <w:bCs/>
                <w:color w:val="auto"/>
                <w:sz w:val="24"/>
                <w:szCs w:val="24"/>
                <w:u w:val="none" w:color="auto"/>
                <w:lang w:val="en-US" w:eastAsia="zh-CN"/>
              </w:rPr>
              <w:t>火灾发生时，消防</w:t>
            </w:r>
            <w:r>
              <w:rPr>
                <w:rFonts w:ascii="Times New Roman" w:hAnsi="Times New Roman" w:eastAsia="宋体" w:cs="Times New Roman"/>
                <w:bCs/>
                <w:color w:val="auto"/>
                <w:sz w:val="24"/>
                <w:szCs w:val="24"/>
                <w:u w:val="none" w:color="auto"/>
              </w:rPr>
              <w:t>废水收集进入初期雨水收集沉淀池（兼事故池）。</w:t>
            </w:r>
          </w:p>
          <w:p w14:paraId="1A50A313">
            <w:pPr>
              <w:adjustRightInd w:val="0"/>
              <w:snapToGrid w:val="0"/>
              <w:spacing w:line="360" w:lineRule="auto"/>
              <w:ind w:firstLine="480" w:firstLineChars="200"/>
              <w:rPr>
                <w:rFonts w:hint="eastAsia" w:ascii="宋体" w:hAnsi="宋体" w:cs="宋体"/>
                <w:color w:val="auto"/>
                <w:sz w:val="24"/>
                <w:u w:val="none" w:color="auto"/>
                <w:lang w:eastAsia="zh-CN"/>
              </w:rPr>
            </w:pPr>
            <w:r>
              <w:rPr>
                <w:rFonts w:hint="eastAsia" w:ascii="宋体" w:hAnsi="宋体" w:cs="宋体"/>
                <w:color w:val="auto"/>
                <w:sz w:val="24"/>
                <w:u w:val="none" w:color="auto"/>
              </w:rPr>
              <w:t>项目</w:t>
            </w:r>
            <w:r>
              <w:rPr>
                <w:rFonts w:hint="eastAsia" w:ascii="宋体" w:hAnsi="宋体" w:cs="宋体"/>
                <w:color w:val="auto"/>
                <w:sz w:val="24"/>
                <w:u w:val="none" w:color="auto"/>
                <w:lang w:val="en-US" w:eastAsia="zh-CN"/>
              </w:rPr>
              <w:t>须</w:t>
            </w:r>
            <w:r>
              <w:rPr>
                <w:rFonts w:hint="eastAsia" w:ascii="宋体" w:hAnsi="宋体" w:cs="宋体"/>
                <w:color w:val="auto"/>
                <w:sz w:val="24"/>
                <w:u w:val="none" w:color="auto"/>
              </w:rPr>
              <w:t>严格落实上述措施，加强防范意识、责任意识，按规范进行操作</w:t>
            </w:r>
            <w:r>
              <w:rPr>
                <w:rFonts w:hint="eastAsia" w:ascii="宋体" w:hAnsi="宋体" w:cs="宋体"/>
                <w:color w:val="auto"/>
                <w:sz w:val="24"/>
                <w:u w:val="none" w:color="auto"/>
                <w:lang w:eastAsia="zh-CN"/>
              </w:rPr>
              <w:t>。</w:t>
            </w:r>
            <w:r>
              <w:rPr>
                <w:rFonts w:ascii="Times New Roman" w:hAnsi="Times New Roman" w:cs="Times New Roman"/>
                <w:color w:val="auto"/>
                <w:sz w:val="24"/>
                <w:u w:val="none" w:color="auto"/>
              </w:rPr>
              <w:t>在</w:t>
            </w:r>
            <w:r>
              <w:rPr>
                <w:rFonts w:hint="eastAsia" w:ascii="Times New Roman" w:hAnsi="Times New Roman" w:cs="Times New Roman"/>
                <w:color w:val="auto"/>
                <w:sz w:val="24"/>
                <w:u w:val="none" w:color="auto"/>
                <w:lang w:val="en-US" w:eastAsia="zh-CN"/>
              </w:rPr>
              <w:t>严格</w:t>
            </w:r>
            <w:r>
              <w:rPr>
                <w:rFonts w:ascii="Times New Roman" w:hAnsi="Times New Roman" w:cs="Times New Roman"/>
                <w:color w:val="auto"/>
                <w:sz w:val="24"/>
                <w:u w:val="none" w:color="auto"/>
              </w:rPr>
              <w:t>采取</w:t>
            </w:r>
            <w:r>
              <w:rPr>
                <w:rFonts w:hint="eastAsia" w:ascii="Times New Roman" w:hAnsi="Times New Roman" w:cs="Times New Roman"/>
                <w:color w:val="auto"/>
                <w:sz w:val="24"/>
                <w:u w:val="none" w:color="auto"/>
                <w:lang w:val="en-US" w:eastAsia="zh-CN"/>
              </w:rPr>
              <w:t>上述</w:t>
            </w:r>
            <w:r>
              <w:rPr>
                <w:rFonts w:ascii="Times New Roman" w:hAnsi="Times New Roman" w:cs="Times New Roman"/>
                <w:color w:val="auto"/>
                <w:sz w:val="24"/>
                <w:u w:val="none" w:color="auto"/>
              </w:rPr>
              <w:t>措施</w:t>
            </w:r>
            <w:r>
              <w:rPr>
                <w:rFonts w:hint="eastAsia" w:ascii="Times New Roman" w:hAnsi="Times New Roman" w:cs="Times New Roman"/>
                <w:color w:val="auto"/>
                <w:sz w:val="24"/>
                <w:u w:val="none" w:color="auto"/>
                <w:lang w:val="en-US" w:eastAsia="zh-CN"/>
              </w:rPr>
              <w:t>前提</w:t>
            </w:r>
            <w:r>
              <w:rPr>
                <w:rFonts w:ascii="Times New Roman" w:hAnsi="Times New Roman" w:cs="Times New Roman"/>
                <w:color w:val="auto"/>
                <w:sz w:val="24"/>
                <w:u w:val="none" w:color="auto"/>
              </w:rPr>
              <w:t>下，项目风险事故发生概率</w:t>
            </w:r>
            <w:r>
              <w:rPr>
                <w:rFonts w:hint="eastAsia" w:ascii="Times New Roman" w:hAnsi="Times New Roman" w:cs="Times New Roman"/>
                <w:color w:val="auto"/>
                <w:sz w:val="24"/>
                <w:u w:val="none" w:color="auto"/>
                <w:lang w:val="en-US" w:eastAsia="zh-CN"/>
              </w:rPr>
              <w:t>较低</w:t>
            </w:r>
            <w:r>
              <w:rPr>
                <w:rFonts w:ascii="Times New Roman" w:hAnsi="Times New Roman" w:cs="Times New Roman"/>
                <w:color w:val="auto"/>
                <w:sz w:val="24"/>
                <w:u w:val="none" w:color="auto"/>
              </w:rPr>
              <w:t>，</w:t>
            </w:r>
            <w:r>
              <w:rPr>
                <w:rFonts w:hint="eastAsia" w:ascii="宋体" w:hAnsi="宋体" w:cs="宋体"/>
                <w:color w:val="auto"/>
                <w:sz w:val="24"/>
                <w:u w:val="none" w:color="auto"/>
              </w:rPr>
              <w:t>运营期间环境风险可控</w:t>
            </w:r>
            <w:r>
              <w:rPr>
                <w:rFonts w:hint="eastAsia" w:ascii="宋体" w:hAnsi="宋体" w:cs="宋体"/>
                <w:color w:val="auto"/>
                <w:sz w:val="24"/>
                <w:u w:val="none" w:color="auto"/>
                <w:lang w:eastAsia="zh-CN"/>
              </w:rPr>
              <w:t>。</w:t>
            </w:r>
          </w:p>
          <w:p w14:paraId="571D1FF1">
            <w:pPr>
              <w:pStyle w:val="31"/>
              <w:rPr>
                <w:rFonts w:hint="eastAsia" w:ascii="宋体" w:hAnsi="宋体" w:cs="宋体"/>
                <w:color w:val="auto"/>
                <w:sz w:val="24"/>
                <w:u w:val="none" w:color="auto"/>
                <w:lang w:eastAsia="zh-CN"/>
              </w:rPr>
            </w:pPr>
          </w:p>
          <w:p w14:paraId="41BEB87A">
            <w:pPr>
              <w:pStyle w:val="31"/>
              <w:rPr>
                <w:rFonts w:hint="eastAsia" w:ascii="宋体" w:hAnsi="宋体" w:cs="宋体"/>
                <w:color w:val="auto"/>
                <w:sz w:val="24"/>
                <w:u w:val="none" w:color="auto"/>
                <w:lang w:eastAsia="zh-CN"/>
              </w:rPr>
            </w:pPr>
          </w:p>
          <w:p w14:paraId="480A2E8F">
            <w:pPr>
              <w:pStyle w:val="31"/>
              <w:rPr>
                <w:rFonts w:hint="eastAsia" w:ascii="宋体" w:hAnsi="宋体" w:cs="宋体"/>
                <w:color w:val="auto"/>
                <w:sz w:val="24"/>
                <w:u w:val="none" w:color="auto"/>
                <w:lang w:eastAsia="zh-CN"/>
              </w:rPr>
            </w:pPr>
          </w:p>
          <w:p w14:paraId="50FBD0E4">
            <w:pPr>
              <w:pStyle w:val="31"/>
              <w:rPr>
                <w:rFonts w:hint="eastAsia" w:ascii="宋体" w:hAnsi="宋体" w:cs="宋体"/>
                <w:color w:val="auto"/>
                <w:sz w:val="24"/>
                <w:u w:val="none" w:color="auto"/>
                <w:lang w:eastAsia="zh-CN"/>
              </w:rPr>
            </w:pPr>
          </w:p>
          <w:p w14:paraId="1B692C5E">
            <w:pPr>
              <w:pStyle w:val="31"/>
              <w:rPr>
                <w:rFonts w:hint="eastAsia" w:ascii="宋体" w:hAnsi="宋体" w:cs="宋体"/>
                <w:color w:val="auto"/>
                <w:sz w:val="24"/>
                <w:u w:val="none" w:color="auto"/>
                <w:lang w:eastAsia="zh-CN"/>
              </w:rPr>
            </w:pPr>
          </w:p>
          <w:p w14:paraId="7774ADAB">
            <w:pPr>
              <w:pStyle w:val="31"/>
              <w:rPr>
                <w:rFonts w:hint="eastAsia" w:ascii="宋体" w:hAnsi="宋体" w:cs="宋体"/>
                <w:color w:val="auto"/>
                <w:sz w:val="24"/>
                <w:u w:val="none" w:color="auto"/>
                <w:lang w:eastAsia="zh-CN"/>
              </w:rPr>
            </w:pPr>
          </w:p>
          <w:p w14:paraId="308BDF34">
            <w:pPr>
              <w:pStyle w:val="31"/>
              <w:rPr>
                <w:rFonts w:hint="eastAsia" w:ascii="宋体" w:hAnsi="宋体" w:cs="宋体"/>
                <w:color w:val="auto"/>
                <w:sz w:val="24"/>
                <w:u w:val="none" w:color="auto"/>
                <w:lang w:eastAsia="zh-CN"/>
              </w:rPr>
            </w:pPr>
          </w:p>
        </w:tc>
      </w:tr>
    </w:tbl>
    <w:p w14:paraId="4DBB300F">
      <w:pPr>
        <w:widowControl/>
        <w:spacing w:line="360" w:lineRule="auto"/>
        <w:jc w:val="left"/>
        <w:rPr>
          <w:rFonts w:ascii="Times New Roman" w:hAnsi="Times New Roman" w:eastAsia="宋体" w:cs="Times New Roman"/>
          <w:b/>
          <w:color w:val="auto"/>
          <w:kern w:val="0"/>
          <w:sz w:val="24"/>
          <w:szCs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sectPr>
      </w:pPr>
    </w:p>
    <w:p w14:paraId="055894DD">
      <w:pPr>
        <w:pStyle w:val="23"/>
        <w:jc w:val="center"/>
        <w:outlineLvl w:val="0"/>
        <w:rPr>
          <w:rFonts w:ascii="Times New Roman" w:hAnsi="Times New Roman" w:cs="Times New Roman"/>
          <w:b/>
          <w:bCs/>
          <w:snapToGrid w:val="0"/>
          <w:color w:val="auto"/>
          <w:sz w:val="30"/>
          <w:szCs w:val="30"/>
        </w:rPr>
      </w:pPr>
      <w:bookmarkStart w:id="21" w:name="_Toc20297"/>
      <w:r>
        <w:rPr>
          <w:rFonts w:ascii="Times New Roman" w:hAnsi="Times New Roman" w:cs="Times New Roman"/>
          <w:b/>
          <w:bCs/>
          <w:snapToGrid w:val="0"/>
          <w:color w:val="auto"/>
          <w:sz w:val="30"/>
          <w:szCs w:val="30"/>
        </w:rPr>
        <w:t>五、</w:t>
      </w:r>
      <w:bookmarkStart w:id="22" w:name="_Hlk54167917"/>
      <w:r>
        <w:rPr>
          <w:rFonts w:ascii="Times New Roman" w:hAnsi="Times New Roman" w:cs="Times New Roman"/>
          <w:b/>
          <w:bCs/>
          <w:snapToGrid w:val="0"/>
          <w:color w:val="auto"/>
          <w:sz w:val="30"/>
          <w:szCs w:val="30"/>
        </w:rPr>
        <w:t>环境保护措施监督检查清单</w:t>
      </w:r>
      <w:bookmarkEnd w:id="21"/>
      <w:bookmarkEnd w:id="22"/>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543"/>
        <w:gridCol w:w="1083"/>
        <w:gridCol w:w="2988"/>
        <w:gridCol w:w="2208"/>
      </w:tblGrid>
      <w:tr w14:paraId="1A7EF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tcBorders>
              <w:top w:val="single" w:color="auto" w:sz="12" w:space="0"/>
              <w:bottom w:val="single" w:color="auto" w:sz="6" w:space="0"/>
              <w:tl2br w:val="single" w:color="auto" w:sz="4" w:space="0"/>
            </w:tcBorders>
          </w:tcPr>
          <w:p w14:paraId="0496B575">
            <w:pPr>
              <w:keepNext w:val="0"/>
              <w:keepLines w:val="0"/>
              <w:pageBreakBefore w:val="0"/>
              <w:kinsoku/>
              <w:wordWrap/>
              <w:topLinePunct w:val="0"/>
              <w:autoSpaceDE/>
              <w:autoSpaceDN/>
              <w:bidi w:val="0"/>
              <w:adjustRightInd w:val="0"/>
              <w:snapToGrid w:val="0"/>
              <w:spacing w:line="288" w:lineRule="auto"/>
              <w:jc w:val="right"/>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内容</w:t>
            </w:r>
          </w:p>
          <w:p w14:paraId="550FE427">
            <w:pPr>
              <w:keepNext w:val="0"/>
              <w:keepLines w:val="0"/>
              <w:pageBreakBefore w:val="0"/>
              <w:kinsoku/>
              <w:wordWrap/>
              <w:topLinePunct w:val="0"/>
              <w:autoSpaceDE/>
              <w:autoSpaceDN/>
              <w:bidi w:val="0"/>
              <w:adjustRightInd w:val="0"/>
              <w:snapToGrid w:val="0"/>
              <w:spacing w:line="288" w:lineRule="auto"/>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要素</w:t>
            </w:r>
          </w:p>
        </w:tc>
        <w:tc>
          <w:tcPr>
            <w:tcW w:w="1543" w:type="dxa"/>
            <w:vAlign w:val="center"/>
          </w:tcPr>
          <w:p w14:paraId="6783E627">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排放口(编号、名称)/污染源</w:t>
            </w:r>
          </w:p>
        </w:tc>
        <w:tc>
          <w:tcPr>
            <w:tcW w:w="1083" w:type="dxa"/>
            <w:vAlign w:val="center"/>
          </w:tcPr>
          <w:p w14:paraId="6B8B1E06">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污染物</w:t>
            </w:r>
          </w:p>
          <w:p w14:paraId="19D4663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项目</w:t>
            </w:r>
          </w:p>
        </w:tc>
        <w:tc>
          <w:tcPr>
            <w:tcW w:w="2988" w:type="dxa"/>
            <w:vAlign w:val="center"/>
          </w:tcPr>
          <w:p w14:paraId="029DC42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环境保护措施</w:t>
            </w:r>
          </w:p>
        </w:tc>
        <w:tc>
          <w:tcPr>
            <w:tcW w:w="2208" w:type="dxa"/>
            <w:vAlign w:val="center"/>
          </w:tcPr>
          <w:p w14:paraId="3957E6C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执行标准</w:t>
            </w:r>
          </w:p>
        </w:tc>
      </w:tr>
      <w:tr w14:paraId="1D9AE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restart"/>
            <w:tcBorders>
              <w:top w:val="single" w:color="auto" w:sz="6" w:space="0"/>
            </w:tcBorders>
            <w:vAlign w:val="center"/>
          </w:tcPr>
          <w:p w14:paraId="68D930B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大气</w:t>
            </w:r>
          </w:p>
          <w:p w14:paraId="4F574D78">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环境</w:t>
            </w:r>
          </w:p>
        </w:tc>
        <w:tc>
          <w:tcPr>
            <w:tcW w:w="1543" w:type="dxa"/>
            <w:vAlign w:val="center"/>
          </w:tcPr>
          <w:p w14:paraId="187F2A3D">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原料</w:t>
            </w:r>
            <w:r>
              <w:rPr>
                <w:rFonts w:ascii="Times New Roman" w:hAnsi="Times New Roman" w:eastAsia="宋体" w:cs="Times New Roman"/>
                <w:color w:val="auto"/>
                <w:sz w:val="21"/>
                <w:szCs w:val="21"/>
                <w:u w:val="none" w:color="auto"/>
              </w:rPr>
              <w:t>筒仓</w:t>
            </w:r>
          </w:p>
        </w:tc>
        <w:tc>
          <w:tcPr>
            <w:tcW w:w="1083" w:type="dxa"/>
            <w:vAlign w:val="center"/>
          </w:tcPr>
          <w:p w14:paraId="6BCB56C2">
            <w:pPr>
              <w:keepNext w:val="0"/>
              <w:keepLines w:val="0"/>
              <w:pageBreakBefore w:val="0"/>
              <w:kinsoku/>
              <w:wordWrap/>
              <w:topLinePunct w:val="0"/>
              <w:autoSpaceDE/>
              <w:autoSpaceDN/>
              <w:bidi w:val="0"/>
              <w:spacing w:line="288" w:lineRule="auto"/>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颗粒物</w:t>
            </w:r>
          </w:p>
        </w:tc>
        <w:tc>
          <w:tcPr>
            <w:tcW w:w="2988" w:type="dxa"/>
            <w:vAlign w:val="center"/>
          </w:tcPr>
          <w:p w14:paraId="5151CBA9">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经筒仓自带的</w:t>
            </w:r>
            <w:r>
              <w:rPr>
                <w:rFonts w:hint="eastAsia" w:ascii="Times New Roman" w:hAnsi="Times New Roman" w:eastAsia="宋体" w:cs="Times New Roman"/>
                <w:color w:val="auto"/>
                <w:sz w:val="21"/>
                <w:szCs w:val="21"/>
                <w:u w:val="none" w:color="auto"/>
                <w:lang w:eastAsia="zh-CN"/>
              </w:rPr>
              <w:t>脉冲布袋除尘器</w:t>
            </w:r>
            <w:r>
              <w:rPr>
                <w:rFonts w:ascii="Times New Roman" w:hAnsi="Times New Roman" w:eastAsia="宋体" w:cs="Times New Roman"/>
                <w:color w:val="auto"/>
                <w:sz w:val="21"/>
                <w:szCs w:val="21"/>
                <w:u w:val="none" w:color="auto"/>
              </w:rPr>
              <w:t>处理后在搅拌楼内自然沉降</w:t>
            </w:r>
          </w:p>
        </w:tc>
        <w:tc>
          <w:tcPr>
            <w:tcW w:w="2208" w:type="dxa"/>
            <w:vMerge w:val="restart"/>
            <w:vAlign w:val="center"/>
          </w:tcPr>
          <w:p w14:paraId="2F02F5D0">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cs="Times New Roman"/>
                <w:color w:val="auto"/>
                <w:sz w:val="21"/>
                <w:szCs w:val="21"/>
                <w:u w:val="none" w:color="auto"/>
              </w:rPr>
              <w:t>《水泥工业大气污染物排放标准》（GB4915-2013）表3大气污染物无组织排放</w:t>
            </w:r>
            <w:r>
              <w:rPr>
                <w:rFonts w:ascii="Times New Roman" w:hAnsi="Times New Roman" w:eastAsia="宋体" w:cs="Times New Roman"/>
                <w:color w:val="auto"/>
                <w:sz w:val="21"/>
                <w:szCs w:val="21"/>
                <w:u w:val="none" w:color="auto"/>
              </w:rPr>
              <w:t>限值</w:t>
            </w:r>
          </w:p>
        </w:tc>
      </w:tr>
      <w:tr w14:paraId="78393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continue"/>
            <w:tcBorders>
              <w:top w:val="single" w:color="auto" w:sz="6" w:space="0"/>
            </w:tcBorders>
            <w:vAlign w:val="center"/>
          </w:tcPr>
          <w:p w14:paraId="7D0C3534">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c>
          <w:tcPr>
            <w:tcW w:w="1543" w:type="dxa"/>
            <w:vAlign w:val="center"/>
          </w:tcPr>
          <w:p w14:paraId="30B9B7B1">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投料及搅拌</w:t>
            </w:r>
          </w:p>
        </w:tc>
        <w:tc>
          <w:tcPr>
            <w:tcW w:w="1083" w:type="dxa"/>
            <w:vAlign w:val="center"/>
          </w:tcPr>
          <w:p w14:paraId="415F677A">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颗粒物</w:t>
            </w:r>
          </w:p>
        </w:tc>
        <w:tc>
          <w:tcPr>
            <w:tcW w:w="2988" w:type="dxa"/>
            <w:vAlign w:val="center"/>
          </w:tcPr>
          <w:p w14:paraId="4D1FB793">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设置封闭式搅拌楼，粉尘</w:t>
            </w:r>
            <w:r>
              <w:rPr>
                <w:rFonts w:ascii="Times New Roman" w:hAnsi="Times New Roman" w:eastAsia="宋体" w:cs="Times New Roman"/>
                <w:color w:val="auto"/>
                <w:sz w:val="21"/>
                <w:szCs w:val="21"/>
                <w:u w:val="none" w:color="auto"/>
              </w:rPr>
              <w:t>经搅拌主机自带的</w:t>
            </w:r>
            <w:r>
              <w:rPr>
                <w:color w:val="auto"/>
                <w:sz w:val="21"/>
                <w:szCs w:val="21"/>
                <w:u w:val="none" w:color="auto"/>
              </w:rPr>
              <w:fldChar w:fldCharType="begin"/>
            </w:r>
            <w:r>
              <w:rPr>
                <w:color w:val="auto"/>
                <w:sz w:val="21"/>
                <w:szCs w:val="21"/>
                <w:u w:val="none" w:color="auto"/>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auto"/>
                <w:sz w:val="21"/>
                <w:szCs w:val="21"/>
                <w:u w:val="none" w:color="auto"/>
              </w:rPr>
              <w:fldChar w:fldCharType="separate"/>
            </w:r>
            <w:r>
              <w:rPr>
                <w:rFonts w:ascii="Times New Roman" w:hAnsi="Times New Roman" w:eastAsia="宋体" w:cs="Times New Roman"/>
                <w:color w:val="auto"/>
                <w:sz w:val="21"/>
                <w:szCs w:val="21"/>
                <w:u w:val="none" w:color="auto"/>
              </w:rPr>
              <w:t>脉冲布袋除尘器</w:t>
            </w:r>
            <w:r>
              <w:rPr>
                <w:rFonts w:ascii="Times New Roman" w:hAnsi="Times New Roman" w:eastAsia="宋体" w:cs="Times New Roman"/>
                <w:color w:val="auto"/>
                <w:sz w:val="21"/>
                <w:szCs w:val="21"/>
                <w:u w:val="none" w:color="auto"/>
              </w:rPr>
              <w:fldChar w:fldCharType="end"/>
            </w:r>
            <w:r>
              <w:rPr>
                <w:rFonts w:ascii="Times New Roman" w:hAnsi="Times New Roman" w:eastAsia="宋体" w:cs="Times New Roman"/>
                <w:color w:val="auto"/>
                <w:sz w:val="21"/>
                <w:szCs w:val="21"/>
                <w:u w:val="none" w:color="auto"/>
              </w:rPr>
              <w:t>处理后在搅拌楼内自然沉降</w:t>
            </w:r>
          </w:p>
        </w:tc>
        <w:tc>
          <w:tcPr>
            <w:tcW w:w="2208" w:type="dxa"/>
            <w:vMerge w:val="continue"/>
            <w:vAlign w:val="center"/>
          </w:tcPr>
          <w:p w14:paraId="65CAE3D4">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r>
      <w:tr w14:paraId="0D46D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continue"/>
            <w:tcBorders>
              <w:top w:val="single" w:color="auto" w:sz="6" w:space="0"/>
            </w:tcBorders>
            <w:vAlign w:val="center"/>
          </w:tcPr>
          <w:p w14:paraId="5559FF7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c>
          <w:tcPr>
            <w:tcW w:w="1543" w:type="dxa"/>
            <w:vAlign w:val="center"/>
          </w:tcPr>
          <w:p w14:paraId="481E90F2">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原料堆存</w:t>
            </w:r>
          </w:p>
        </w:tc>
        <w:tc>
          <w:tcPr>
            <w:tcW w:w="1083" w:type="dxa"/>
            <w:vAlign w:val="center"/>
          </w:tcPr>
          <w:p w14:paraId="375E24BF">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颗粒物</w:t>
            </w:r>
          </w:p>
        </w:tc>
        <w:tc>
          <w:tcPr>
            <w:tcW w:w="2988" w:type="dxa"/>
            <w:vAlign w:val="center"/>
          </w:tcPr>
          <w:p w14:paraId="16C4F4A1">
            <w:pPr>
              <w:keepNext w:val="0"/>
              <w:keepLines w:val="0"/>
              <w:pageBreakBefore w:val="0"/>
              <w:kinsoku/>
              <w:wordWrap/>
              <w:topLinePunct w:val="0"/>
              <w:autoSpaceDE/>
              <w:autoSpaceDN/>
              <w:bidi w:val="0"/>
              <w:spacing w:line="288" w:lineRule="auto"/>
              <w:jc w:val="both"/>
              <w:textAlignment w:val="auto"/>
              <w:rPr>
                <w:rFonts w:ascii="Times New Roman" w:hAnsi="Times New Roman" w:eastAsia="宋体" w:cs="Times New Roman"/>
                <w:color w:val="auto"/>
                <w:sz w:val="21"/>
                <w:szCs w:val="21"/>
                <w:u w:val="none" w:color="auto"/>
              </w:rPr>
            </w:pPr>
            <w:r>
              <w:rPr>
                <w:rFonts w:ascii="Times New Roman" w:hAnsi="Times New Roman" w:cs="Times New Roman"/>
                <w:color w:val="auto"/>
                <w:sz w:val="21"/>
                <w:szCs w:val="21"/>
                <w:u w:val="none" w:color="auto"/>
              </w:rPr>
              <w:t>全封闭</w:t>
            </w:r>
            <w:r>
              <w:rPr>
                <w:rFonts w:hint="eastAsia" w:ascii="Times New Roman" w:hAnsi="Times New Roman" w:cs="Times New Roman"/>
                <w:color w:val="auto"/>
                <w:sz w:val="21"/>
                <w:szCs w:val="21"/>
                <w:u w:val="none" w:color="auto"/>
                <w:lang w:val="en-US" w:eastAsia="zh-CN"/>
              </w:rPr>
              <w:t>厂房（</w:t>
            </w:r>
            <w:r>
              <w:rPr>
                <w:rFonts w:ascii="Times New Roman" w:hAnsi="Times New Roman" w:cs="Times New Roman"/>
                <w:color w:val="auto"/>
                <w:sz w:val="21"/>
                <w:szCs w:val="21"/>
                <w:u w:val="none" w:color="auto"/>
              </w:rPr>
              <w:t>四面围挡并设置顶棚</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rPr>
              <w:t>，全封闭的皮带运输机</w:t>
            </w:r>
            <w:r>
              <w:rPr>
                <w:rFonts w:hint="eastAsia" w:ascii="Times New Roman" w:hAnsi="Times New Roman" w:cs="Times New Roman"/>
                <w:color w:val="auto"/>
                <w:sz w:val="21"/>
                <w:szCs w:val="21"/>
                <w:u w:val="none" w:color="auto"/>
                <w:lang w:eastAsia="zh-CN"/>
              </w:rPr>
              <w:t>，</w:t>
            </w:r>
            <w:r>
              <w:rPr>
                <w:rFonts w:hint="eastAsia" w:ascii="Times New Roman" w:hAnsi="Times New Roman" w:eastAsia="宋体" w:cs="Times New Roman"/>
                <w:i w:val="0"/>
                <w:iCs w:val="0"/>
                <w:color w:val="auto"/>
                <w:kern w:val="0"/>
                <w:sz w:val="21"/>
                <w:szCs w:val="21"/>
                <w:u w:val="none" w:color="auto"/>
                <w:lang w:val="en-US" w:eastAsia="zh-CN" w:bidi="ar"/>
              </w:rPr>
              <w:t>雾化喷淋除尘</w:t>
            </w:r>
            <w:r>
              <w:rPr>
                <w:rFonts w:ascii="Times New Roman" w:hAnsi="Times New Roman" w:cs="Times New Roman"/>
                <w:color w:val="auto"/>
                <w:sz w:val="21"/>
                <w:szCs w:val="21"/>
                <w:u w:val="none" w:color="auto"/>
              </w:rPr>
              <w:t>，</w:t>
            </w:r>
            <w:r>
              <w:rPr>
                <w:rFonts w:hint="eastAsia" w:ascii="Times New Roman" w:hAnsi="Times New Roman" w:cs="Times New Roman"/>
                <w:color w:val="auto"/>
                <w:sz w:val="21"/>
                <w:szCs w:val="21"/>
                <w:u w:val="none" w:color="auto"/>
                <w:lang w:val="en-US" w:eastAsia="zh-CN"/>
              </w:rPr>
              <w:t>洒水降尘</w:t>
            </w:r>
          </w:p>
        </w:tc>
        <w:tc>
          <w:tcPr>
            <w:tcW w:w="2208" w:type="dxa"/>
            <w:vMerge w:val="continue"/>
            <w:vAlign w:val="center"/>
          </w:tcPr>
          <w:p w14:paraId="3FF8EC8A">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r>
      <w:tr w14:paraId="7B0A8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continue"/>
            <w:tcBorders>
              <w:top w:val="single" w:color="auto" w:sz="6" w:space="0"/>
            </w:tcBorders>
            <w:vAlign w:val="center"/>
          </w:tcPr>
          <w:p w14:paraId="1F9B04AD">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c>
          <w:tcPr>
            <w:tcW w:w="1543" w:type="dxa"/>
            <w:vAlign w:val="center"/>
          </w:tcPr>
          <w:p w14:paraId="4C2C3503">
            <w:pPr>
              <w:keepNext w:val="0"/>
              <w:keepLines w:val="0"/>
              <w:pageBreakBefore w:val="0"/>
              <w:kinsoku/>
              <w:wordWrap/>
              <w:topLinePunct w:val="0"/>
              <w:autoSpaceDE/>
              <w:autoSpaceDN/>
              <w:bidi w:val="0"/>
              <w:spacing w:line="288" w:lineRule="auto"/>
              <w:jc w:val="center"/>
              <w:textAlignment w:val="auto"/>
              <w:rPr>
                <w:rFonts w:hint="default" w:ascii="Times New Roman" w:hAnsi="Times New Roman" w:eastAsia="宋体" w:cs="Times New Roman"/>
                <w:color w:val="auto"/>
                <w:sz w:val="21"/>
                <w:szCs w:val="21"/>
                <w:u w:val="none" w:color="auto"/>
                <w:lang w:val="en-US"/>
              </w:rPr>
            </w:pPr>
            <w:r>
              <w:rPr>
                <w:rFonts w:ascii="Times New Roman" w:hAnsi="Times New Roman" w:eastAsia="宋体" w:cs="Times New Roman"/>
                <w:color w:val="auto"/>
                <w:sz w:val="21"/>
                <w:szCs w:val="21"/>
                <w:u w:val="none" w:color="auto"/>
              </w:rPr>
              <w:t>车辆运输</w:t>
            </w:r>
          </w:p>
        </w:tc>
        <w:tc>
          <w:tcPr>
            <w:tcW w:w="1083" w:type="dxa"/>
            <w:vAlign w:val="center"/>
          </w:tcPr>
          <w:p w14:paraId="70C9FC61">
            <w:pPr>
              <w:keepNext w:val="0"/>
              <w:keepLines w:val="0"/>
              <w:pageBreakBefore w:val="0"/>
              <w:kinsoku/>
              <w:wordWrap/>
              <w:topLinePunct w:val="0"/>
              <w:autoSpaceDE/>
              <w:autoSpaceDN/>
              <w:bidi w:val="0"/>
              <w:spacing w:line="288" w:lineRule="auto"/>
              <w:jc w:val="center"/>
              <w:textAlignment w:val="auto"/>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颗粒物</w:t>
            </w:r>
          </w:p>
        </w:tc>
        <w:tc>
          <w:tcPr>
            <w:tcW w:w="2988" w:type="dxa"/>
            <w:vAlign w:val="center"/>
          </w:tcPr>
          <w:p w14:paraId="3C9DDBD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生产车间、入厂道路进行水泥硬化；</w:t>
            </w:r>
          </w:p>
          <w:p w14:paraId="17BFEA0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厂区入口设置洗车平台，车辆进出时对轮胎进行冲洗；</w:t>
            </w:r>
          </w:p>
          <w:p w14:paraId="4E8827F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运输车辆顶端设篷布遮盖，限制车速；</w:t>
            </w:r>
          </w:p>
          <w:p w14:paraId="3271D870">
            <w:pPr>
              <w:keepNext w:val="0"/>
              <w:keepLines w:val="0"/>
              <w:pageBreakBefore w:val="0"/>
              <w:kinsoku/>
              <w:wordWrap/>
              <w:topLinePunct w:val="0"/>
              <w:autoSpaceDE/>
              <w:autoSpaceDN/>
              <w:bidi w:val="0"/>
              <w:spacing w:line="288" w:lineRule="auto"/>
              <w:jc w:val="both"/>
              <w:textAlignment w:val="auto"/>
              <w:rPr>
                <w:rFonts w:ascii="Times New Roman" w:hAnsi="Times New Roman" w:cs="Times New Roman"/>
                <w:color w:val="auto"/>
                <w:sz w:val="21"/>
                <w:szCs w:val="21"/>
                <w:u w:val="none" w:color="auto"/>
              </w:rPr>
            </w:pPr>
            <w:r>
              <w:rPr>
                <w:rFonts w:hint="eastAsia" w:ascii="Times New Roman" w:hAnsi="Times New Roman" w:eastAsia="宋体" w:cs="Times New Roman"/>
                <w:i w:val="0"/>
                <w:iCs w:val="0"/>
                <w:color w:val="auto"/>
                <w:kern w:val="0"/>
                <w:sz w:val="21"/>
                <w:szCs w:val="21"/>
                <w:u w:val="none" w:color="auto"/>
                <w:lang w:val="en-US" w:eastAsia="zh-CN" w:bidi="ar"/>
              </w:rPr>
              <w:t>定期对路面进行人工清扫并洒水降尘等</w:t>
            </w:r>
          </w:p>
        </w:tc>
        <w:tc>
          <w:tcPr>
            <w:tcW w:w="2208" w:type="dxa"/>
            <w:vMerge w:val="continue"/>
            <w:vAlign w:val="center"/>
          </w:tcPr>
          <w:p w14:paraId="7BCEAF43">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r>
      <w:tr w14:paraId="7B979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restart"/>
            <w:vAlign w:val="center"/>
          </w:tcPr>
          <w:p w14:paraId="0894E792">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地表水环境</w:t>
            </w:r>
          </w:p>
        </w:tc>
        <w:tc>
          <w:tcPr>
            <w:tcW w:w="1543" w:type="dxa"/>
            <w:vAlign w:val="center"/>
          </w:tcPr>
          <w:p w14:paraId="1CB9C4B1">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生活污水</w:t>
            </w:r>
          </w:p>
        </w:tc>
        <w:tc>
          <w:tcPr>
            <w:tcW w:w="1083" w:type="dxa"/>
            <w:vAlign w:val="center"/>
          </w:tcPr>
          <w:p w14:paraId="575A1EFE">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COD</w:t>
            </w:r>
            <w:r>
              <w:rPr>
                <w:rFonts w:ascii="Times New Roman" w:hAnsi="Times New Roman" w:cs="Times New Roman"/>
                <w:color w:val="auto"/>
                <w:sz w:val="21"/>
                <w:szCs w:val="21"/>
                <w:u w:val="none" w:color="auto"/>
                <w:vertAlign w:val="subscript"/>
              </w:rPr>
              <w:t>5</w:t>
            </w:r>
            <w:r>
              <w:rPr>
                <w:rFonts w:ascii="Times New Roman" w:hAnsi="Times New Roman" w:cs="Times New Roman"/>
                <w:color w:val="auto"/>
                <w:sz w:val="21"/>
                <w:szCs w:val="21"/>
                <w:u w:val="none" w:color="auto"/>
              </w:rPr>
              <w:t>、</w:t>
            </w:r>
          </w:p>
          <w:p w14:paraId="67C7D29B">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NH</w:t>
            </w:r>
            <w:r>
              <w:rPr>
                <w:rFonts w:hint="eastAsia" w:ascii="Times New Roman" w:hAnsi="Times New Roman" w:cs="Times New Roman"/>
                <w:color w:val="auto"/>
                <w:sz w:val="21"/>
                <w:szCs w:val="21"/>
                <w:u w:val="none" w:color="auto"/>
                <w:vertAlign w:val="subscript"/>
                <w:lang w:val="en-US" w:eastAsia="zh-CN"/>
              </w:rPr>
              <w:t>3</w:t>
            </w:r>
            <w:r>
              <w:rPr>
                <w:rFonts w:hint="eastAsia" w:ascii="Times New Roman" w:hAnsi="Times New Roman" w:cs="Times New Roman"/>
                <w:color w:val="auto"/>
                <w:sz w:val="21"/>
                <w:szCs w:val="21"/>
                <w:u w:val="none" w:color="auto"/>
                <w:lang w:val="en-US" w:eastAsia="zh-CN"/>
              </w:rPr>
              <w:t>-N</w:t>
            </w:r>
            <w:r>
              <w:rPr>
                <w:rFonts w:ascii="Times New Roman" w:hAnsi="Times New Roman" w:cs="Times New Roman"/>
                <w:color w:val="auto"/>
                <w:sz w:val="21"/>
                <w:szCs w:val="21"/>
                <w:u w:val="none" w:color="auto"/>
              </w:rPr>
              <w:t>等</w:t>
            </w:r>
          </w:p>
        </w:tc>
        <w:tc>
          <w:tcPr>
            <w:tcW w:w="2988" w:type="dxa"/>
            <w:vAlign w:val="center"/>
          </w:tcPr>
          <w:p w14:paraId="10B7D6BC">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化粪池</w:t>
            </w:r>
          </w:p>
        </w:tc>
        <w:tc>
          <w:tcPr>
            <w:tcW w:w="2208" w:type="dxa"/>
            <w:vAlign w:val="center"/>
          </w:tcPr>
          <w:p w14:paraId="66B8D2A1">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用于周边菜地施肥，</w:t>
            </w:r>
            <w:r>
              <w:rPr>
                <w:rFonts w:ascii="Times New Roman" w:hAnsi="Times New Roman" w:cs="Times New Roman"/>
                <w:color w:val="auto"/>
                <w:sz w:val="21"/>
                <w:szCs w:val="21"/>
                <w:u w:val="none" w:color="auto"/>
              </w:rPr>
              <w:t>不外排</w:t>
            </w:r>
          </w:p>
        </w:tc>
      </w:tr>
      <w:tr w14:paraId="2DFC4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continue"/>
            <w:vAlign w:val="center"/>
          </w:tcPr>
          <w:p w14:paraId="73D9083C">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c>
          <w:tcPr>
            <w:tcW w:w="1543" w:type="dxa"/>
            <w:vAlign w:val="center"/>
          </w:tcPr>
          <w:p w14:paraId="48D6863A">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生产废水</w:t>
            </w:r>
          </w:p>
        </w:tc>
        <w:tc>
          <w:tcPr>
            <w:tcW w:w="1083" w:type="dxa"/>
            <w:vAlign w:val="center"/>
          </w:tcPr>
          <w:p w14:paraId="4954BA4F">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SS</w:t>
            </w:r>
          </w:p>
        </w:tc>
        <w:tc>
          <w:tcPr>
            <w:tcW w:w="2988" w:type="dxa"/>
            <w:vAlign w:val="center"/>
          </w:tcPr>
          <w:p w14:paraId="647164AD">
            <w:pPr>
              <w:keepNext w:val="0"/>
              <w:keepLines w:val="0"/>
              <w:pageBreakBefore w:val="0"/>
              <w:kinsoku/>
              <w:wordWrap/>
              <w:topLinePunct w:val="0"/>
              <w:autoSpaceDE/>
              <w:autoSpaceDN/>
              <w:bidi w:val="0"/>
              <w:adjustRightInd w:val="0"/>
              <w:snapToGrid w:val="0"/>
              <w:spacing w:line="288" w:lineRule="auto"/>
              <w:jc w:val="left"/>
              <w:textAlignment w:val="auto"/>
              <w:rPr>
                <w:rFonts w:ascii="Times New Roman" w:hAnsi="Times New Roman" w:cs="Times New Roman"/>
                <w:color w:val="auto"/>
                <w:sz w:val="21"/>
                <w:szCs w:val="21"/>
                <w:u w:val="none" w:color="auto"/>
              </w:rPr>
            </w:pPr>
            <w:r>
              <w:rPr>
                <w:rFonts w:ascii="Times New Roman" w:hAnsi="Times New Roman" w:cs="Times New Roman"/>
                <w:color w:val="auto"/>
                <w:szCs w:val="21"/>
                <w:u w:val="none" w:color="auto"/>
              </w:rPr>
              <w:t>车辆冲洗废水</w:t>
            </w:r>
            <w:r>
              <w:rPr>
                <w:rFonts w:hint="eastAsia" w:ascii="Times New Roman" w:hAnsi="Times New Roman" w:cs="Times New Roman"/>
                <w:color w:val="auto"/>
                <w:szCs w:val="21"/>
                <w:u w:val="none" w:color="auto"/>
                <w:lang w:val="en-US" w:eastAsia="zh-CN"/>
              </w:rPr>
              <w:t>沉淀池</w:t>
            </w:r>
            <w:r>
              <w:rPr>
                <w:rFonts w:ascii="Times New Roman" w:hAnsi="Times New Roman" w:cs="Times New Roman"/>
                <w:color w:val="auto"/>
                <w:szCs w:val="21"/>
                <w:u w:val="none" w:color="auto"/>
                <w:shd w:val="clear"/>
              </w:rPr>
              <w:t>（</w:t>
            </w:r>
            <w:r>
              <w:rPr>
                <w:rFonts w:hint="eastAsia" w:ascii="Times New Roman" w:hAnsi="Times New Roman"/>
                <w:color w:val="auto"/>
                <w:sz w:val="21"/>
                <w:szCs w:val="20"/>
                <w:u w:val="none" w:color="auto"/>
                <w:shd w:val="clear"/>
                <w:lang w:val="en-US" w:eastAsia="zh-CN"/>
              </w:rPr>
              <w:t>6m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4.5m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1.2</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lang w:eastAsia="zh-CN"/>
              </w:rPr>
              <w:t>，</w:t>
            </w:r>
            <w:r>
              <w:rPr>
                <w:rFonts w:hint="eastAsia" w:ascii="Times New Roman" w:hAnsi="Times New Roman"/>
                <w:color w:val="auto"/>
                <w:sz w:val="21"/>
                <w:szCs w:val="20"/>
                <w:u w:val="none" w:color="auto"/>
                <w:shd w:val="clear"/>
                <w:lang w:val="en-US" w:eastAsia="zh-CN"/>
              </w:rPr>
              <w:t>容积32.4</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vertAlign w:val="superscript"/>
                <w:lang w:val="en-US" w:eastAsia="zh-CN"/>
              </w:rPr>
              <w:t>3</w:t>
            </w:r>
            <w:r>
              <w:rPr>
                <w:rFonts w:ascii="Times New Roman" w:hAnsi="Times New Roman" w:cs="Times New Roman"/>
                <w:color w:val="auto"/>
                <w:szCs w:val="21"/>
                <w:u w:val="none" w:color="auto"/>
                <w:shd w:val="clear"/>
              </w:rPr>
              <w:t>）</w:t>
            </w:r>
            <w:r>
              <w:rPr>
                <w:rFonts w:hint="eastAsia" w:ascii="Times New Roman" w:hAnsi="Times New Roman" w:cs="Times New Roman"/>
                <w:color w:val="auto"/>
                <w:szCs w:val="21"/>
                <w:u w:val="none" w:color="auto"/>
                <w:lang w:val="en-US" w:eastAsia="zh-CN"/>
              </w:rPr>
              <w:t>；</w:t>
            </w:r>
            <w:r>
              <w:rPr>
                <w:rFonts w:hint="eastAsia" w:ascii="Times New Roman" w:hAnsi="Times New Roman" w:cs="Times New Roman"/>
                <w:color w:val="auto"/>
                <w:szCs w:val="21"/>
                <w:u w:val="none" w:color="auto"/>
                <w:lang w:eastAsia="zh-CN"/>
              </w:rPr>
              <w:t>设备冲洗废水</w:t>
            </w:r>
            <w:r>
              <w:rPr>
                <w:rFonts w:ascii="Times New Roman" w:hAnsi="Times New Roman" w:cs="Times New Roman"/>
                <w:color w:val="auto"/>
                <w:szCs w:val="21"/>
                <w:u w:val="none" w:color="auto"/>
              </w:rPr>
              <w:t>、地面冲洗废水</w:t>
            </w:r>
            <w:r>
              <w:rPr>
                <w:rFonts w:hint="eastAsia" w:ascii="Times New Roman" w:hAnsi="Times New Roman" w:cs="Times New Roman"/>
                <w:color w:val="auto"/>
                <w:szCs w:val="21"/>
                <w:u w:val="none" w:color="auto"/>
                <w:lang w:val="en-US" w:eastAsia="zh-CN"/>
              </w:rPr>
              <w:t>三级沉淀池</w:t>
            </w:r>
            <w:r>
              <w:rPr>
                <w:rFonts w:ascii="Times New Roman" w:hAnsi="Times New Roman" w:cs="Times New Roman"/>
                <w:color w:val="auto"/>
                <w:szCs w:val="21"/>
                <w:u w:val="none" w:color="auto"/>
                <w:shd w:val="clear"/>
              </w:rPr>
              <w:t>（</w:t>
            </w:r>
            <w:r>
              <w:rPr>
                <w:rFonts w:hint="eastAsia" w:ascii="Times New Roman" w:hAnsi="Times New Roman" w:cs="Times New Roman"/>
                <w:color w:val="auto"/>
                <w:szCs w:val="21"/>
                <w:u w:val="none" w:color="auto"/>
                <w:shd w:val="clear"/>
                <w:lang w:val="en-US" w:eastAsia="zh-CN"/>
              </w:rPr>
              <w:t>每级均为4.0</w:t>
            </w:r>
            <w:r>
              <w:rPr>
                <w:rFonts w:hint="eastAsia" w:ascii="Times New Roman" w:hAnsi="Times New Roman"/>
                <w:color w:val="auto"/>
                <w:sz w:val="21"/>
                <w:szCs w:val="20"/>
                <w:u w:val="none" w:color="auto"/>
                <w:shd w:val="clear"/>
                <w:lang w:val="en-US" w:eastAsia="zh-CN"/>
              </w:rPr>
              <w:t>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2.4m</w:t>
            </w:r>
            <w:r>
              <w:rPr>
                <w:rFonts w:ascii="Times New Roman" w:hAnsi="Times New Roman"/>
                <w:color w:val="auto"/>
                <w:sz w:val="21"/>
                <w:szCs w:val="20"/>
                <w:u w:val="none" w:color="auto"/>
                <w:shd w:val="clear"/>
              </w:rPr>
              <w:t>×</w:t>
            </w:r>
            <w:r>
              <w:rPr>
                <w:rFonts w:hint="eastAsia" w:ascii="Times New Roman" w:hAnsi="Times New Roman"/>
                <w:color w:val="auto"/>
                <w:sz w:val="21"/>
                <w:szCs w:val="20"/>
                <w:u w:val="none" w:color="auto"/>
                <w:shd w:val="clear"/>
                <w:lang w:val="en-US" w:eastAsia="zh-CN"/>
              </w:rPr>
              <w:t>2.0</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lang w:eastAsia="zh-CN"/>
              </w:rPr>
              <w:t>，</w:t>
            </w:r>
            <w:r>
              <w:rPr>
                <w:rFonts w:hint="eastAsia" w:ascii="Times New Roman" w:hAnsi="Times New Roman"/>
                <w:color w:val="auto"/>
                <w:sz w:val="21"/>
                <w:szCs w:val="20"/>
                <w:u w:val="none" w:color="auto"/>
                <w:shd w:val="clear"/>
                <w:lang w:val="en-US" w:eastAsia="zh-CN"/>
              </w:rPr>
              <w:t>总容积57.6</w:t>
            </w:r>
            <w:r>
              <w:rPr>
                <w:rFonts w:ascii="Times New Roman" w:hAnsi="Times New Roman"/>
                <w:color w:val="auto"/>
                <w:sz w:val="21"/>
                <w:szCs w:val="20"/>
                <w:u w:val="none" w:color="auto"/>
                <w:shd w:val="clear"/>
              </w:rPr>
              <w:t>m</w:t>
            </w:r>
            <w:r>
              <w:rPr>
                <w:rFonts w:hint="eastAsia" w:ascii="Times New Roman" w:hAnsi="Times New Roman"/>
                <w:color w:val="auto"/>
                <w:sz w:val="21"/>
                <w:szCs w:val="20"/>
                <w:u w:val="none" w:color="auto"/>
                <w:shd w:val="clear"/>
                <w:vertAlign w:val="superscript"/>
                <w:lang w:val="en-US" w:eastAsia="zh-CN"/>
              </w:rPr>
              <w:t>3</w:t>
            </w:r>
          </w:p>
        </w:tc>
        <w:tc>
          <w:tcPr>
            <w:tcW w:w="2208" w:type="dxa"/>
            <w:vAlign w:val="center"/>
          </w:tcPr>
          <w:p w14:paraId="02B8504D">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回用</w:t>
            </w:r>
            <w:r>
              <w:rPr>
                <w:rFonts w:hint="eastAsia" w:ascii="Times New Roman" w:hAnsi="Times New Roman" w:cs="Times New Roman"/>
                <w:color w:val="auto"/>
                <w:sz w:val="21"/>
                <w:szCs w:val="21"/>
                <w:u w:val="none" w:color="auto"/>
                <w:lang w:val="en-US" w:eastAsia="zh-CN"/>
              </w:rPr>
              <w:t>于生产</w:t>
            </w:r>
            <w:r>
              <w:rPr>
                <w:rFonts w:ascii="Times New Roman" w:hAnsi="Times New Roman" w:cs="Times New Roman"/>
                <w:color w:val="auto"/>
                <w:sz w:val="21"/>
                <w:szCs w:val="21"/>
                <w:u w:val="none" w:color="auto"/>
              </w:rPr>
              <w:t>，不外排</w:t>
            </w:r>
          </w:p>
        </w:tc>
      </w:tr>
      <w:tr w14:paraId="7C4FA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Merge w:val="continue"/>
            <w:vAlign w:val="center"/>
          </w:tcPr>
          <w:p w14:paraId="6CEC3DB0">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p>
        </w:tc>
        <w:tc>
          <w:tcPr>
            <w:tcW w:w="1543" w:type="dxa"/>
            <w:vAlign w:val="center"/>
          </w:tcPr>
          <w:p w14:paraId="4988A256">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初期雨水</w:t>
            </w:r>
          </w:p>
        </w:tc>
        <w:tc>
          <w:tcPr>
            <w:tcW w:w="1083" w:type="dxa"/>
            <w:vAlign w:val="center"/>
          </w:tcPr>
          <w:p w14:paraId="025492CE">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SS</w:t>
            </w:r>
          </w:p>
        </w:tc>
        <w:tc>
          <w:tcPr>
            <w:tcW w:w="2988" w:type="dxa"/>
            <w:vAlign w:val="center"/>
          </w:tcPr>
          <w:p w14:paraId="0A0071EC">
            <w:pPr>
              <w:keepNext w:val="0"/>
              <w:keepLines w:val="0"/>
              <w:pageBreakBefore w:val="0"/>
              <w:kinsoku/>
              <w:wordWrap/>
              <w:topLinePunct w:val="0"/>
              <w:autoSpaceDE/>
              <w:autoSpaceDN/>
              <w:bidi w:val="0"/>
              <w:adjustRightInd w:val="0"/>
              <w:snapToGrid w:val="0"/>
              <w:spacing w:line="288" w:lineRule="auto"/>
              <w:jc w:val="center"/>
              <w:textAlignment w:val="auto"/>
              <w:rPr>
                <w:rFonts w:hint="eastAsia" w:ascii="Times New Roman" w:hAnsi="Times New Roman" w:cs="Times New Roman" w:eastAsiaTheme="minorEastAsia"/>
                <w:color w:val="auto"/>
                <w:sz w:val="21"/>
                <w:szCs w:val="21"/>
                <w:u w:val="none" w:color="auto"/>
                <w:vertAlign w:val="baseline"/>
                <w:lang w:eastAsia="zh-CN"/>
              </w:rPr>
            </w:pPr>
            <w:r>
              <w:rPr>
                <w:rFonts w:ascii="Times New Roman" w:hAnsi="Times New Roman" w:cs="Times New Roman"/>
                <w:color w:val="auto"/>
                <w:sz w:val="21"/>
                <w:szCs w:val="21"/>
                <w:u w:val="none" w:color="auto"/>
              </w:rPr>
              <w:t>初期雨水收集沉淀池</w:t>
            </w:r>
            <w:r>
              <w:rPr>
                <w:rFonts w:hint="eastAsia" w:ascii="Times New Roman" w:hAnsi="Times New Roman" w:cs="Times New Roman"/>
                <w:color w:val="auto"/>
                <w:sz w:val="21"/>
                <w:szCs w:val="21"/>
                <w:u w:val="none" w:color="auto"/>
                <w:shd w:val="clear"/>
                <w:lang w:eastAsia="zh-CN"/>
              </w:rPr>
              <w:t>（</w:t>
            </w:r>
            <w:r>
              <w:rPr>
                <w:rFonts w:hint="eastAsia" w:ascii="Times New Roman" w:hAnsi="Times New Roman"/>
                <w:color w:val="auto"/>
                <w:sz w:val="21"/>
                <w:szCs w:val="21"/>
                <w:u w:val="none" w:color="auto"/>
                <w:shd w:val="clear"/>
                <w:lang w:val="en-US" w:eastAsia="zh-CN"/>
              </w:rPr>
              <w:t>9m</w:t>
            </w:r>
            <w:r>
              <w:rPr>
                <w:rFonts w:ascii="Times New Roman" w:hAnsi="Times New Roman"/>
                <w:color w:val="auto"/>
                <w:sz w:val="21"/>
                <w:szCs w:val="21"/>
                <w:u w:val="none" w:color="auto"/>
              </w:rPr>
              <w:t>×</w:t>
            </w:r>
            <w:r>
              <w:rPr>
                <w:rFonts w:hint="eastAsia" w:ascii="Times New Roman" w:hAnsi="Times New Roman"/>
                <w:color w:val="auto"/>
                <w:sz w:val="21"/>
                <w:szCs w:val="21"/>
                <w:u w:val="none" w:color="auto"/>
                <w:lang w:val="en-US" w:eastAsia="zh-CN"/>
              </w:rPr>
              <w:t>5m</w:t>
            </w:r>
            <w:r>
              <w:rPr>
                <w:rFonts w:ascii="Times New Roman" w:hAnsi="Times New Roman"/>
                <w:color w:val="auto"/>
                <w:sz w:val="21"/>
                <w:szCs w:val="21"/>
                <w:u w:val="none" w:color="auto"/>
              </w:rPr>
              <w:t>×</w:t>
            </w:r>
            <w:r>
              <w:rPr>
                <w:rFonts w:hint="eastAsia" w:ascii="Times New Roman" w:hAnsi="Times New Roman"/>
                <w:color w:val="auto"/>
                <w:sz w:val="21"/>
                <w:szCs w:val="21"/>
                <w:u w:val="none" w:color="auto"/>
                <w:lang w:val="en-US" w:eastAsia="zh-CN"/>
              </w:rPr>
              <w:t>2.4</w:t>
            </w:r>
            <w:r>
              <w:rPr>
                <w:rFonts w:ascii="Times New Roman" w:hAnsi="Times New Roman"/>
                <w:color w:val="auto"/>
                <w:sz w:val="21"/>
                <w:szCs w:val="21"/>
                <w:u w:val="none" w:color="auto"/>
              </w:rPr>
              <w:t>m</w:t>
            </w:r>
            <w:r>
              <w:rPr>
                <w:rFonts w:hint="eastAsia" w:ascii="Times New Roman" w:hAnsi="Times New Roman"/>
                <w:color w:val="auto"/>
                <w:sz w:val="21"/>
                <w:szCs w:val="21"/>
                <w:u w:val="none" w:color="auto"/>
                <w:lang w:eastAsia="zh-CN"/>
              </w:rPr>
              <w:t>，</w:t>
            </w:r>
            <w:r>
              <w:rPr>
                <w:rFonts w:hint="eastAsia" w:ascii="Times New Roman" w:hAnsi="Times New Roman"/>
                <w:color w:val="auto"/>
                <w:sz w:val="21"/>
                <w:szCs w:val="21"/>
                <w:u w:val="none" w:color="auto"/>
                <w:lang w:val="en-US" w:eastAsia="zh-CN"/>
              </w:rPr>
              <w:t>容积108</w:t>
            </w:r>
            <w:r>
              <w:rPr>
                <w:rFonts w:ascii="Times New Roman" w:hAnsi="Times New Roman"/>
                <w:color w:val="auto"/>
                <w:sz w:val="21"/>
                <w:szCs w:val="21"/>
                <w:u w:val="none" w:color="auto"/>
              </w:rPr>
              <w:t>m</w:t>
            </w:r>
            <w:r>
              <w:rPr>
                <w:rFonts w:ascii="Times New Roman" w:hAnsi="Times New Roman"/>
                <w:color w:val="auto"/>
                <w:sz w:val="21"/>
                <w:szCs w:val="21"/>
                <w:u w:val="none" w:color="auto"/>
                <w:vertAlign w:val="superscript"/>
              </w:rPr>
              <w:t>3</w:t>
            </w:r>
            <w:r>
              <w:rPr>
                <w:rFonts w:hint="eastAsia" w:ascii="Times New Roman" w:hAnsi="Times New Roman"/>
                <w:color w:val="auto"/>
                <w:sz w:val="21"/>
                <w:szCs w:val="21"/>
                <w:u w:val="none" w:color="auto"/>
                <w:vertAlign w:val="baseline"/>
                <w:lang w:eastAsia="zh-CN"/>
              </w:rPr>
              <w:t>）</w:t>
            </w:r>
          </w:p>
        </w:tc>
        <w:tc>
          <w:tcPr>
            <w:tcW w:w="2208" w:type="dxa"/>
            <w:vAlign w:val="center"/>
          </w:tcPr>
          <w:p w14:paraId="3196E623">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回用</w:t>
            </w:r>
            <w:r>
              <w:rPr>
                <w:rFonts w:hint="eastAsia" w:ascii="Times New Roman" w:hAnsi="Times New Roman" w:cs="Times New Roman"/>
                <w:color w:val="auto"/>
                <w:sz w:val="21"/>
                <w:szCs w:val="21"/>
                <w:u w:val="none" w:color="auto"/>
                <w:lang w:val="en-US" w:eastAsia="zh-CN"/>
              </w:rPr>
              <w:t>于厂区洒水降尘</w:t>
            </w:r>
            <w:r>
              <w:rPr>
                <w:rFonts w:ascii="Times New Roman" w:hAnsi="Times New Roman" w:cs="Times New Roman"/>
                <w:color w:val="auto"/>
                <w:sz w:val="21"/>
                <w:szCs w:val="21"/>
                <w:u w:val="none" w:color="auto"/>
              </w:rPr>
              <w:t>，不外排</w:t>
            </w:r>
          </w:p>
        </w:tc>
      </w:tr>
      <w:tr w14:paraId="02D64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Align w:val="center"/>
          </w:tcPr>
          <w:p w14:paraId="778A5972">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声环境</w:t>
            </w:r>
          </w:p>
        </w:tc>
        <w:tc>
          <w:tcPr>
            <w:tcW w:w="1543" w:type="dxa"/>
            <w:vAlign w:val="center"/>
          </w:tcPr>
          <w:p w14:paraId="2975204C">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生产</w:t>
            </w:r>
          </w:p>
          <w:p w14:paraId="554DE9F8">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设备</w:t>
            </w:r>
          </w:p>
        </w:tc>
        <w:tc>
          <w:tcPr>
            <w:tcW w:w="1083" w:type="dxa"/>
            <w:vAlign w:val="center"/>
          </w:tcPr>
          <w:p w14:paraId="1078A820">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Leq(dBA)</w:t>
            </w:r>
          </w:p>
        </w:tc>
        <w:tc>
          <w:tcPr>
            <w:tcW w:w="2988" w:type="dxa"/>
            <w:vAlign w:val="center"/>
          </w:tcPr>
          <w:p w14:paraId="3906CF95">
            <w:pPr>
              <w:keepNext w:val="0"/>
              <w:keepLines w:val="0"/>
              <w:pageBreakBefore w:val="0"/>
              <w:tabs>
                <w:tab w:val="left" w:pos="1021"/>
              </w:tabs>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合理布局</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选用低噪声设备、基础减振</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厂房</w:t>
            </w:r>
            <w:r>
              <w:rPr>
                <w:rFonts w:hint="default" w:ascii="Times New Roman" w:hAnsi="Times New Roman" w:eastAsia="宋体" w:cs="Times New Roman"/>
                <w:color w:val="auto"/>
                <w:sz w:val="21"/>
                <w:szCs w:val="21"/>
                <w:u w:val="none" w:color="auto"/>
              </w:rPr>
              <w:t>隔声</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限速</w:t>
            </w:r>
            <w:r>
              <w:rPr>
                <w:rFonts w:ascii="Times New Roman" w:hAnsi="Times New Roman" w:cs="Times New Roman"/>
                <w:color w:val="auto"/>
                <w:sz w:val="21"/>
                <w:szCs w:val="21"/>
                <w:u w:val="none" w:color="auto"/>
              </w:rPr>
              <w:t>禁</w:t>
            </w:r>
            <w:r>
              <w:rPr>
                <w:rFonts w:hint="eastAsia" w:ascii="Times New Roman" w:hAnsi="Times New Roman" w:cs="Times New Roman"/>
                <w:color w:val="auto"/>
                <w:sz w:val="21"/>
                <w:szCs w:val="21"/>
                <w:u w:val="none" w:color="auto"/>
                <w:lang w:val="en-US" w:eastAsia="zh-CN"/>
              </w:rPr>
              <w:t>鸣，</w:t>
            </w:r>
            <w:r>
              <w:rPr>
                <w:rFonts w:ascii="Times New Roman" w:hAnsi="Times New Roman" w:cs="Times New Roman"/>
                <w:color w:val="auto"/>
                <w:sz w:val="21"/>
                <w:szCs w:val="21"/>
                <w:u w:val="none" w:color="auto"/>
              </w:rPr>
              <w:t>加强管理</w:t>
            </w:r>
            <w:r>
              <w:rPr>
                <w:rFonts w:hint="eastAsia" w:ascii="Times New Roman" w:hAnsi="Times New Roman" w:cs="Times New Roman"/>
                <w:color w:val="auto"/>
                <w:sz w:val="21"/>
                <w:szCs w:val="21"/>
                <w:u w:val="none" w:color="auto"/>
                <w:lang w:eastAsia="zh-CN"/>
              </w:rPr>
              <w:t>。</w:t>
            </w:r>
          </w:p>
        </w:tc>
        <w:tc>
          <w:tcPr>
            <w:tcW w:w="2208" w:type="dxa"/>
            <w:vAlign w:val="center"/>
          </w:tcPr>
          <w:p w14:paraId="1096A838">
            <w:pPr>
              <w:keepNext w:val="0"/>
              <w:keepLines w:val="0"/>
              <w:pageBreakBefore w:val="0"/>
              <w:tabs>
                <w:tab w:val="left" w:pos="1021"/>
              </w:tabs>
              <w:kinsoku/>
              <w:wordWrap/>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《工业企业厂界环境噪声排放标准》（GB12348-2008）</w:t>
            </w:r>
          </w:p>
          <w:p w14:paraId="799ED6B5">
            <w:pPr>
              <w:keepNext w:val="0"/>
              <w:keepLines w:val="0"/>
              <w:pageBreakBefore w:val="0"/>
              <w:tabs>
                <w:tab w:val="left" w:pos="1021"/>
              </w:tabs>
              <w:kinsoku/>
              <w:wordWrap/>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2类标准</w:t>
            </w:r>
          </w:p>
        </w:tc>
      </w:tr>
      <w:tr w14:paraId="6484B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Align w:val="center"/>
          </w:tcPr>
          <w:p w14:paraId="54475F8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固体</w:t>
            </w:r>
          </w:p>
          <w:p w14:paraId="706BDC69">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废物</w:t>
            </w:r>
          </w:p>
        </w:tc>
        <w:tc>
          <w:tcPr>
            <w:tcW w:w="7822" w:type="dxa"/>
            <w:gridSpan w:val="4"/>
            <w:vAlign w:val="center"/>
          </w:tcPr>
          <w:p w14:paraId="021215FB">
            <w:pPr>
              <w:keepNext w:val="0"/>
              <w:keepLines w:val="0"/>
              <w:pageBreakBefore w:val="0"/>
              <w:kinsoku/>
              <w:wordWrap/>
              <w:topLinePunct w:val="0"/>
              <w:autoSpaceDE/>
              <w:autoSpaceDN/>
              <w:bidi w:val="0"/>
              <w:adjustRightInd w:val="0"/>
              <w:snapToGrid w:val="0"/>
              <w:spacing w:line="288"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生活垃圾集中收集</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交</w:t>
            </w:r>
            <w:r>
              <w:rPr>
                <w:rFonts w:hint="eastAsia"/>
                <w:color w:val="auto"/>
                <w:sz w:val="21"/>
                <w:szCs w:val="21"/>
                <w:u w:val="none" w:color="auto"/>
                <w:lang w:val="en-US" w:eastAsia="zh-CN"/>
              </w:rPr>
              <w:t>由环卫部门清运</w:t>
            </w:r>
            <w:r>
              <w:rPr>
                <w:rFonts w:ascii="Times New Roman" w:hAnsi="Times New Roman" w:cs="Times New Roman"/>
                <w:color w:val="auto"/>
                <w:sz w:val="21"/>
                <w:szCs w:val="21"/>
                <w:u w:val="none" w:color="auto"/>
              </w:rPr>
              <w:t>；</w:t>
            </w:r>
          </w:p>
          <w:p w14:paraId="2D71736B">
            <w:pPr>
              <w:keepNext w:val="0"/>
              <w:keepLines w:val="0"/>
              <w:pageBreakBefore w:val="0"/>
              <w:kinsoku/>
              <w:wordWrap/>
              <w:topLinePunct w:val="0"/>
              <w:autoSpaceDE/>
              <w:autoSpaceDN/>
              <w:bidi w:val="0"/>
              <w:adjustRightInd w:val="0"/>
              <w:snapToGrid w:val="0"/>
              <w:spacing w:line="288" w:lineRule="auto"/>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污泥、布袋除尘器</w:t>
            </w:r>
            <w:r>
              <w:rPr>
                <w:rFonts w:ascii="Times New Roman" w:hAnsi="Times New Roman" w:cs="Times New Roman"/>
                <w:color w:val="auto"/>
                <w:sz w:val="21"/>
                <w:szCs w:val="21"/>
                <w:u w:val="none" w:color="auto"/>
              </w:rPr>
              <w:t>收集的粉尘</w:t>
            </w:r>
            <w:r>
              <w:rPr>
                <w:rFonts w:hint="eastAsia" w:ascii="Times New Roman" w:hAnsi="Times New Roman" w:cs="Times New Roman"/>
                <w:color w:val="auto"/>
                <w:sz w:val="21"/>
                <w:szCs w:val="21"/>
                <w:u w:val="none" w:color="auto"/>
                <w:lang w:val="en-US" w:eastAsia="zh-CN"/>
              </w:rPr>
              <w:t>和废弃实验样品收集后回收利用</w:t>
            </w:r>
            <w:r>
              <w:rPr>
                <w:rFonts w:ascii="Times New Roman" w:hAnsi="Times New Roman" w:cs="Times New Roman"/>
                <w:color w:val="auto"/>
                <w:sz w:val="21"/>
                <w:szCs w:val="21"/>
                <w:u w:val="none" w:color="auto"/>
              </w:rPr>
              <w:t>；</w:t>
            </w:r>
          </w:p>
          <w:p w14:paraId="5C586408">
            <w:pPr>
              <w:keepNext w:val="0"/>
              <w:keepLines w:val="0"/>
              <w:pageBreakBefore w:val="0"/>
              <w:kinsoku/>
              <w:wordWrap/>
              <w:topLinePunct w:val="0"/>
              <w:autoSpaceDE/>
              <w:autoSpaceDN/>
              <w:bidi w:val="0"/>
              <w:adjustRightInd w:val="0"/>
              <w:snapToGrid w:val="0"/>
              <w:spacing w:line="288" w:lineRule="auto"/>
              <w:textAlignment w:val="auto"/>
              <w:rPr>
                <w:rFonts w:ascii="Times New Roman" w:hAnsi="Times New Roman" w:cs="Times New Roman"/>
                <w:color w:val="auto"/>
                <w:sz w:val="21"/>
                <w:szCs w:val="21"/>
                <w:u w:val="none" w:color="auto"/>
              </w:rPr>
            </w:pPr>
            <w:r>
              <w:rPr>
                <w:rFonts w:hint="eastAsia"/>
                <w:color w:val="auto"/>
                <w:kern w:val="0"/>
                <w:sz w:val="21"/>
                <w:szCs w:val="21"/>
                <w:u w:val="none" w:color="auto"/>
                <w:lang w:val="en-US" w:eastAsia="zh-CN" w:bidi="ar"/>
              </w:rPr>
              <w:t>废含油抹布及手套、废矿物油暂</w:t>
            </w:r>
            <w:r>
              <w:rPr>
                <w:rFonts w:hint="eastAsia" w:ascii="Times New Roman" w:hAnsi="Times New Roman" w:cs="Times New Roman"/>
                <w:color w:val="auto"/>
                <w:sz w:val="21"/>
                <w:szCs w:val="21"/>
                <w:u w:val="none" w:color="auto"/>
                <w:lang w:val="en-US" w:eastAsia="zh-CN"/>
              </w:rPr>
              <w:t>存于危废暂存间，定期交由有资质的单位处置</w:t>
            </w:r>
          </w:p>
        </w:tc>
      </w:tr>
      <w:tr w14:paraId="6062C2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Align w:val="center"/>
          </w:tcPr>
          <w:p w14:paraId="38B52C48">
            <w:pPr>
              <w:keepNext w:val="0"/>
              <w:keepLines w:val="0"/>
              <w:pageBreakBefore w:val="0"/>
              <w:kinsoku/>
              <w:wordWrap/>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土壤及地下水污染防治措施</w:t>
            </w:r>
          </w:p>
        </w:tc>
        <w:tc>
          <w:tcPr>
            <w:tcW w:w="7822" w:type="dxa"/>
            <w:gridSpan w:val="4"/>
            <w:vAlign w:val="center"/>
          </w:tcPr>
          <w:p w14:paraId="55DCE85D">
            <w:pPr>
              <w:keepNext w:val="0"/>
              <w:keepLines w:val="0"/>
              <w:pageBreakBefore w:val="0"/>
              <w:kinsoku/>
              <w:wordWrap/>
              <w:topLinePunct w:val="0"/>
              <w:autoSpaceDE/>
              <w:autoSpaceDN/>
              <w:bidi w:val="0"/>
              <w:adjustRightInd w:val="0"/>
              <w:snapToGrid w:val="0"/>
              <w:spacing w:line="288" w:lineRule="auto"/>
              <w:jc w:val="left"/>
              <w:textAlignment w:val="auto"/>
              <w:rPr>
                <w:rFonts w:hint="default" w:eastAsiaTheme="minorEastAsia"/>
                <w:color w:val="auto"/>
                <w:kern w:val="0"/>
                <w:sz w:val="21"/>
                <w:szCs w:val="21"/>
                <w:u w:val="none" w:color="auto"/>
                <w:lang w:val="en-US" w:eastAsia="zh-CN"/>
              </w:rPr>
            </w:pPr>
            <w:r>
              <w:rPr>
                <w:color w:val="auto"/>
                <w:kern w:val="0"/>
                <w:sz w:val="21"/>
                <w:szCs w:val="21"/>
                <w:u w:val="none" w:color="auto"/>
                <w:lang w:bidi="ar"/>
              </w:rPr>
              <w:t>危废暂存间</w:t>
            </w:r>
            <w:r>
              <w:rPr>
                <w:rFonts w:hint="eastAsia"/>
                <w:color w:val="auto"/>
                <w:kern w:val="0"/>
                <w:sz w:val="21"/>
                <w:szCs w:val="21"/>
                <w:u w:val="none" w:color="auto"/>
                <w:lang w:val="en-US" w:eastAsia="zh-CN" w:bidi="ar"/>
              </w:rPr>
              <w:t>进行重点防渗，采取有效的</w:t>
            </w:r>
            <w:r>
              <w:rPr>
                <w:color w:val="auto"/>
                <w:kern w:val="0"/>
                <w:sz w:val="21"/>
                <w:szCs w:val="21"/>
                <w:u w:val="none" w:color="auto"/>
                <w:lang w:bidi="ar"/>
              </w:rPr>
              <w:t>防雨、防渗漏、防溢流</w:t>
            </w:r>
            <w:r>
              <w:rPr>
                <w:rFonts w:hint="eastAsia"/>
                <w:color w:val="auto"/>
                <w:kern w:val="0"/>
                <w:sz w:val="21"/>
                <w:szCs w:val="21"/>
                <w:u w:val="none" w:color="auto"/>
                <w:lang w:val="en-US" w:eastAsia="zh-CN" w:bidi="ar"/>
              </w:rPr>
              <w:t>措施，加强危险废物收集、贮存的管理；</w:t>
            </w:r>
          </w:p>
          <w:p w14:paraId="36528ECF">
            <w:pPr>
              <w:keepNext w:val="0"/>
              <w:keepLines w:val="0"/>
              <w:pageBreakBefore w:val="0"/>
              <w:kinsoku/>
              <w:wordWrap/>
              <w:topLinePunct w:val="0"/>
              <w:autoSpaceDE/>
              <w:autoSpaceDN/>
              <w:bidi w:val="0"/>
              <w:adjustRightInd w:val="0"/>
              <w:snapToGrid w:val="0"/>
              <w:spacing w:line="288" w:lineRule="auto"/>
              <w:jc w:val="left"/>
              <w:textAlignment w:val="auto"/>
              <w:rPr>
                <w:rFonts w:ascii="Times New Roman" w:hAnsi="Times New Roman" w:eastAsia="宋体" w:cs="Times New Roman"/>
                <w:color w:val="auto"/>
                <w:sz w:val="21"/>
                <w:szCs w:val="21"/>
                <w:u w:val="none" w:color="auto"/>
              </w:rPr>
            </w:pPr>
            <w:r>
              <w:rPr>
                <w:rFonts w:hint="eastAsia"/>
                <w:color w:val="auto"/>
                <w:kern w:val="0"/>
                <w:sz w:val="21"/>
                <w:szCs w:val="21"/>
                <w:u w:val="none" w:color="auto"/>
                <w:lang w:val="en-US" w:eastAsia="zh-CN" w:bidi="ar"/>
              </w:rPr>
              <w:t>生产车间地面、初期雨水收集沉淀池、</w:t>
            </w:r>
            <w:r>
              <w:rPr>
                <w:rFonts w:hint="eastAsia"/>
                <w:color w:val="auto"/>
                <w:kern w:val="0"/>
                <w:sz w:val="21"/>
                <w:szCs w:val="21"/>
                <w:u w:val="none" w:color="auto"/>
                <w:lang w:bidi="ar"/>
              </w:rPr>
              <w:t>沉淀池、</w:t>
            </w:r>
            <w:r>
              <w:rPr>
                <w:rFonts w:hint="eastAsia"/>
                <w:color w:val="auto"/>
                <w:kern w:val="0"/>
                <w:sz w:val="21"/>
                <w:szCs w:val="21"/>
                <w:u w:val="none" w:color="auto"/>
                <w:lang w:val="en-US" w:eastAsia="zh-CN" w:bidi="ar"/>
              </w:rPr>
              <w:t>化</w:t>
            </w:r>
            <w:r>
              <w:rPr>
                <w:color w:val="auto"/>
                <w:kern w:val="0"/>
                <w:sz w:val="21"/>
                <w:szCs w:val="21"/>
                <w:u w:val="none" w:color="auto"/>
                <w:lang w:bidi="ar"/>
              </w:rPr>
              <w:t>粪池</w:t>
            </w:r>
            <w:r>
              <w:rPr>
                <w:rFonts w:hint="eastAsia"/>
                <w:color w:val="auto"/>
                <w:kern w:val="0"/>
                <w:sz w:val="21"/>
                <w:szCs w:val="21"/>
                <w:u w:val="none" w:color="auto"/>
                <w:lang w:eastAsia="zh-CN" w:bidi="ar"/>
              </w:rPr>
              <w:t>采取</w:t>
            </w:r>
            <w:r>
              <w:rPr>
                <w:rFonts w:hint="eastAsia"/>
                <w:color w:val="auto"/>
                <w:kern w:val="0"/>
                <w:sz w:val="21"/>
                <w:szCs w:val="21"/>
                <w:u w:val="none" w:color="auto"/>
                <w:lang w:val="en-US" w:eastAsia="zh-CN" w:bidi="ar"/>
              </w:rPr>
              <w:t>一般</w:t>
            </w:r>
            <w:r>
              <w:rPr>
                <w:rFonts w:hint="eastAsia"/>
                <w:color w:val="auto"/>
                <w:kern w:val="0"/>
                <w:sz w:val="21"/>
                <w:szCs w:val="21"/>
                <w:u w:val="none" w:color="auto"/>
                <w:lang w:eastAsia="zh-CN" w:bidi="ar"/>
              </w:rPr>
              <w:t>防渗措施。</w:t>
            </w:r>
          </w:p>
        </w:tc>
      </w:tr>
      <w:tr w14:paraId="23A2D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Align w:val="center"/>
          </w:tcPr>
          <w:p w14:paraId="30133DA0">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pacing w:val="-8"/>
                <w:sz w:val="21"/>
                <w:szCs w:val="21"/>
                <w:u w:val="none" w:color="auto"/>
              </w:rPr>
            </w:pPr>
            <w:r>
              <w:rPr>
                <w:rFonts w:ascii="Times New Roman" w:hAnsi="Times New Roman" w:eastAsia="宋体" w:cs="Times New Roman"/>
                <w:color w:val="auto"/>
                <w:spacing w:val="-8"/>
                <w:sz w:val="21"/>
                <w:szCs w:val="21"/>
                <w:u w:val="none" w:color="auto"/>
              </w:rPr>
              <w:t>环境风险防范措施</w:t>
            </w:r>
          </w:p>
        </w:tc>
        <w:tc>
          <w:tcPr>
            <w:tcW w:w="7822" w:type="dxa"/>
            <w:gridSpan w:val="4"/>
            <w:vAlign w:val="center"/>
          </w:tcPr>
          <w:p w14:paraId="1478E0C4">
            <w:pPr>
              <w:keepNext w:val="0"/>
              <w:keepLines w:val="0"/>
              <w:pageBreakBefore w:val="0"/>
              <w:kinsoku/>
              <w:wordWrap/>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w:t>
            </w:r>
            <w:r>
              <w:rPr>
                <w:rFonts w:hint="default" w:ascii="Times New Roman" w:hAnsi="Times New Roman" w:eastAsia="宋体" w:cs="Times New Roman"/>
                <w:color w:val="auto"/>
                <w:sz w:val="21"/>
                <w:szCs w:val="21"/>
                <w:u w:val="none" w:color="auto"/>
                <w:lang w:val="en-US" w:eastAsia="zh-CN"/>
              </w:rPr>
              <w:t>规范</w:t>
            </w:r>
            <w:r>
              <w:rPr>
                <w:rFonts w:hint="default" w:ascii="Times New Roman" w:hAnsi="Times New Roman" w:eastAsia="宋体" w:cs="Times New Roman"/>
                <w:color w:val="auto"/>
                <w:sz w:val="21"/>
                <w:szCs w:val="21"/>
                <w:u w:val="none" w:color="auto"/>
              </w:rPr>
              <w:t>沉淀池施工建设，对沉淀池进行加盖密闭处理，确保沉淀池体质量达标、满足收集处理要求，防止因池体质量不达标导致的池体破损。</w:t>
            </w:r>
          </w:p>
          <w:p w14:paraId="70E49723">
            <w:pPr>
              <w:keepNext w:val="0"/>
              <w:keepLines w:val="0"/>
              <w:pageBreakBefore w:val="0"/>
              <w:kinsoku/>
              <w:wordWrap/>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②加强人员管理，定期对沉淀池周围进行检查，预防风险事故的发生。</w:t>
            </w:r>
          </w:p>
          <w:p w14:paraId="2C3EB13D">
            <w:pPr>
              <w:keepNext w:val="0"/>
              <w:keepLines w:val="0"/>
              <w:pageBreakBefore w:val="0"/>
              <w:kinsoku/>
              <w:wordWrap/>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③雨季期间，加强对自然天气状况的监控，发生暴雨等自然环境影响时，及时做好项目</w:t>
            </w:r>
            <w:r>
              <w:rPr>
                <w:rFonts w:hint="default" w:ascii="Times New Roman" w:hAnsi="Times New Roman" w:eastAsia="宋体" w:cs="Times New Roman"/>
                <w:color w:val="auto"/>
                <w:sz w:val="21"/>
                <w:szCs w:val="21"/>
                <w:u w:val="none" w:color="auto"/>
                <w:lang w:val="en-US" w:eastAsia="zh-CN"/>
              </w:rPr>
              <w:t>厂</w:t>
            </w:r>
            <w:r>
              <w:rPr>
                <w:rFonts w:hint="default" w:ascii="Times New Roman" w:hAnsi="Times New Roman" w:eastAsia="宋体" w:cs="Times New Roman"/>
                <w:color w:val="auto"/>
                <w:sz w:val="21"/>
                <w:szCs w:val="21"/>
                <w:u w:val="none" w:color="auto"/>
              </w:rPr>
              <w:t>区排水工程，防止沉淀池废水外溢情况发生。</w:t>
            </w:r>
          </w:p>
          <w:p w14:paraId="52764E2F">
            <w:pPr>
              <w:keepNext w:val="0"/>
              <w:keepLines w:val="0"/>
              <w:pageBreakBefore w:val="0"/>
              <w:kinsoku/>
              <w:wordWrap/>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④设置有专人负责废气收集与处理设施的维修与保养工作。对出现</w:t>
            </w:r>
            <w:r>
              <w:rPr>
                <w:rFonts w:hint="default" w:ascii="Times New Roman" w:hAnsi="Times New Roman" w:eastAsia="宋体" w:cs="Times New Roman"/>
                <w:color w:val="auto"/>
                <w:sz w:val="21"/>
                <w:szCs w:val="21"/>
                <w:u w:val="none" w:color="auto"/>
                <w:lang w:val="en-US" w:eastAsia="zh-CN"/>
              </w:rPr>
              <w:t>故障的</w:t>
            </w:r>
            <w:r>
              <w:rPr>
                <w:rFonts w:hint="default" w:ascii="Times New Roman" w:hAnsi="Times New Roman" w:eastAsia="宋体" w:cs="Times New Roman"/>
                <w:color w:val="auto"/>
                <w:sz w:val="21"/>
                <w:szCs w:val="21"/>
                <w:u w:val="none" w:color="auto"/>
              </w:rPr>
              <w:t>废气处理设施进行排查，分析故障原因，对破损</w:t>
            </w:r>
            <w:r>
              <w:rPr>
                <w:rFonts w:hint="default" w:ascii="Times New Roman" w:hAnsi="Times New Roman" w:eastAsia="宋体" w:cs="Times New Roman"/>
                <w:color w:val="auto"/>
                <w:sz w:val="21"/>
                <w:szCs w:val="21"/>
                <w:u w:val="none" w:color="auto"/>
                <w:lang w:eastAsia="zh-CN"/>
              </w:rPr>
              <w:t>部位</w:t>
            </w:r>
            <w:r>
              <w:rPr>
                <w:rFonts w:hint="default" w:ascii="Times New Roman" w:hAnsi="Times New Roman" w:eastAsia="宋体" w:cs="Times New Roman"/>
                <w:color w:val="auto"/>
                <w:sz w:val="21"/>
                <w:szCs w:val="21"/>
                <w:u w:val="none" w:color="auto"/>
              </w:rPr>
              <w:t>进行修补。待废气处理装置恢复正常后，方可再投入生产。</w:t>
            </w:r>
          </w:p>
          <w:p w14:paraId="795FE66D">
            <w:pPr>
              <w:keepNext w:val="0"/>
              <w:keepLines w:val="0"/>
              <w:pageBreakBefore w:val="0"/>
              <w:kinsoku/>
              <w:wordWrap/>
              <w:topLinePunct w:val="0"/>
              <w:autoSpaceDE/>
              <w:autoSpaceDN/>
              <w:bidi w:val="0"/>
              <w:adjustRightInd w:val="0"/>
              <w:snapToGrid w:val="0"/>
              <w:spacing w:line="360" w:lineRule="auto"/>
              <w:jc w:val="left"/>
              <w:textAlignment w:val="auto"/>
              <w:rPr>
                <w:rFonts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⑤</w:t>
            </w:r>
            <w:r>
              <w:rPr>
                <w:rFonts w:hint="eastAsia" w:ascii="Times New Roman" w:hAnsi="Times New Roman" w:eastAsia="宋体" w:cs="Times New Roman"/>
                <w:color w:val="auto"/>
                <w:sz w:val="21"/>
                <w:szCs w:val="21"/>
                <w:u w:val="none" w:color="auto"/>
                <w:lang w:val="en-US" w:eastAsia="zh-CN"/>
              </w:rPr>
              <w:t>在废矿物油</w:t>
            </w:r>
            <w:r>
              <w:rPr>
                <w:rFonts w:ascii="Times New Roman" w:hAnsi="Times New Roman" w:eastAsia="宋体" w:cs="Times New Roman"/>
                <w:color w:val="auto"/>
                <w:sz w:val="21"/>
                <w:szCs w:val="21"/>
                <w:u w:val="none" w:color="auto"/>
              </w:rPr>
              <w:t>存储区设置围挡和防流失措施</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危废暂存间地面采取硬化和重点防渗。一旦出现</w:t>
            </w:r>
            <w:r>
              <w:rPr>
                <w:rFonts w:ascii="Times New Roman" w:hAnsi="Times New Roman" w:eastAsia="宋体" w:cs="Times New Roman"/>
                <w:color w:val="auto"/>
                <w:sz w:val="21"/>
                <w:szCs w:val="21"/>
                <w:u w:val="none" w:color="auto"/>
              </w:rPr>
              <w:t>泄漏现象，</w:t>
            </w:r>
            <w:r>
              <w:rPr>
                <w:rFonts w:ascii="Times New Roman" w:hAnsi="Times New Roman" w:eastAsia="宋体" w:cs="Times New Roman"/>
                <w:color w:val="auto"/>
                <w:sz w:val="21"/>
                <w:szCs w:val="21"/>
                <w:u w:val="none" w:color="auto"/>
                <w:lang w:val="zh-CN"/>
              </w:rPr>
              <w:t>及时控制泄漏点，</w:t>
            </w:r>
            <w:r>
              <w:rPr>
                <w:rFonts w:hint="eastAsia" w:ascii="Times New Roman" w:hAnsi="Times New Roman" w:eastAsia="宋体" w:cs="Times New Roman"/>
                <w:color w:val="auto"/>
                <w:sz w:val="21"/>
                <w:szCs w:val="21"/>
                <w:u w:val="none" w:color="auto"/>
                <w:lang w:val="en-US" w:eastAsia="zh-CN"/>
              </w:rPr>
              <w:t>并</w:t>
            </w:r>
            <w:r>
              <w:rPr>
                <w:rFonts w:ascii="Times New Roman" w:hAnsi="Times New Roman" w:eastAsia="宋体" w:cs="Times New Roman"/>
                <w:color w:val="auto"/>
                <w:sz w:val="21"/>
                <w:szCs w:val="21"/>
                <w:u w:val="none" w:color="auto"/>
              </w:rPr>
              <w:t>更换盛装容器</w:t>
            </w:r>
            <w:r>
              <w:rPr>
                <w:rFonts w:hint="eastAsia" w:ascii="Times New Roman" w:hAnsi="Times New Roman" w:eastAsia="宋体" w:cs="Times New Roman"/>
                <w:color w:val="auto"/>
                <w:sz w:val="21"/>
                <w:szCs w:val="21"/>
                <w:u w:val="none" w:color="auto"/>
                <w:lang w:eastAsia="zh-CN"/>
              </w:rPr>
              <w:t>，</w:t>
            </w:r>
            <w:r>
              <w:rPr>
                <w:rFonts w:ascii="Times New Roman" w:hAnsi="Times New Roman" w:eastAsia="宋体" w:cs="Times New Roman"/>
                <w:color w:val="auto"/>
                <w:sz w:val="21"/>
                <w:szCs w:val="21"/>
                <w:u w:val="none" w:color="auto"/>
                <w:lang w:val="zh-CN"/>
              </w:rPr>
              <w:t>将泄漏的</w:t>
            </w:r>
            <w:r>
              <w:rPr>
                <w:rFonts w:hint="eastAsia" w:ascii="Times New Roman" w:hAnsi="Times New Roman" w:eastAsia="宋体" w:cs="Times New Roman"/>
                <w:color w:val="auto"/>
                <w:sz w:val="21"/>
                <w:szCs w:val="21"/>
                <w:u w:val="none" w:color="auto"/>
                <w:lang w:val="en-US" w:eastAsia="zh-CN"/>
              </w:rPr>
              <w:t>废矿物油</w:t>
            </w:r>
            <w:r>
              <w:rPr>
                <w:rFonts w:ascii="Times New Roman" w:hAnsi="Times New Roman" w:eastAsia="宋体" w:cs="Times New Roman"/>
                <w:color w:val="auto"/>
                <w:sz w:val="21"/>
                <w:szCs w:val="21"/>
                <w:u w:val="none" w:color="auto"/>
                <w:lang w:val="zh-CN"/>
              </w:rPr>
              <w:t>采用专门的容器收集，及时清理或清洗泄漏的地点</w:t>
            </w:r>
            <w:r>
              <w:rPr>
                <w:rFonts w:hint="eastAsia" w:ascii="Times New Roman" w:hAnsi="Times New Roman" w:eastAsia="宋体" w:cs="Times New Roman"/>
                <w:color w:val="auto"/>
                <w:sz w:val="21"/>
                <w:szCs w:val="21"/>
                <w:u w:val="none" w:color="auto"/>
                <w:lang w:val="zh-CN"/>
              </w:rPr>
              <w:t>，</w:t>
            </w:r>
            <w:r>
              <w:rPr>
                <w:rFonts w:hint="eastAsia" w:ascii="Times New Roman" w:hAnsi="Times New Roman" w:eastAsia="宋体" w:cs="Times New Roman"/>
                <w:color w:val="auto"/>
                <w:sz w:val="21"/>
                <w:szCs w:val="21"/>
                <w:u w:val="none" w:color="auto"/>
                <w:lang w:val="en-US" w:eastAsia="zh-CN"/>
              </w:rPr>
              <w:t>防止废矿物油漫流或下渗</w:t>
            </w:r>
            <w:r>
              <w:rPr>
                <w:rFonts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火灾发生时，消防</w:t>
            </w:r>
            <w:r>
              <w:rPr>
                <w:rFonts w:ascii="Times New Roman" w:hAnsi="Times New Roman" w:eastAsia="宋体" w:cs="Times New Roman"/>
                <w:color w:val="auto"/>
                <w:sz w:val="21"/>
                <w:szCs w:val="21"/>
                <w:u w:val="none" w:color="auto"/>
              </w:rPr>
              <w:t>废水收集进入初期雨水收集沉淀池（兼事故池）。</w:t>
            </w:r>
          </w:p>
        </w:tc>
      </w:tr>
      <w:tr w14:paraId="08F26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978" w:type="dxa"/>
            <w:vAlign w:val="center"/>
          </w:tcPr>
          <w:p w14:paraId="7283F153">
            <w:pPr>
              <w:keepNext w:val="0"/>
              <w:keepLines w:val="0"/>
              <w:pageBreakBefore w:val="0"/>
              <w:kinsoku/>
              <w:wordWrap/>
              <w:topLinePunct w:val="0"/>
              <w:autoSpaceDE/>
              <w:autoSpaceDN/>
              <w:bidi w:val="0"/>
              <w:adjustRightInd w:val="0"/>
              <w:snapToGrid w:val="0"/>
              <w:spacing w:line="288" w:lineRule="auto"/>
              <w:jc w:val="center"/>
              <w:textAlignment w:val="auto"/>
              <w:rPr>
                <w:rFonts w:ascii="Times New Roman" w:hAnsi="Times New Roman" w:eastAsia="宋体" w:cs="Times New Roman"/>
                <w:color w:val="auto"/>
                <w:spacing w:val="-8"/>
                <w:sz w:val="21"/>
                <w:szCs w:val="21"/>
                <w:u w:val="none" w:color="auto"/>
              </w:rPr>
            </w:pPr>
            <w:r>
              <w:rPr>
                <w:rFonts w:ascii="Times New Roman" w:hAnsi="Times New Roman" w:eastAsia="宋体" w:cs="Times New Roman"/>
                <w:color w:val="auto"/>
                <w:spacing w:val="-8"/>
                <w:sz w:val="21"/>
                <w:szCs w:val="21"/>
                <w:u w:val="none" w:color="auto"/>
              </w:rPr>
              <w:t>其他环境管理要求</w:t>
            </w:r>
          </w:p>
        </w:tc>
        <w:tc>
          <w:tcPr>
            <w:tcW w:w="7822" w:type="dxa"/>
            <w:gridSpan w:val="4"/>
            <w:vAlign w:val="center"/>
          </w:tcPr>
          <w:p w14:paraId="4868CB0D">
            <w:pPr>
              <w:keepNext w:val="0"/>
              <w:keepLines w:val="0"/>
              <w:pageBreakBefore w:val="0"/>
              <w:kinsoku/>
              <w:wordWrap/>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①</w:t>
            </w:r>
            <w:r>
              <w:rPr>
                <w:rFonts w:hint="eastAsia" w:ascii="Times New Roman" w:hAnsi="Times New Roman" w:eastAsia="宋体" w:cs="Times New Roman"/>
                <w:color w:val="auto"/>
                <w:sz w:val="21"/>
                <w:szCs w:val="21"/>
                <w:u w:val="none" w:color="auto"/>
                <w:lang w:val="en-US" w:eastAsia="zh-CN"/>
              </w:rPr>
              <w:t>排污许可：</w:t>
            </w:r>
          </w:p>
          <w:p w14:paraId="797A6E72">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u w:val="none" w:color="auto"/>
              </w:rPr>
              <w:t>根据《固定污染源排污许可分类管理名录（2019 年版）》及《排污许可管理条例》</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中华人民共和国国务院令</w:t>
            </w:r>
            <w:r>
              <w:rPr>
                <w:rFonts w:hint="default" w:ascii="Times New Roman" w:hAnsi="Times New Roman" w:cs="Times New Roman"/>
                <w:color w:val="auto"/>
                <w:sz w:val="21"/>
                <w:szCs w:val="21"/>
                <w:u w:val="none" w:color="auto"/>
                <w:lang w:val="en-US" w:eastAsia="zh-CN"/>
              </w:rPr>
              <w:t xml:space="preserve"> </w:t>
            </w:r>
            <w:r>
              <w:rPr>
                <w:rFonts w:hint="default" w:ascii="Times New Roman" w:hAnsi="Times New Roman" w:cs="Times New Roman"/>
                <w:color w:val="auto"/>
                <w:sz w:val="21"/>
                <w:szCs w:val="21"/>
                <w:u w:val="none" w:color="auto"/>
              </w:rPr>
              <w:t>第736号</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，项目</w:t>
            </w:r>
            <w:r>
              <w:rPr>
                <w:rFonts w:hint="default" w:ascii="Times New Roman" w:hAnsi="Times New Roman" w:cs="Times New Roman"/>
                <w:color w:val="auto"/>
                <w:sz w:val="21"/>
                <w:szCs w:val="21"/>
                <w:u w:val="none" w:color="auto"/>
                <w:lang w:val="en-US" w:eastAsia="zh-CN"/>
              </w:rPr>
              <w:t>类别涉及</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二十</w:t>
            </w:r>
            <w:r>
              <w:rPr>
                <w:rFonts w:hint="default" w:ascii="Times New Roman" w:hAnsi="Times New Roman" w:cs="Times New Roman"/>
                <w:color w:val="auto"/>
                <w:sz w:val="21"/>
                <w:szCs w:val="21"/>
                <w:u w:val="none" w:color="auto"/>
                <w:lang w:val="en-US" w:eastAsia="zh-CN"/>
              </w:rPr>
              <w:t>五</w:t>
            </w:r>
            <w:r>
              <w:rPr>
                <w:rFonts w:hint="default" w:ascii="Times New Roman" w:hAnsi="Times New Roman" w:cs="Times New Roman"/>
                <w:color w:val="auto"/>
                <w:sz w:val="21"/>
                <w:szCs w:val="21"/>
                <w:u w:val="none" w:color="auto"/>
              </w:rPr>
              <w:t>、非金属矿物制品业30</w:t>
            </w:r>
            <w:r>
              <w:rPr>
                <w:rFonts w:hint="default" w:ascii="Times New Roman" w:hAnsi="Times New Roman" w:cs="Times New Roman"/>
                <w:color w:val="auto"/>
                <w:sz w:val="21"/>
                <w:szCs w:val="21"/>
                <w:highlight w:val="none"/>
                <w:u w:val="none" w:color="auto"/>
                <w:lang w:val="en-US" w:eastAsia="zh-CN"/>
              </w:rPr>
              <w:t>—</w:t>
            </w:r>
            <w:r>
              <w:rPr>
                <w:rFonts w:hint="default" w:ascii="Times New Roman" w:hAnsi="Times New Roman" w:cs="Times New Roman"/>
                <w:color w:val="auto"/>
                <w:sz w:val="21"/>
                <w:szCs w:val="21"/>
                <w:u w:val="none" w:color="auto"/>
                <w:lang w:val="en-US" w:eastAsia="zh-CN"/>
              </w:rPr>
              <w:t>6</w:t>
            </w:r>
            <w:r>
              <w:rPr>
                <w:rFonts w:hint="eastAsia" w:ascii="Times New Roman" w:hAnsi="Times New Roman" w:cs="Times New Roman"/>
                <w:color w:val="auto"/>
                <w:sz w:val="21"/>
                <w:szCs w:val="21"/>
                <w:u w:val="none" w:color="auto"/>
                <w:lang w:val="en-US" w:eastAsia="zh-CN"/>
              </w:rPr>
              <w:t>3</w:t>
            </w:r>
            <w:r>
              <w:rPr>
                <w:rFonts w:hint="default" w:ascii="Times New Roman" w:hAnsi="Times New Roman" w:cs="Times New Roman"/>
                <w:color w:val="auto"/>
                <w:sz w:val="21"/>
                <w:szCs w:val="21"/>
                <w:u w:val="none" w:color="auto"/>
                <w:lang w:val="en-US" w:eastAsia="zh-CN"/>
              </w:rPr>
              <w:t>、</w:t>
            </w:r>
            <w:r>
              <w:rPr>
                <w:rFonts w:hint="default" w:ascii="Times New Roman" w:hAnsi="Times New Roman" w:cs="Times New Roman"/>
                <w:color w:val="auto"/>
                <w:sz w:val="21"/>
                <w:szCs w:val="21"/>
                <w:u w:val="none" w:color="auto"/>
              </w:rPr>
              <w:t>石膏、</w:t>
            </w:r>
            <w:r>
              <w:rPr>
                <w:rFonts w:hint="eastAsia" w:ascii="Times New Roman" w:hAnsi="Times New Roman" w:cs="Times New Roman"/>
                <w:color w:val="auto"/>
                <w:sz w:val="21"/>
                <w:szCs w:val="21"/>
                <w:u w:val="none" w:color="auto"/>
                <w:lang w:val="en-US" w:eastAsia="zh-CN"/>
              </w:rPr>
              <w:t>水</w:t>
            </w:r>
            <w:r>
              <w:rPr>
                <w:rFonts w:hint="default" w:ascii="Times New Roman" w:hAnsi="Times New Roman" w:cs="Times New Roman"/>
                <w:color w:val="auto"/>
                <w:sz w:val="21"/>
                <w:szCs w:val="21"/>
                <w:u w:val="none" w:color="auto"/>
              </w:rPr>
              <w:t xml:space="preserve">泥制品及类似制品制造 302 </w:t>
            </w:r>
            <w:r>
              <w:rPr>
                <w:rFonts w:hint="default" w:ascii="Times New Roman" w:hAnsi="Times New Roman" w:cs="Times New Roman"/>
                <w:color w:val="auto"/>
                <w:sz w:val="21"/>
                <w:szCs w:val="21"/>
                <w:highlight w:val="none"/>
                <w:u w:val="none" w:color="auto"/>
                <w:lang w:val="en-US" w:eastAsia="zh-CN"/>
              </w:rPr>
              <w:t>—</w:t>
            </w:r>
            <w:r>
              <w:rPr>
                <w:rFonts w:hint="default" w:ascii="Times New Roman" w:hAnsi="Times New Roman" w:cs="Times New Roman"/>
                <w:color w:val="auto"/>
                <w:sz w:val="21"/>
                <w:szCs w:val="21"/>
                <w:u w:val="none" w:color="auto"/>
              </w:rPr>
              <w:t>水泥制品制造3021</w:t>
            </w:r>
            <w:r>
              <w:rPr>
                <w:rFonts w:hint="default" w:ascii="Times New Roman" w:hAnsi="Times New Roman" w:cs="Times New Roman"/>
                <w:color w:val="auto"/>
                <w:sz w:val="21"/>
                <w:szCs w:val="21"/>
                <w:u w:val="none" w:color="auto"/>
                <w:lang w:val="en-US" w:eastAsia="zh-CN"/>
              </w:rPr>
              <w:t>”</w:t>
            </w:r>
            <w:r>
              <w:rPr>
                <w:rFonts w:hint="default" w:ascii="Times New Roman" w:hAnsi="Times New Roman" w:cs="Times New Roman"/>
                <w:color w:val="auto"/>
                <w:sz w:val="21"/>
                <w:szCs w:val="21"/>
                <w:u w:val="none" w:color="auto"/>
              </w:rPr>
              <w:t>，</w:t>
            </w:r>
            <w:r>
              <w:rPr>
                <w:rFonts w:hint="default" w:ascii="Times New Roman" w:hAnsi="Times New Roman" w:cs="Times New Roman"/>
                <w:color w:val="auto"/>
                <w:sz w:val="21"/>
                <w:szCs w:val="21"/>
                <w:u w:val="none" w:color="auto"/>
                <w:lang w:val="en-US" w:eastAsia="zh-CN"/>
              </w:rPr>
              <w:t>属于登记</w:t>
            </w:r>
            <w:r>
              <w:rPr>
                <w:rFonts w:hint="default" w:ascii="Times New Roman" w:hAnsi="Times New Roman" w:cs="Times New Roman"/>
                <w:color w:val="auto"/>
                <w:sz w:val="21"/>
                <w:szCs w:val="21"/>
                <w:u w:val="none" w:color="auto"/>
              </w:rPr>
              <w:t>管理</w:t>
            </w:r>
            <w:r>
              <w:rPr>
                <w:rFonts w:hint="default" w:ascii="Times New Roman" w:hAnsi="Times New Roman" w:cs="Times New Roman"/>
                <w:color w:val="auto"/>
                <w:sz w:val="21"/>
                <w:szCs w:val="21"/>
                <w:u w:val="none" w:color="auto"/>
                <w:lang w:val="en-US" w:eastAsia="zh-CN"/>
              </w:rPr>
              <w:t>范畴。</w:t>
            </w:r>
            <w:r>
              <w:rPr>
                <w:rFonts w:hint="default" w:ascii="Times New Roman" w:hAnsi="Times New Roman" w:eastAsia="宋体" w:cs="Times New Roman"/>
                <w:color w:val="auto"/>
                <w:sz w:val="21"/>
                <w:szCs w:val="21"/>
                <w:u w:val="none" w:color="auto"/>
                <w:lang w:val="en-US" w:eastAsia="zh-CN"/>
              </w:rPr>
              <w:t>根据</w:t>
            </w:r>
            <w:r>
              <w:rPr>
                <w:rFonts w:hint="default" w:ascii="Times New Roman" w:hAnsi="Times New Roman" w:eastAsia="宋体" w:cs="Times New Roman"/>
                <w:color w:val="auto"/>
                <w:sz w:val="21"/>
                <w:szCs w:val="21"/>
                <w:u w:val="none" w:color="auto"/>
              </w:rPr>
              <w:t>《排污许可证申请与核发技术规范</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总则》（HJ942-2018）、《排污单位自行监测技术指南 总则》（HJ819-2017）</w:t>
            </w:r>
            <w:r>
              <w:rPr>
                <w:rFonts w:hint="default" w:ascii="Times New Roman" w:hAnsi="Times New Roman" w:eastAsia="宋体" w:cs="Times New Roman"/>
                <w:color w:val="auto"/>
                <w:sz w:val="21"/>
                <w:szCs w:val="21"/>
                <w:u w:val="none" w:color="auto"/>
                <w:lang w:val="en-US" w:eastAsia="zh-CN"/>
              </w:rPr>
              <w:t>要求</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项目</w:t>
            </w:r>
            <w:r>
              <w:rPr>
                <w:rFonts w:hint="default" w:ascii="Times New Roman" w:hAnsi="Times New Roman" w:eastAsia="宋体" w:cs="Times New Roman"/>
                <w:color w:val="auto"/>
                <w:sz w:val="21"/>
                <w:szCs w:val="21"/>
                <w:u w:val="none" w:color="auto"/>
                <w:lang w:val="en-US" w:eastAsia="zh-CN"/>
              </w:rPr>
              <w:t>在排污前须</w:t>
            </w:r>
            <w:r>
              <w:rPr>
                <w:rFonts w:hint="eastAsia" w:ascii="Times New Roman" w:hAnsi="Times New Roman" w:eastAsia="宋体" w:cs="Times New Roman"/>
                <w:color w:val="auto"/>
                <w:sz w:val="21"/>
                <w:szCs w:val="21"/>
                <w:u w:val="none" w:color="auto"/>
                <w:lang w:val="en-US" w:eastAsia="zh-CN"/>
              </w:rPr>
              <w:t>依法</w:t>
            </w:r>
            <w:r>
              <w:rPr>
                <w:rFonts w:hint="default" w:ascii="Times New Roman" w:hAnsi="Times New Roman" w:eastAsia="宋体" w:cs="Times New Roman"/>
                <w:color w:val="auto"/>
                <w:sz w:val="21"/>
                <w:szCs w:val="21"/>
                <w:u w:val="none" w:color="auto"/>
                <w:lang w:val="en-US" w:eastAsia="zh-CN"/>
              </w:rPr>
              <w:t>履行排污许可</w:t>
            </w:r>
            <w:r>
              <w:rPr>
                <w:rFonts w:hint="eastAsia" w:ascii="Times New Roman" w:hAnsi="Times New Roman" w:eastAsia="宋体" w:cs="Times New Roman"/>
                <w:color w:val="auto"/>
                <w:sz w:val="21"/>
                <w:szCs w:val="21"/>
                <w:u w:val="none" w:color="auto"/>
                <w:lang w:val="en-US" w:eastAsia="zh-CN"/>
              </w:rPr>
              <w:t>登记</w:t>
            </w:r>
            <w:r>
              <w:rPr>
                <w:rFonts w:hint="default" w:ascii="Times New Roman" w:hAnsi="Times New Roman" w:eastAsia="宋体" w:cs="Times New Roman"/>
                <w:color w:val="auto"/>
                <w:sz w:val="21"/>
                <w:szCs w:val="21"/>
                <w:u w:val="none" w:color="auto"/>
                <w:lang w:val="en-US" w:eastAsia="zh-CN"/>
              </w:rPr>
              <w:t>手续</w:t>
            </w:r>
            <w:r>
              <w:rPr>
                <w:rFonts w:hint="default" w:ascii="Times New Roman" w:hAnsi="Times New Roman" w:eastAsia="宋体" w:cs="Times New Roman"/>
                <w:color w:val="auto"/>
                <w:sz w:val="21"/>
                <w:szCs w:val="21"/>
                <w:highlight w:val="none"/>
                <w:u w:val="none" w:color="auto"/>
                <w:lang w:eastAsia="zh-CN"/>
              </w:rPr>
              <w:t>。</w:t>
            </w:r>
          </w:p>
          <w:p w14:paraId="058638F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color w:val="auto"/>
                <w:sz w:val="21"/>
                <w:szCs w:val="21"/>
                <w:u w:val="none" w:color="auto"/>
              </w:rPr>
              <w:t>②</w:t>
            </w:r>
            <w:r>
              <w:rPr>
                <w:rFonts w:hint="default" w:ascii="Times New Roman" w:hAnsi="Times New Roman" w:cs="Times New Roman"/>
                <w:color w:val="auto"/>
                <w:sz w:val="21"/>
                <w:szCs w:val="21"/>
                <w:u w:val="none" w:color="auto"/>
              </w:rPr>
              <w:t>竣工环境保护验收</w:t>
            </w:r>
          </w:p>
          <w:p w14:paraId="7B5A5B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根据《建设项目竣工环境保护验收暂行办法》（国环规环评〔2017〕4号）文件，建设单位作为项目竣工环保验收的责任主体，应当</w:t>
            </w:r>
            <w:r>
              <w:rPr>
                <w:rFonts w:hint="default" w:ascii="Times New Roman" w:hAnsi="Times New Roman" w:cs="Times New Roman"/>
                <w:color w:val="auto"/>
                <w:sz w:val="21"/>
                <w:szCs w:val="21"/>
                <w:u w:val="none" w:color="auto"/>
                <w:lang w:val="en-US" w:eastAsia="zh-CN"/>
              </w:rPr>
              <w:t>及时</w:t>
            </w:r>
            <w:r>
              <w:rPr>
                <w:rFonts w:hint="default" w:ascii="Times New Roman" w:hAnsi="Times New Roman" w:cs="Times New Roman"/>
                <w:color w:val="auto"/>
                <w:sz w:val="21"/>
                <w:szCs w:val="21"/>
                <w:u w:val="none" w:color="auto"/>
              </w:rPr>
              <w:t>对配套建设的环保设施</w:t>
            </w:r>
            <w:r>
              <w:rPr>
                <w:rFonts w:hint="default" w:ascii="Times New Roman" w:hAnsi="Times New Roman" w:cs="Times New Roman"/>
                <w:color w:val="auto"/>
                <w:sz w:val="21"/>
                <w:szCs w:val="21"/>
                <w:u w:val="none" w:color="auto"/>
                <w:lang w:val="en-US" w:eastAsia="zh-CN"/>
              </w:rPr>
              <w:t>组织</w:t>
            </w:r>
            <w:r>
              <w:rPr>
                <w:rFonts w:hint="default" w:ascii="Times New Roman" w:hAnsi="Times New Roman" w:cs="Times New Roman"/>
                <w:color w:val="auto"/>
                <w:sz w:val="21"/>
                <w:szCs w:val="21"/>
                <w:u w:val="none" w:color="auto"/>
              </w:rPr>
              <w:t>验收，编制验收报告，公开相关信息，确保建设项目需要配套建设的环境保护设施与主体工程同时投产或者使用，并对验收内容、结论和所公开信息的真实性、准确性和完整性负责。项目配套建设的环保设施经验收合格，方可投入生产或使用。</w:t>
            </w:r>
          </w:p>
          <w:p w14:paraId="0A3BBA6C">
            <w:pPr>
              <w:keepNext w:val="0"/>
              <w:keepLines w:val="0"/>
              <w:pageBreakBefore w:val="0"/>
              <w:kinsoku/>
              <w:wordWrap/>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③</w:t>
            </w:r>
            <w:r>
              <w:rPr>
                <w:rFonts w:hint="eastAsia" w:ascii="Times New Roman" w:hAnsi="Times New Roman" w:eastAsia="宋体" w:cs="Times New Roman"/>
                <w:color w:val="auto"/>
                <w:sz w:val="21"/>
                <w:szCs w:val="21"/>
                <w:u w:val="none" w:color="auto"/>
                <w:lang w:val="en-US" w:eastAsia="zh-CN"/>
              </w:rPr>
              <w:t>运营期间，严格</w:t>
            </w:r>
            <w:r>
              <w:rPr>
                <w:rFonts w:hint="default" w:ascii="Times New Roman" w:hAnsi="Times New Roman" w:eastAsia="宋体" w:cs="Times New Roman"/>
                <w:color w:val="auto"/>
                <w:sz w:val="21"/>
                <w:szCs w:val="21"/>
                <w:u w:val="none" w:color="auto"/>
              </w:rPr>
              <w:t>按</w:t>
            </w:r>
            <w:r>
              <w:rPr>
                <w:rFonts w:hint="eastAsia" w:ascii="Times New Roman" w:hAnsi="Times New Roman" w:eastAsia="宋体" w:cs="Times New Roman"/>
                <w:color w:val="auto"/>
                <w:sz w:val="21"/>
                <w:szCs w:val="21"/>
                <w:u w:val="none" w:color="auto"/>
                <w:lang w:val="en-US" w:eastAsia="zh-CN"/>
              </w:rPr>
              <w:t>照监测计划要求开展</w:t>
            </w:r>
            <w:r>
              <w:rPr>
                <w:rFonts w:hint="default" w:ascii="Times New Roman" w:hAnsi="Times New Roman" w:eastAsia="宋体" w:cs="Times New Roman"/>
                <w:color w:val="auto"/>
                <w:sz w:val="21"/>
                <w:szCs w:val="21"/>
                <w:u w:val="none" w:color="auto"/>
              </w:rPr>
              <w:t>自行监测。</w:t>
            </w:r>
          </w:p>
          <w:p w14:paraId="7370EEA0">
            <w:pPr>
              <w:pStyle w:val="31"/>
              <w:rPr>
                <w:rFonts w:hint="default" w:ascii="Times New Roman" w:hAnsi="Times New Roman" w:eastAsia="宋体" w:cs="Times New Roman"/>
                <w:color w:val="auto"/>
                <w:sz w:val="21"/>
                <w:szCs w:val="21"/>
                <w:u w:val="none" w:color="auto"/>
              </w:rPr>
            </w:pPr>
          </w:p>
          <w:p w14:paraId="6CD96F22">
            <w:pPr>
              <w:pStyle w:val="31"/>
              <w:rPr>
                <w:rFonts w:hint="default" w:ascii="Times New Roman" w:hAnsi="Times New Roman" w:eastAsia="宋体" w:cs="Times New Roman"/>
                <w:color w:val="auto"/>
                <w:sz w:val="21"/>
                <w:szCs w:val="21"/>
                <w:u w:val="none" w:color="auto"/>
              </w:rPr>
            </w:pPr>
          </w:p>
          <w:p w14:paraId="31F0CCB6">
            <w:pPr>
              <w:pStyle w:val="31"/>
              <w:rPr>
                <w:rFonts w:hint="default" w:ascii="Times New Roman" w:hAnsi="Times New Roman" w:eastAsia="宋体" w:cs="Times New Roman"/>
                <w:color w:val="auto"/>
                <w:sz w:val="21"/>
                <w:szCs w:val="21"/>
                <w:u w:val="none" w:color="auto"/>
              </w:rPr>
            </w:pPr>
          </w:p>
          <w:p w14:paraId="65EC970D">
            <w:pPr>
              <w:pStyle w:val="31"/>
              <w:rPr>
                <w:rFonts w:hint="default" w:ascii="Times New Roman" w:hAnsi="Times New Roman" w:eastAsia="宋体" w:cs="Times New Roman"/>
                <w:color w:val="auto"/>
                <w:sz w:val="21"/>
                <w:szCs w:val="21"/>
                <w:u w:val="none" w:color="auto"/>
              </w:rPr>
            </w:pPr>
          </w:p>
          <w:p w14:paraId="0B2AF1B9">
            <w:pPr>
              <w:pStyle w:val="31"/>
              <w:rPr>
                <w:rFonts w:hint="default" w:ascii="Times New Roman" w:hAnsi="Times New Roman" w:eastAsia="宋体" w:cs="Times New Roman"/>
                <w:color w:val="auto"/>
                <w:sz w:val="21"/>
                <w:szCs w:val="21"/>
                <w:u w:val="none" w:color="auto"/>
              </w:rPr>
            </w:pPr>
          </w:p>
          <w:p w14:paraId="73411427">
            <w:pPr>
              <w:pStyle w:val="31"/>
              <w:rPr>
                <w:rFonts w:hint="default" w:ascii="Times New Roman" w:hAnsi="Times New Roman" w:eastAsia="宋体" w:cs="Times New Roman"/>
                <w:color w:val="auto"/>
                <w:sz w:val="21"/>
                <w:szCs w:val="21"/>
                <w:u w:val="none" w:color="auto"/>
              </w:rPr>
            </w:pPr>
          </w:p>
        </w:tc>
      </w:tr>
    </w:tbl>
    <w:p w14:paraId="049C1824">
      <w:pPr>
        <w:pStyle w:val="23"/>
        <w:outlineLvl w:val="9"/>
        <w:rPr>
          <w:rFonts w:ascii="Times New Roman" w:hAnsi="Times New Roman" w:cs="Times New Roman"/>
          <w:b/>
          <w:bCs/>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sectPr>
      </w:pPr>
    </w:p>
    <w:p w14:paraId="57FD691F">
      <w:pPr>
        <w:pStyle w:val="23"/>
        <w:jc w:val="center"/>
        <w:outlineLvl w:val="0"/>
        <w:rPr>
          <w:rFonts w:ascii="Times New Roman" w:hAnsi="Times New Roman" w:cs="Times New Roman"/>
          <w:b/>
          <w:bCs/>
          <w:snapToGrid w:val="0"/>
          <w:color w:val="auto"/>
          <w:sz w:val="30"/>
          <w:szCs w:val="30"/>
          <w:u w:val="none"/>
        </w:rPr>
      </w:pPr>
      <w:bookmarkStart w:id="23" w:name="_Toc2859"/>
      <w:r>
        <w:rPr>
          <w:rFonts w:ascii="Times New Roman" w:hAnsi="Times New Roman" w:cs="Times New Roman"/>
          <w:b/>
          <w:bCs/>
          <w:snapToGrid w:val="0"/>
          <w:color w:val="auto"/>
          <w:sz w:val="30"/>
          <w:szCs w:val="30"/>
          <w:u w:val="none"/>
        </w:rPr>
        <w:t>六、结论</w:t>
      </w:r>
      <w:bookmarkEnd w:id="23"/>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4463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25" w:hRule="atLeast"/>
          <w:jc w:val="center"/>
        </w:trPr>
        <w:tc>
          <w:tcPr>
            <w:tcW w:w="8865" w:type="dxa"/>
            <w:tcBorders>
              <w:tl2br w:val="nil"/>
              <w:tr2bl w:val="nil"/>
            </w:tcBorders>
            <w:vAlign w:val="center"/>
          </w:tcPr>
          <w:p w14:paraId="0F49337E">
            <w:pPr>
              <w:spacing w:line="360" w:lineRule="auto"/>
              <w:ind w:firstLine="424" w:firstLineChars="177"/>
              <w:jc w:val="both"/>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lang w:eastAsia="zh-CN"/>
              </w:rPr>
              <w:t>湖南茂源建材有限公司</w:t>
            </w:r>
            <w:r>
              <w:rPr>
                <w:rFonts w:hint="eastAsia" w:ascii="Times New Roman" w:hAnsi="Times New Roman" w:eastAsia="宋体" w:cs="Times New Roman"/>
                <w:color w:val="auto"/>
                <w:sz w:val="24"/>
                <w:szCs w:val="24"/>
                <w:u w:val="none"/>
                <w:lang w:val="en-US" w:eastAsia="zh-CN"/>
              </w:rPr>
              <w:t>建材混凝土搅拌站建设项目（年生产商品混凝土60万m3）</w:t>
            </w:r>
            <w:r>
              <w:rPr>
                <w:rFonts w:hint="default" w:ascii="Times New Roman" w:hAnsi="Times New Roman" w:eastAsia="宋体" w:cs="Times New Roman"/>
                <w:color w:val="auto"/>
                <w:sz w:val="24"/>
                <w:szCs w:val="24"/>
                <w:u w:val="none"/>
              </w:rPr>
              <w:t>符合岳阳市人民政府关于实施岳阳市“三线一单”生态环境分区管控的意见、</w:t>
            </w:r>
            <w:r>
              <w:rPr>
                <w:rFonts w:hint="default" w:ascii="Times New Roman" w:hAnsi="Times New Roman" w:eastAsia="宋体" w:cs="Times New Roman"/>
                <w:color w:val="auto"/>
                <w:sz w:val="24"/>
                <w:szCs w:val="24"/>
                <w:u w:val="none"/>
                <w:lang w:val="en-US" w:eastAsia="zh-CN"/>
              </w:rPr>
              <w:t>环境功能区划、</w:t>
            </w:r>
            <w:r>
              <w:rPr>
                <w:rFonts w:hint="default" w:ascii="Times New Roman" w:hAnsi="Times New Roman" w:eastAsia="宋体" w:cs="Times New Roman"/>
                <w:color w:val="auto"/>
                <w:kern w:val="0"/>
                <w:sz w:val="24"/>
                <w:szCs w:val="24"/>
                <w:u w:val="none"/>
              </w:rPr>
              <w:t>《岳阳市预拌商品混凝土专项规划（2023-2027年）》</w:t>
            </w:r>
            <w:r>
              <w:rPr>
                <w:rFonts w:hint="default"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岳建函</w:t>
            </w:r>
            <w:r>
              <w:rPr>
                <w:rFonts w:hint="default"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2023</w:t>
            </w:r>
            <w:r>
              <w:rPr>
                <w:rFonts w:hint="default"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49号</w:t>
            </w:r>
            <w:r>
              <w:rPr>
                <w:rFonts w:hint="default" w:ascii="Times New Roman" w:hAnsi="Times New Roman" w:eastAsia="宋体" w:cs="Times New Roman"/>
                <w:color w:val="auto"/>
                <w:kern w:val="0"/>
                <w:sz w:val="24"/>
                <w:szCs w:val="24"/>
                <w:u w:val="none"/>
                <w:lang w:eastAsia="zh-CN"/>
              </w:rPr>
              <w:t>）的</w:t>
            </w:r>
            <w:r>
              <w:rPr>
                <w:rFonts w:hint="default" w:ascii="Times New Roman" w:hAnsi="Times New Roman" w:eastAsia="宋体" w:cs="Times New Roman"/>
                <w:color w:val="auto"/>
                <w:kern w:val="0"/>
                <w:sz w:val="24"/>
                <w:szCs w:val="24"/>
                <w:u w:val="none"/>
              </w:rPr>
              <w:t>要求，运营期间产生的各类污染物</w:t>
            </w:r>
            <w:r>
              <w:rPr>
                <w:rFonts w:hint="default" w:ascii="Times New Roman" w:hAnsi="Times New Roman" w:eastAsia="宋体" w:cs="Times New Roman"/>
                <w:color w:val="auto"/>
                <w:sz w:val="24"/>
                <w:szCs w:val="24"/>
                <w:u w:val="none"/>
              </w:rPr>
              <w:t>在全面落实本报告表提出的各项环境保护措施的基础上，切实做到“三同时”，并在</w:t>
            </w:r>
            <w:r>
              <w:rPr>
                <w:rFonts w:hint="eastAsia" w:ascii="Times New Roman" w:hAnsi="Times New Roman" w:eastAsia="宋体" w:cs="Times New Roman"/>
                <w:color w:val="auto"/>
                <w:sz w:val="24"/>
                <w:szCs w:val="24"/>
                <w:u w:val="none"/>
                <w:lang w:eastAsia="zh-CN"/>
              </w:rPr>
              <w:t>运营</w:t>
            </w:r>
            <w:r>
              <w:rPr>
                <w:rFonts w:hint="default" w:ascii="Times New Roman" w:hAnsi="Times New Roman" w:eastAsia="宋体" w:cs="Times New Roman"/>
                <w:color w:val="auto"/>
                <w:sz w:val="24"/>
                <w:szCs w:val="24"/>
                <w:u w:val="none"/>
              </w:rPr>
              <w:t>期内持之以恒加强环境管理的前提下，从环境保护角度，本项目建设可行。</w:t>
            </w:r>
          </w:p>
        </w:tc>
      </w:tr>
    </w:tbl>
    <w:p w14:paraId="1FB1AA9D">
      <w:pPr>
        <w:widowControl/>
        <w:spacing w:line="360" w:lineRule="auto"/>
        <w:jc w:val="left"/>
        <w:rPr>
          <w:rFonts w:ascii="Times New Roman" w:hAnsi="Times New Roman" w:eastAsia="宋体" w:cs="Times New Roman"/>
          <w:color w:val="auto"/>
          <w:sz w:val="24"/>
          <w:szCs w:val="24"/>
          <w:u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sectPr>
      </w:pPr>
    </w:p>
    <w:p w14:paraId="2B71D5C4">
      <w:pPr>
        <w:pStyle w:val="23"/>
        <w:adjustRightInd w:val="0"/>
        <w:snapToGrid w:val="0"/>
        <w:spacing w:before="0" w:beforeAutospacing="0" w:after="0" w:afterAutospacing="0"/>
        <w:rPr>
          <w:rFonts w:ascii="Times New Roman" w:hAnsi="Times New Roman" w:cs="Times New Roman"/>
          <w:b/>
          <w:bCs/>
          <w:snapToGrid w:val="0"/>
          <w:color w:val="auto"/>
          <w:kern w:val="0"/>
          <w:sz w:val="28"/>
          <w:szCs w:val="28"/>
          <w:u w:val="none"/>
        </w:rPr>
      </w:pPr>
      <w:r>
        <w:rPr>
          <w:rFonts w:ascii="Times New Roman" w:hAnsi="Times New Roman" w:cs="Times New Roman"/>
          <w:b/>
          <w:bCs/>
          <w:snapToGrid w:val="0"/>
          <w:color w:val="auto"/>
          <w:sz w:val="28"/>
          <w:szCs w:val="28"/>
          <w:u w:val="none"/>
        </w:rPr>
        <w:t>附表</w:t>
      </w:r>
    </w:p>
    <w:p w14:paraId="0C4C8B48">
      <w:pPr>
        <w:pStyle w:val="23"/>
        <w:adjustRightInd w:val="0"/>
        <w:snapToGrid w:val="0"/>
        <w:spacing w:before="0" w:beforeAutospacing="0" w:after="0" w:afterAutospacing="0"/>
        <w:jc w:val="center"/>
        <w:outlineLvl w:val="0"/>
        <w:rPr>
          <w:rFonts w:ascii="Times New Roman" w:hAnsi="Times New Roman" w:cs="Times New Roman"/>
          <w:b/>
          <w:bCs/>
          <w:snapToGrid w:val="0"/>
          <w:color w:val="auto"/>
          <w:sz w:val="36"/>
          <w:szCs w:val="36"/>
          <w:u w:val="none"/>
        </w:rPr>
      </w:pPr>
      <w:bookmarkStart w:id="24" w:name="_Toc22793"/>
      <w:r>
        <w:rPr>
          <w:rFonts w:ascii="Times New Roman" w:hAnsi="Times New Roman" w:cs="Times New Roman"/>
          <w:b/>
          <w:bCs/>
          <w:snapToGrid w:val="0"/>
          <w:color w:val="auto"/>
          <w:sz w:val="36"/>
          <w:szCs w:val="36"/>
          <w:u w:val="none"/>
        </w:rPr>
        <w:t>建设项目污染物排放量汇总表</w:t>
      </w:r>
      <w:bookmarkEnd w:id="24"/>
    </w:p>
    <w:p w14:paraId="6E7DD0D7">
      <w:pPr>
        <w:pStyle w:val="23"/>
        <w:wordWrap w:val="0"/>
        <w:adjustRightInd w:val="0"/>
        <w:snapToGrid w:val="0"/>
        <w:spacing w:before="0" w:beforeAutospacing="0" w:after="0" w:afterAutospacing="0"/>
        <w:jc w:val="right"/>
        <w:rPr>
          <w:rFonts w:hint="default" w:ascii="Times New Roman" w:hAnsi="Times New Roman" w:eastAsia="宋体"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u w:val="none"/>
          <w:lang w:val="en-US" w:eastAsia="zh-CN"/>
        </w:rPr>
        <w:t xml:space="preserve">             单位：t/a          </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6"/>
        <w:gridCol w:w="1532"/>
        <w:gridCol w:w="1276"/>
        <w:gridCol w:w="1701"/>
        <w:gridCol w:w="1559"/>
        <w:gridCol w:w="1761"/>
        <w:gridCol w:w="1959"/>
        <w:gridCol w:w="826"/>
      </w:tblGrid>
      <w:tr w14:paraId="48C09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nil"/>
              <w:tr2bl w:val="nil"/>
            </w:tcBorders>
            <w:tcMar>
              <w:top w:w="0" w:type="dxa"/>
              <w:left w:w="28" w:type="dxa"/>
              <w:bottom w:w="0" w:type="dxa"/>
              <w:right w:w="28" w:type="dxa"/>
            </w:tcMar>
            <w:vAlign w:val="center"/>
          </w:tcPr>
          <w:p w14:paraId="79D08A5A">
            <w:pPr>
              <w:pStyle w:val="38"/>
              <w:spacing w:before="31" w:line="240" w:lineRule="auto"/>
              <w:jc w:val="right"/>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项目</w:t>
            </w:r>
          </w:p>
          <w:p w14:paraId="44F1368A">
            <w:pPr>
              <w:pStyle w:val="38"/>
              <w:spacing w:before="31" w:line="240" w:lineRule="auto"/>
              <w:jc w:val="left"/>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分类</w:t>
            </w:r>
          </w:p>
        </w:tc>
        <w:tc>
          <w:tcPr>
            <w:tcW w:w="1586" w:type="dxa"/>
            <w:tcBorders>
              <w:tl2br w:val="nil"/>
              <w:tr2bl w:val="nil"/>
            </w:tcBorders>
            <w:tcMar>
              <w:top w:w="0" w:type="dxa"/>
              <w:left w:w="28" w:type="dxa"/>
              <w:bottom w:w="0" w:type="dxa"/>
              <w:right w:w="28" w:type="dxa"/>
            </w:tcMar>
            <w:vAlign w:val="center"/>
          </w:tcPr>
          <w:p w14:paraId="10FA9288">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污染物名称</w:t>
            </w:r>
          </w:p>
        </w:tc>
        <w:tc>
          <w:tcPr>
            <w:tcW w:w="1532" w:type="dxa"/>
            <w:tcBorders>
              <w:tl2br w:val="nil"/>
              <w:tr2bl w:val="nil"/>
            </w:tcBorders>
            <w:tcMar>
              <w:top w:w="0" w:type="dxa"/>
              <w:left w:w="28" w:type="dxa"/>
              <w:bottom w:w="0" w:type="dxa"/>
              <w:right w:w="28" w:type="dxa"/>
            </w:tcMar>
            <w:vAlign w:val="center"/>
          </w:tcPr>
          <w:p w14:paraId="49634F8B">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现有工程</w:t>
            </w:r>
          </w:p>
          <w:p w14:paraId="2898CC09">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排放量（固体废物产生量）</w:t>
            </w:r>
            <w:r>
              <w:rPr>
                <w:rFonts w:hint="default" w:ascii="Times New Roman" w:hAnsi="Times New Roman" w:eastAsia="宋体" w:cs="Times New Roman"/>
                <w:snapToGrid w:val="0"/>
                <w:color w:val="auto"/>
                <w:spacing w:val="-6"/>
                <w:kern w:val="21"/>
                <w:sz w:val="21"/>
                <w:szCs w:val="21"/>
                <w:u w:val="none"/>
              </w:rPr>
              <w:fldChar w:fldCharType="begin"/>
            </w:r>
            <w:r>
              <w:rPr>
                <w:rFonts w:hint="default" w:ascii="Times New Roman" w:hAnsi="Times New Roman" w:eastAsia="宋体" w:cs="Times New Roman"/>
                <w:snapToGrid w:val="0"/>
                <w:color w:val="auto"/>
                <w:spacing w:val="-6"/>
                <w:kern w:val="21"/>
                <w:sz w:val="21"/>
                <w:szCs w:val="21"/>
                <w:u w:val="none"/>
              </w:rPr>
              <w:instrText xml:space="preserve"> = 1 \* GB3 \* MERGEFORMAT </w:instrText>
            </w:r>
            <w:r>
              <w:rPr>
                <w:rFonts w:hint="default" w:ascii="Times New Roman" w:hAnsi="Times New Roman" w:eastAsia="宋体" w:cs="Times New Roman"/>
                <w:snapToGrid w:val="0"/>
                <w:color w:val="auto"/>
                <w:spacing w:val="-6"/>
                <w:kern w:val="21"/>
                <w:sz w:val="21"/>
                <w:szCs w:val="21"/>
                <w:u w:val="none"/>
              </w:rPr>
              <w:fldChar w:fldCharType="separate"/>
            </w:r>
            <w:r>
              <w:rPr>
                <w:rFonts w:hint="default" w:ascii="Times New Roman" w:hAnsi="Times New Roman" w:eastAsia="宋体" w:cs="Times New Roman"/>
                <w:color w:val="auto"/>
                <w:sz w:val="21"/>
                <w:szCs w:val="21"/>
                <w:u w:val="none"/>
              </w:rPr>
              <w:t>①</w:t>
            </w:r>
            <w:r>
              <w:rPr>
                <w:rFonts w:hint="default" w:ascii="Times New Roman" w:hAnsi="Times New Roman" w:eastAsia="宋体" w:cs="Times New Roman"/>
                <w:snapToGrid w:val="0"/>
                <w:color w:val="auto"/>
                <w:spacing w:val="-6"/>
                <w:kern w:val="21"/>
                <w:sz w:val="21"/>
                <w:szCs w:val="21"/>
                <w:u w:val="none"/>
              </w:rPr>
              <w:fldChar w:fldCharType="end"/>
            </w:r>
          </w:p>
        </w:tc>
        <w:tc>
          <w:tcPr>
            <w:tcW w:w="1276" w:type="dxa"/>
            <w:tcBorders>
              <w:tl2br w:val="nil"/>
              <w:tr2bl w:val="nil"/>
            </w:tcBorders>
            <w:tcMar>
              <w:top w:w="0" w:type="dxa"/>
              <w:left w:w="28" w:type="dxa"/>
              <w:bottom w:w="0" w:type="dxa"/>
              <w:right w:w="28" w:type="dxa"/>
            </w:tcMar>
            <w:vAlign w:val="center"/>
          </w:tcPr>
          <w:p w14:paraId="1CA1555C">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现有工程</w:t>
            </w:r>
          </w:p>
          <w:p w14:paraId="111EE403">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许可排放量</w:t>
            </w:r>
          </w:p>
          <w:p w14:paraId="47DE1E29">
            <w:pPr>
              <w:pStyle w:val="38"/>
              <w:spacing w:before="31"/>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fldChar w:fldCharType="begin"/>
            </w:r>
            <w:r>
              <w:rPr>
                <w:rFonts w:hint="default" w:ascii="Times New Roman" w:hAnsi="Times New Roman" w:eastAsia="宋体" w:cs="Times New Roman"/>
                <w:snapToGrid w:val="0"/>
                <w:color w:val="auto"/>
                <w:spacing w:val="-6"/>
                <w:kern w:val="21"/>
                <w:sz w:val="21"/>
                <w:szCs w:val="21"/>
                <w:u w:val="none"/>
              </w:rPr>
              <w:instrText xml:space="preserve"> = 2 \* GB3 \* MERGEFORMAT </w:instrText>
            </w:r>
            <w:r>
              <w:rPr>
                <w:rFonts w:hint="default" w:ascii="Times New Roman" w:hAnsi="Times New Roman" w:eastAsia="宋体" w:cs="Times New Roman"/>
                <w:snapToGrid w:val="0"/>
                <w:color w:val="auto"/>
                <w:spacing w:val="-6"/>
                <w:kern w:val="21"/>
                <w:sz w:val="21"/>
                <w:szCs w:val="21"/>
                <w:u w:val="none"/>
              </w:rPr>
              <w:fldChar w:fldCharType="separate"/>
            </w:r>
            <w:r>
              <w:rPr>
                <w:rFonts w:hint="default" w:ascii="Times New Roman" w:hAnsi="Times New Roman" w:eastAsia="宋体" w:cs="Times New Roman"/>
                <w:snapToGrid w:val="0"/>
                <w:color w:val="auto"/>
                <w:spacing w:val="-6"/>
                <w:kern w:val="21"/>
                <w:sz w:val="21"/>
                <w:szCs w:val="21"/>
                <w:u w:val="none"/>
              </w:rPr>
              <w:t>②</w:t>
            </w:r>
            <w:r>
              <w:rPr>
                <w:rFonts w:hint="default" w:ascii="Times New Roman" w:hAnsi="Times New Roman" w:eastAsia="宋体" w:cs="Times New Roman"/>
                <w:snapToGrid w:val="0"/>
                <w:color w:val="auto"/>
                <w:spacing w:val="-6"/>
                <w:kern w:val="21"/>
                <w:sz w:val="21"/>
                <w:szCs w:val="21"/>
                <w:u w:val="none"/>
              </w:rPr>
              <w:fldChar w:fldCharType="end"/>
            </w:r>
          </w:p>
        </w:tc>
        <w:tc>
          <w:tcPr>
            <w:tcW w:w="1701" w:type="dxa"/>
            <w:tcBorders>
              <w:tl2br w:val="nil"/>
              <w:tr2bl w:val="nil"/>
            </w:tcBorders>
            <w:tcMar>
              <w:top w:w="0" w:type="dxa"/>
              <w:left w:w="28" w:type="dxa"/>
              <w:bottom w:w="0" w:type="dxa"/>
              <w:right w:w="28" w:type="dxa"/>
            </w:tcMar>
            <w:vAlign w:val="center"/>
          </w:tcPr>
          <w:p w14:paraId="2D23826B">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在建工程</w:t>
            </w:r>
          </w:p>
          <w:p w14:paraId="0D0AD0B5">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排放量（固体废物产生量）</w:t>
            </w:r>
            <w:r>
              <w:rPr>
                <w:rFonts w:hint="default" w:ascii="Times New Roman" w:hAnsi="Times New Roman" w:eastAsia="宋体" w:cs="Times New Roman"/>
                <w:snapToGrid w:val="0"/>
                <w:color w:val="auto"/>
                <w:spacing w:val="-6"/>
                <w:kern w:val="21"/>
                <w:sz w:val="21"/>
                <w:szCs w:val="21"/>
                <w:u w:val="none"/>
              </w:rPr>
              <w:fldChar w:fldCharType="begin"/>
            </w:r>
            <w:r>
              <w:rPr>
                <w:rFonts w:hint="default" w:ascii="Times New Roman" w:hAnsi="Times New Roman" w:eastAsia="宋体" w:cs="Times New Roman"/>
                <w:snapToGrid w:val="0"/>
                <w:color w:val="auto"/>
                <w:spacing w:val="-6"/>
                <w:kern w:val="21"/>
                <w:sz w:val="21"/>
                <w:szCs w:val="21"/>
                <w:u w:val="none"/>
              </w:rPr>
              <w:instrText xml:space="preserve"> = 3 \* GB3 \* MERGEFORMAT </w:instrText>
            </w:r>
            <w:r>
              <w:rPr>
                <w:rFonts w:hint="default" w:ascii="Times New Roman" w:hAnsi="Times New Roman" w:eastAsia="宋体" w:cs="Times New Roman"/>
                <w:snapToGrid w:val="0"/>
                <w:color w:val="auto"/>
                <w:spacing w:val="-6"/>
                <w:kern w:val="21"/>
                <w:sz w:val="21"/>
                <w:szCs w:val="21"/>
                <w:u w:val="none"/>
              </w:rPr>
              <w:fldChar w:fldCharType="separate"/>
            </w:r>
            <w:r>
              <w:rPr>
                <w:rFonts w:hint="default" w:ascii="Times New Roman" w:hAnsi="Times New Roman" w:eastAsia="宋体" w:cs="Times New Roman"/>
                <w:color w:val="auto"/>
                <w:sz w:val="21"/>
                <w:szCs w:val="21"/>
                <w:u w:val="none"/>
              </w:rPr>
              <w:t>③</w:t>
            </w:r>
            <w:r>
              <w:rPr>
                <w:rFonts w:hint="default" w:ascii="Times New Roman" w:hAnsi="Times New Roman" w:eastAsia="宋体" w:cs="Times New Roman"/>
                <w:snapToGrid w:val="0"/>
                <w:color w:val="auto"/>
                <w:spacing w:val="-6"/>
                <w:kern w:val="21"/>
                <w:sz w:val="21"/>
                <w:szCs w:val="21"/>
                <w:u w:val="none"/>
              </w:rPr>
              <w:fldChar w:fldCharType="end"/>
            </w:r>
          </w:p>
        </w:tc>
        <w:tc>
          <w:tcPr>
            <w:tcW w:w="1559" w:type="dxa"/>
            <w:tcBorders>
              <w:tl2br w:val="nil"/>
              <w:tr2bl w:val="nil"/>
            </w:tcBorders>
            <w:tcMar>
              <w:top w:w="0" w:type="dxa"/>
              <w:left w:w="28" w:type="dxa"/>
              <w:bottom w:w="0" w:type="dxa"/>
              <w:right w:w="28" w:type="dxa"/>
            </w:tcMar>
            <w:vAlign w:val="center"/>
          </w:tcPr>
          <w:p w14:paraId="0409F87A">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本项目</w:t>
            </w:r>
          </w:p>
          <w:p w14:paraId="3A957AF8">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排放量（固体废物产生量）</w:t>
            </w:r>
            <w:r>
              <w:rPr>
                <w:rFonts w:hint="default" w:ascii="Times New Roman" w:hAnsi="Times New Roman" w:eastAsia="宋体" w:cs="Times New Roman"/>
                <w:snapToGrid w:val="0"/>
                <w:color w:val="auto"/>
                <w:spacing w:val="-6"/>
                <w:kern w:val="21"/>
                <w:sz w:val="21"/>
                <w:szCs w:val="21"/>
                <w:u w:val="none"/>
              </w:rPr>
              <w:fldChar w:fldCharType="begin"/>
            </w:r>
            <w:r>
              <w:rPr>
                <w:rFonts w:hint="default" w:ascii="Times New Roman" w:hAnsi="Times New Roman" w:eastAsia="宋体" w:cs="Times New Roman"/>
                <w:snapToGrid w:val="0"/>
                <w:color w:val="auto"/>
                <w:spacing w:val="-6"/>
                <w:kern w:val="21"/>
                <w:sz w:val="21"/>
                <w:szCs w:val="21"/>
                <w:u w:val="none"/>
              </w:rPr>
              <w:instrText xml:space="preserve"> = 4 \* GB3 \* MERGEFORMAT </w:instrText>
            </w:r>
            <w:r>
              <w:rPr>
                <w:rFonts w:hint="default" w:ascii="Times New Roman" w:hAnsi="Times New Roman" w:eastAsia="宋体" w:cs="Times New Roman"/>
                <w:snapToGrid w:val="0"/>
                <w:color w:val="auto"/>
                <w:spacing w:val="-6"/>
                <w:kern w:val="21"/>
                <w:sz w:val="21"/>
                <w:szCs w:val="21"/>
                <w:u w:val="none"/>
              </w:rPr>
              <w:fldChar w:fldCharType="separate"/>
            </w:r>
            <w:r>
              <w:rPr>
                <w:rFonts w:hint="default" w:ascii="Times New Roman" w:hAnsi="Times New Roman" w:eastAsia="宋体" w:cs="Times New Roman"/>
                <w:color w:val="auto"/>
                <w:sz w:val="21"/>
                <w:szCs w:val="21"/>
                <w:u w:val="none"/>
              </w:rPr>
              <w:t>④</w:t>
            </w:r>
            <w:r>
              <w:rPr>
                <w:rFonts w:hint="default" w:ascii="Times New Roman" w:hAnsi="Times New Roman" w:eastAsia="宋体" w:cs="Times New Roman"/>
                <w:snapToGrid w:val="0"/>
                <w:color w:val="auto"/>
                <w:spacing w:val="-6"/>
                <w:kern w:val="21"/>
                <w:sz w:val="21"/>
                <w:szCs w:val="21"/>
                <w:u w:val="none"/>
              </w:rPr>
              <w:fldChar w:fldCharType="end"/>
            </w:r>
          </w:p>
        </w:tc>
        <w:tc>
          <w:tcPr>
            <w:tcW w:w="1761" w:type="dxa"/>
            <w:tcBorders>
              <w:tl2br w:val="nil"/>
              <w:tr2bl w:val="nil"/>
            </w:tcBorders>
            <w:tcMar>
              <w:top w:w="0" w:type="dxa"/>
              <w:left w:w="28" w:type="dxa"/>
              <w:bottom w:w="0" w:type="dxa"/>
              <w:right w:w="28" w:type="dxa"/>
            </w:tcMar>
            <w:vAlign w:val="center"/>
          </w:tcPr>
          <w:p w14:paraId="0F411E21">
            <w:pPr>
              <w:pStyle w:val="38"/>
              <w:spacing w:before="31" w:line="240" w:lineRule="auto"/>
              <w:rPr>
                <w:rFonts w:hint="default" w:ascii="Times New Roman" w:hAnsi="Times New Roman" w:eastAsia="宋体" w:cs="Times New Roman"/>
                <w:snapToGrid w:val="0"/>
                <w:color w:val="auto"/>
                <w:spacing w:val="-16"/>
                <w:kern w:val="21"/>
                <w:sz w:val="21"/>
                <w:szCs w:val="21"/>
                <w:u w:val="none"/>
              </w:rPr>
            </w:pPr>
            <w:r>
              <w:rPr>
                <w:rFonts w:hint="default" w:ascii="Times New Roman" w:hAnsi="Times New Roman" w:eastAsia="宋体" w:cs="Times New Roman"/>
                <w:snapToGrid w:val="0"/>
                <w:color w:val="auto"/>
                <w:spacing w:val="-16"/>
                <w:kern w:val="21"/>
                <w:sz w:val="21"/>
                <w:szCs w:val="21"/>
                <w:u w:val="none"/>
              </w:rPr>
              <w:t>以新带老削减量</w:t>
            </w:r>
          </w:p>
          <w:p w14:paraId="1DCDD35C">
            <w:pPr>
              <w:pStyle w:val="38"/>
              <w:spacing w:before="31" w:line="240" w:lineRule="auto"/>
              <w:rPr>
                <w:rFonts w:hint="default" w:ascii="Times New Roman" w:hAnsi="Times New Roman" w:eastAsia="宋体" w:cs="Times New Roman"/>
                <w:snapToGrid w:val="0"/>
                <w:color w:val="auto"/>
                <w:spacing w:val="-16"/>
                <w:kern w:val="21"/>
                <w:sz w:val="21"/>
                <w:szCs w:val="21"/>
                <w:u w:val="none"/>
              </w:rPr>
            </w:pPr>
            <w:r>
              <w:rPr>
                <w:rFonts w:hint="default" w:ascii="Times New Roman" w:hAnsi="Times New Roman" w:eastAsia="宋体" w:cs="Times New Roman"/>
                <w:snapToGrid w:val="0"/>
                <w:color w:val="auto"/>
                <w:spacing w:val="-16"/>
                <w:kern w:val="21"/>
                <w:sz w:val="21"/>
                <w:szCs w:val="21"/>
                <w:u w:val="none"/>
              </w:rPr>
              <w:t>（新建项目不填）</w:t>
            </w:r>
            <w:r>
              <w:rPr>
                <w:rFonts w:hint="default" w:ascii="Times New Roman" w:hAnsi="Times New Roman" w:eastAsia="宋体" w:cs="Times New Roman"/>
                <w:snapToGrid w:val="0"/>
                <w:color w:val="auto"/>
                <w:spacing w:val="-16"/>
                <w:kern w:val="21"/>
                <w:sz w:val="21"/>
                <w:szCs w:val="21"/>
                <w:u w:val="none"/>
              </w:rPr>
              <w:fldChar w:fldCharType="begin"/>
            </w:r>
            <w:r>
              <w:rPr>
                <w:rFonts w:hint="default" w:ascii="Times New Roman" w:hAnsi="Times New Roman" w:eastAsia="宋体" w:cs="Times New Roman"/>
                <w:snapToGrid w:val="0"/>
                <w:color w:val="auto"/>
                <w:spacing w:val="-16"/>
                <w:kern w:val="21"/>
                <w:sz w:val="21"/>
                <w:szCs w:val="21"/>
                <w:u w:val="none"/>
              </w:rPr>
              <w:instrText xml:space="preserve"> = 5 \* GB3 \* MERGEFORMAT </w:instrText>
            </w:r>
            <w:r>
              <w:rPr>
                <w:rFonts w:hint="default" w:ascii="Times New Roman" w:hAnsi="Times New Roman" w:eastAsia="宋体" w:cs="Times New Roman"/>
                <w:snapToGrid w:val="0"/>
                <w:color w:val="auto"/>
                <w:spacing w:val="-16"/>
                <w:kern w:val="21"/>
                <w:sz w:val="21"/>
                <w:szCs w:val="21"/>
                <w:u w:val="none"/>
              </w:rPr>
              <w:fldChar w:fldCharType="separate"/>
            </w:r>
            <w:r>
              <w:rPr>
                <w:rFonts w:hint="default" w:ascii="Times New Roman" w:hAnsi="Times New Roman" w:eastAsia="宋体" w:cs="Times New Roman"/>
                <w:color w:val="auto"/>
                <w:sz w:val="21"/>
                <w:szCs w:val="21"/>
                <w:u w:val="none"/>
              </w:rPr>
              <w:t>⑤</w:t>
            </w:r>
            <w:r>
              <w:rPr>
                <w:rFonts w:hint="default" w:ascii="Times New Roman" w:hAnsi="Times New Roman" w:eastAsia="宋体" w:cs="Times New Roman"/>
                <w:snapToGrid w:val="0"/>
                <w:color w:val="auto"/>
                <w:spacing w:val="-16"/>
                <w:kern w:val="21"/>
                <w:sz w:val="21"/>
                <w:szCs w:val="21"/>
                <w:u w:val="none"/>
              </w:rPr>
              <w:fldChar w:fldCharType="end"/>
            </w:r>
          </w:p>
        </w:tc>
        <w:tc>
          <w:tcPr>
            <w:tcW w:w="1959" w:type="dxa"/>
            <w:tcBorders>
              <w:tl2br w:val="nil"/>
              <w:tr2bl w:val="nil"/>
            </w:tcBorders>
            <w:tcMar>
              <w:top w:w="0" w:type="dxa"/>
              <w:left w:w="28" w:type="dxa"/>
              <w:bottom w:w="0" w:type="dxa"/>
              <w:right w:w="28" w:type="dxa"/>
            </w:tcMar>
            <w:vAlign w:val="center"/>
          </w:tcPr>
          <w:p w14:paraId="1721E519">
            <w:pPr>
              <w:pStyle w:val="38"/>
              <w:spacing w:before="31" w:line="240" w:lineRule="auto"/>
              <w:rPr>
                <w:rFonts w:hint="default" w:ascii="Times New Roman" w:hAnsi="Times New Roman" w:eastAsia="宋体" w:cs="Times New Roman"/>
                <w:snapToGrid w:val="0"/>
                <w:color w:val="auto"/>
                <w:spacing w:val="-16"/>
                <w:kern w:val="21"/>
                <w:sz w:val="21"/>
                <w:szCs w:val="21"/>
                <w:u w:val="none"/>
              </w:rPr>
            </w:pPr>
            <w:r>
              <w:rPr>
                <w:rFonts w:hint="default" w:ascii="Times New Roman" w:hAnsi="Times New Roman" w:eastAsia="宋体" w:cs="Times New Roman"/>
                <w:snapToGrid w:val="0"/>
                <w:color w:val="auto"/>
                <w:spacing w:val="-16"/>
                <w:kern w:val="21"/>
                <w:sz w:val="21"/>
                <w:szCs w:val="21"/>
                <w:u w:val="none"/>
              </w:rPr>
              <w:t>本项目建成后</w:t>
            </w:r>
          </w:p>
          <w:p w14:paraId="5DAC7E15">
            <w:pPr>
              <w:pStyle w:val="38"/>
              <w:spacing w:before="31" w:line="240" w:lineRule="auto"/>
              <w:rPr>
                <w:rFonts w:hint="default" w:ascii="Times New Roman" w:hAnsi="Times New Roman" w:eastAsia="宋体" w:cs="Times New Roman"/>
                <w:snapToGrid w:val="0"/>
                <w:color w:val="auto"/>
                <w:spacing w:val="-16"/>
                <w:kern w:val="21"/>
                <w:sz w:val="21"/>
                <w:szCs w:val="21"/>
                <w:u w:val="none"/>
              </w:rPr>
            </w:pPr>
            <w:r>
              <w:rPr>
                <w:rFonts w:hint="default" w:ascii="Times New Roman" w:hAnsi="Times New Roman" w:eastAsia="宋体" w:cs="Times New Roman"/>
                <w:snapToGrid w:val="0"/>
                <w:color w:val="auto"/>
                <w:spacing w:val="-16"/>
                <w:kern w:val="21"/>
                <w:sz w:val="21"/>
                <w:szCs w:val="21"/>
                <w:u w:val="none"/>
              </w:rPr>
              <w:t>全厂排放量（固体废物产生量）</w:t>
            </w:r>
            <w:r>
              <w:rPr>
                <w:rFonts w:hint="default" w:ascii="Times New Roman" w:hAnsi="Times New Roman" w:eastAsia="宋体" w:cs="Times New Roman"/>
                <w:snapToGrid w:val="0"/>
                <w:color w:val="auto"/>
                <w:spacing w:val="-16"/>
                <w:kern w:val="21"/>
                <w:sz w:val="21"/>
                <w:szCs w:val="21"/>
                <w:u w:val="none"/>
              </w:rPr>
              <w:fldChar w:fldCharType="begin"/>
            </w:r>
            <w:r>
              <w:rPr>
                <w:rFonts w:hint="default" w:ascii="Times New Roman" w:hAnsi="Times New Roman" w:eastAsia="宋体" w:cs="Times New Roman"/>
                <w:snapToGrid w:val="0"/>
                <w:color w:val="auto"/>
                <w:spacing w:val="-16"/>
                <w:kern w:val="21"/>
                <w:sz w:val="21"/>
                <w:szCs w:val="21"/>
                <w:u w:val="none"/>
              </w:rPr>
              <w:instrText xml:space="preserve"> = 6 \* GB3 \* MERGEFORMAT </w:instrText>
            </w:r>
            <w:r>
              <w:rPr>
                <w:rFonts w:hint="default" w:ascii="Times New Roman" w:hAnsi="Times New Roman" w:eastAsia="宋体" w:cs="Times New Roman"/>
                <w:snapToGrid w:val="0"/>
                <w:color w:val="auto"/>
                <w:spacing w:val="-16"/>
                <w:kern w:val="21"/>
                <w:sz w:val="21"/>
                <w:szCs w:val="21"/>
                <w:u w:val="none"/>
              </w:rPr>
              <w:fldChar w:fldCharType="separate"/>
            </w:r>
            <w:r>
              <w:rPr>
                <w:rFonts w:hint="default" w:ascii="Times New Roman" w:hAnsi="Times New Roman" w:eastAsia="宋体" w:cs="Times New Roman"/>
                <w:color w:val="auto"/>
                <w:sz w:val="21"/>
                <w:szCs w:val="21"/>
                <w:u w:val="none"/>
              </w:rPr>
              <w:t>⑥</w:t>
            </w:r>
            <w:r>
              <w:rPr>
                <w:rFonts w:hint="default" w:ascii="Times New Roman" w:hAnsi="Times New Roman" w:eastAsia="宋体" w:cs="Times New Roman"/>
                <w:snapToGrid w:val="0"/>
                <w:color w:val="auto"/>
                <w:spacing w:val="-16"/>
                <w:kern w:val="21"/>
                <w:sz w:val="21"/>
                <w:szCs w:val="21"/>
                <w:u w:val="none"/>
              </w:rPr>
              <w:fldChar w:fldCharType="end"/>
            </w:r>
          </w:p>
        </w:tc>
        <w:tc>
          <w:tcPr>
            <w:tcW w:w="826" w:type="dxa"/>
            <w:tcBorders>
              <w:tl2br w:val="nil"/>
              <w:tr2bl w:val="nil"/>
            </w:tcBorders>
            <w:tcMar>
              <w:top w:w="0" w:type="dxa"/>
              <w:left w:w="28" w:type="dxa"/>
              <w:bottom w:w="0" w:type="dxa"/>
              <w:right w:w="28" w:type="dxa"/>
            </w:tcMar>
            <w:vAlign w:val="center"/>
          </w:tcPr>
          <w:p w14:paraId="18BE6EE3">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变化量</w:t>
            </w:r>
          </w:p>
          <w:p w14:paraId="30BE50F9">
            <w:pPr>
              <w:pStyle w:val="38"/>
              <w:spacing w:before="31" w:line="240" w:lineRule="auto"/>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fldChar w:fldCharType="begin"/>
            </w:r>
            <w:r>
              <w:rPr>
                <w:rFonts w:hint="default" w:ascii="Times New Roman" w:hAnsi="Times New Roman" w:eastAsia="宋体" w:cs="Times New Roman"/>
                <w:snapToGrid w:val="0"/>
                <w:color w:val="auto"/>
                <w:spacing w:val="-6"/>
                <w:kern w:val="21"/>
                <w:sz w:val="21"/>
                <w:szCs w:val="21"/>
                <w:u w:val="none"/>
              </w:rPr>
              <w:instrText xml:space="preserve"> = 7 \* GB3 \* MERGEFORMAT </w:instrText>
            </w:r>
            <w:r>
              <w:rPr>
                <w:rFonts w:hint="default" w:ascii="Times New Roman" w:hAnsi="Times New Roman" w:eastAsia="宋体" w:cs="Times New Roman"/>
                <w:snapToGrid w:val="0"/>
                <w:color w:val="auto"/>
                <w:spacing w:val="-6"/>
                <w:kern w:val="21"/>
                <w:sz w:val="21"/>
                <w:szCs w:val="21"/>
                <w:u w:val="none"/>
              </w:rPr>
              <w:fldChar w:fldCharType="separate"/>
            </w:r>
            <w:r>
              <w:rPr>
                <w:rFonts w:hint="default" w:ascii="Times New Roman" w:hAnsi="Times New Roman" w:eastAsia="宋体" w:cs="Times New Roman"/>
                <w:color w:val="auto"/>
                <w:sz w:val="21"/>
                <w:szCs w:val="21"/>
                <w:u w:val="none"/>
              </w:rPr>
              <w:t>⑦</w:t>
            </w:r>
            <w:r>
              <w:rPr>
                <w:rFonts w:hint="default" w:ascii="Times New Roman" w:hAnsi="Times New Roman" w:eastAsia="宋体" w:cs="Times New Roman"/>
                <w:snapToGrid w:val="0"/>
                <w:color w:val="auto"/>
                <w:spacing w:val="-6"/>
                <w:kern w:val="21"/>
                <w:sz w:val="21"/>
                <w:szCs w:val="21"/>
                <w:u w:val="none"/>
              </w:rPr>
              <w:fldChar w:fldCharType="end"/>
            </w:r>
          </w:p>
        </w:tc>
      </w:tr>
      <w:tr w14:paraId="38F37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l2br w:val="nil"/>
              <w:tr2bl w:val="nil"/>
            </w:tcBorders>
            <w:vAlign w:val="center"/>
          </w:tcPr>
          <w:p w14:paraId="7F7FA8BC">
            <w:pPr>
              <w:pStyle w:val="38"/>
              <w:spacing w:before="31"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snapToGrid w:val="0"/>
                <w:color w:val="auto"/>
                <w:kern w:val="21"/>
                <w:sz w:val="21"/>
                <w:szCs w:val="21"/>
                <w:u w:val="none"/>
              </w:rPr>
              <w:t>废气</w:t>
            </w:r>
          </w:p>
        </w:tc>
        <w:tc>
          <w:tcPr>
            <w:tcW w:w="1586" w:type="dxa"/>
            <w:tcBorders>
              <w:tl2br w:val="nil"/>
              <w:tr2bl w:val="nil"/>
            </w:tcBorders>
            <w:vAlign w:val="center"/>
          </w:tcPr>
          <w:p w14:paraId="0E043C9A">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lang w:val="en-US" w:eastAsia="zh-CN"/>
              </w:rPr>
              <w:t>粉尘</w:t>
            </w:r>
          </w:p>
        </w:tc>
        <w:tc>
          <w:tcPr>
            <w:tcW w:w="1532" w:type="dxa"/>
            <w:tcBorders>
              <w:tl2br w:val="nil"/>
              <w:tr2bl w:val="nil"/>
            </w:tcBorders>
            <w:vAlign w:val="center"/>
          </w:tcPr>
          <w:p w14:paraId="6DB117E9">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15887F05">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49CFDDC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559" w:type="dxa"/>
            <w:tcBorders>
              <w:tl2br w:val="nil"/>
              <w:tr2bl w:val="nil"/>
            </w:tcBorders>
            <w:vAlign w:val="center"/>
          </w:tcPr>
          <w:p w14:paraId="7BA7B615">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8.11</w:t>
            </w:r>
          </w:p>
        </w:tc>
        <w:tc>
          <w:tcPr>
            <w:tcW w:w="1761" w:type="dxa"/>
            <w:tcBorders>
              <w:tl2br w:val="nil"/>
              <w:tr2bl w:val="nil"/>
            </w:tcBorders>
            <w:vAlign w:val="center"/>
          </w:tcPr>
          <w:p w14:paraId="6268D828">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959" w:type="dxa"/>
            <w:tcBorders>
              <w:tl2br w:val="nil"/>
              <w:tr2bl w:val="nil"/>
            </w:tcBorders>
            <w:vAlign w:val="center"/>
          </w:tcPr>
          <w:p w14:paraId="14BCCCBE">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8.11</w:t>
            </w:r>
          </w:p>
        </w:tc>
        <w:tc>
          <w:tcPr>
            <w:tcW w:w="826" w:type="dxa"/>
            <w:tcBorders>
              <w:tl2br w:val="nil"/>
              <w:tr2bl w:val="nil"/>
            </w:tcBorders>
            <w:vAlign w:val="center"/>
          </w:tcPr>
          <w:p w14:paraId="7084813F">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23738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l2br w:val="nil"/>
              <w:tr2bl w:val="nil"/>
            </w:tcBorders>
            <w:vAlign w:val="center"/>
          </w:tcPr>
          <w:p w14:paraId="38A6C40D">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rPr>
              <w:t>废水</w:t>
            </w:r>
          </w:p>
        </w:tc>
        <w:tc>
          <w:tcPr>
            <w:tcW w:w="1586" w:type="dxa"/>
            <w:tcBorders>
              <w:tl2br w:val="nil"/>
              <w:tr2bl w:val="nil"/>
            </w:tcBorders>
            <w:vAlign w:val="center"/>
          </w:tcPr>
          <w:p w14:paraId="7C7C3839">
            <w:pPr>
              <w:pStyle w:val="38"/>
              <w:spacing w:before="31" w:line="240" w:lineRule="auto"/>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eastAsia="宋体" w:cs="Times New Roman"/>
                <w:snapToGrid w:val="0"/>
                <w:color w:val="auto"/>
                <w:kern w:val="21"/>
                <w:sz w:val="21"/>
                <w:szCs w:val="21"/>
                <w:u w:val="none"/>
                <w:lang w:val="en-US" w:eastAsia="zh-CN"/>
              </w:rPr>
              <w:t>/</w:t>
            </w:r>
          </w:p>
        </w:tc>
        <w:tc>
          <w:tcPr>
            <w:tcW w:w="1532" w:type="dxa"/>
            <w:tcBorders>
              <w:tl2br w:val="nil"/>
              <w:tr2bl w:val="nil"/>
            </w:tcBorders>
            <w:vAlign w:val="center"/>
          </w:tcPr>
          <w:p w14:paraId="740B369D">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4C3E137D">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7B6659F0">
            <w:pPr>
              <w:pStyle w:val="38"/>
              <w:spacing w:before="31" w:line="240" w:lineRule="auto"/>
              <w:rPr>
                <w:rFonts w:hint="default" w:ascii="Times New Roman" w:hAnsi="Times New Roman" w:eastAsia="宋体" w:cs="Times New Roman"/>
                <w:snapToGrid w:val="0"/>
                <w:color w:val="auto"/>
                <w:spacing w:val="-6"/>
                <w:kern w:val="21"/>
                <w:sz w:val="21"/>
                <w:szCs w:val="21"/>
                <w:u w:val="none"/>
                <w:lang w:val="en-US" w:eastAsia="zh-CN"/>
              </w:rPr>
            </w:pPr>
          </w:p>
        </w:tc>
        <w:tc>
          <w:tcPr>
            <w:tcW w:w="1559" w:type="dxa"/>
            <w:tcBorders>
              <w:tl2br w:val="nil"/>
              <w:tr2bl w:val="nil"/>
            </w:tcBorders>
            <w:vAlign w:val="center"/>
          </w:tcPr>
          <w:p w14:paraId="6AC701DE">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lang w:val="en-US" w:eastAsia="zh-CN"/>
              </w:rPr>
              <w:t>/</w:t>
            </w:r>
          </w:p>
        </w:tc>
        <w:tc>
          <w:tcPr>
            <w:tcW w:w="1761" w:type="dxa"/>
            <w:tcBorders>
              <w:tl2br w:val="nil"/>
              <w:tr2bl w:val="nil"/>
            </w:tcBorders>
            <w:vAlign w:val="center"/>
          </w:tcPr>
          <w:p w14:paraId="523FF013">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526CA477">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default" w:ascii="Times New Roman" w:hAnsi="Times New Roman" w:eastAsia="宋体" w:cs="Times New Roman"/>
                <w:snapToGrid w:val="0"/>
                <w:color w:val="auto"/>
                <w:spacing w:val="-6"/>
                <w:kern w:val="21"/>
                <w:sz w:val="21"/>
                <w:szCs w:val="21"/>
                <w:u w:val="none"/>
                <w:lang w:val="en-US" w:eastAsia="zh-CN"/>
              </w:rPr>
              <w:t>/</w:t>
            </w:r>
          </w:p>
        </w:tc>
        <w:tc>
          <w:tcPr>
            <w:tcW w:w="826" w:type="dxa"/>
            <w:tcBorders>
              <w:tl2br w:val="nil"/>
              <w:tr2bl w:val="nil"/>
            </w:tcBorders>
            <w:vAlign w:val="center"/>
          </w:tcPr>
          <w:p w14:paraId="3557E62B">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30FD6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vAlign w:val="center"/>
          </w:tcPr>
          <w:p w14:paraId="5C5D1D6E">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rPr>
              <w:t>一般工业</w:t>
            </w:r>
          </w:p>
          <w:p w14:paraId="52CE5001">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rPr>
              <w:t>固体废物</w:t>
            </w:r>
          </w:p>
        </w:tc>
        <w:tc>
          <w:tcPr>
            <w:tcW w:w="1586" w:type="dxa"/>
            <w:tcBorders>
              <w:tl2br w:val="nil"/>
              <w:tr2bl w:val="nil"/>
            </w:tcBorders>
            <w:vAlign w:val="center"/>
          </w:tcPr>
          <w:p w14:paraId="4D6A598B">
            <w:pPr>
              <w:pStyle w:val="38"/>
              <w:spacing w:before="31" w:line="240" w:lineRule="auto"/>
              <w:rPr>
                <w:rFonts w:hint="eastAsia" w:ascii="Times New Roman" w:hAnsi="Times New Roman" w:eastAsia="宋体" w:cs="Times New Roman"/>
                <w:snapToGrid w:val="0"/>
                <w:color w:val="auto"/>
                <w:kern w:val="21"/>
                <w:sz w:val="21"/>
                <w:szCs w:val="21"/>
                <w:u w:val="none"/>
                <w:lang w:eastAsia="zh-CN"/>
              </w:rPr>
            </w:pPr>
            <w:r>
              <w:rPr>
                <w:rFonts w:hint="eastAsia" w:ascii="Times New Roman" w:hAnsi="Times New Roman" w:cs="Times New Roman"/>
                <w:snapToGrid w:val="0"/>
                <w:color w:val="auto"/>
                <w:kern w:val="21"/>
                <w:sz w:val="21"/>
                <w:szCs w:val="21"/>
                <w:u w:val="none"/>
                <w:lang w:eastAsia="zh-CN"/>
              </w:rPr>
              <w:t>污泥</w:t>
            </w:r>
          </w:p>
        </w:tc>
        <w:tc>
          <w:tcPr>
            <w:tcW w:w="1532" w:type="dxa"/>
            <w:tcBorders>
              <w:tl2br w:val="nil"/>
              <w:tr2bl w:val="nil"/>
            </w:tcBorders>
            <w:vAlign w:val="center"/>
          </w:tcPr>
          <w:p w14:paraId="622B6762">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0A1AE347">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467F2420">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559" w:type="dxa"/>
            <w:tcBorders>
              <w:tl2br w:val="nil"/>
              <w:tr2bl w:val="nil"/>
            </w:tcBorders>
            <w:vAlign w:val="center"/>
          </w:tcPr>
          <w:p w14:paraId="38C780D2">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rPr>
            </w:pPr>
            <w:r>
              <w:rPr>
                <w:rFonts w:hint="eastAsia" w:ascii="Times New Roman" w:hAnsi="Times New Roman" w:cs="Times New Roman"/>
                <w:snapToGrid w:val="0"/>
                <w:color w:val="auto"/>
                <w:spacing w:val="-6"/>
                <w:kern w:val="21"/>
                <w:sz w:val="21"/>
                <w:szCs w:val="21"/>
                <w:u w:val="none"/>
                <w:lang w:val="en-US" w:eastAsia="zh-CN"/>
              </w:rPr>
              <w:t>20.064</w:t>
            </w:r>
          </w:p>
        </w:tc>
        <w:tc>
          <w:tcPr>
            <w:tcW w:w="1761" w:type="dxa"/>
            <w:tcBorders>
              <w:tl2br w:val="nil"/>
              <w:tr2bl w:val="nil"/>
            </w:tcBorders>
            <w:vAlign w:val="center"/>
          </w:tcPr>
          <w:p w14:paraId="158575E4">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257118C7">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eastAsia" w:ascii="Times New Roman" w:hAnsi="Times New Roman" w:cs="Times New Roman"/>
                <w:snapToGrid w:val="0"/>
                <w:color w:val="auto"/>
                <w:spacing w:val="-6"/>
                <w:kern w:val="21"/>
                <w:sz w:val="21"/>
                <w:szCs w:val="21"/>
                <w:u w:val="none"/>
                <w:lang w:val="en-US" w:eastAsia="zh-CN"/>
              </w:rPr>
              <w:t>20.064</w:t>
            </w:r>
          </w:p>
        </w:tc>
        <w:tc>
          <w:tcPr>
            <w:tcW w:w="826" w:type="dxa"/>
            <w:tcBorders>
              <w:tl2br w:val="nil"/>
              <w:tr2bl w:val="nil"/>
            </w:tcBorders>
            <w:vAlign w:val="center"/>
          </w:tcPr>
          <w:p w14:paraId="45A15442">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5D1FB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74DB972C">
            <w:pPr>
              <w:widowControl/>
              <w:jc w:val="left"/>
              <w:rPr>
                <w:rFonts w:hint="default" w:ascii="Times New Roman" w:hAnsi="Times New Roman" w:eastAsia="宋体" w:cs="Times New Roman"/>
                <w:snapToGrid w:val="0"/>
                <w:color w:val="auto"/>
                <w:kern w:val="21"/>
                <w:sz w:val="21"/>
                <w:szCs w:val="21"/>
                <w:u w:val="none"/>
              </w:rPr>
            </w:pPr>
          </w:p>
        </w:tc>
        <w:tc>
          <w:tcPr>
            <w:tcW w:w="1586" w:type="dxa"/>
            <w:tcBorders>
              <w:tl2br w:val="nil"/>
              <w:tr2bl w:val="nil"/>
            </w:tcBorders>
            <w:vAlign w:val="center"/>
          </w:tcPr>
          <w:p w14:paraId="44B19065">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rPr>
              <w:t>布袋除尘器收集的粉尘</w:t>
            </w:r>
          </w:p>
        </w:tc>
        <w:tc>
          <w:tcPr>
            <w:tcW w:w="1532" w:type="dxa"/>
            <w:tcBorders>
              <w:tl2br w:val="nil"/>
              <w:tr2bl w:val="nil"/>
            </w:tcBorders>
            <w:vAlign w:val="center"/>
          </w:tcPr>
          <w:p w14:paraId="111B2E4D">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116EC477">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2BAAA2DF">
            <w:pPr>
              <w:pStyle w:val="38"/>
              <w:spacing w:before="31" w:line="240" w:lineRule="auto"/>
              <w:rPr>
                <w:rFonts w:hint="default" w:ascii="Times New Roman" w:hAnsi="Times New Roman" w:eastAsia="宋体" w:cs="Times New Roman"/>
                <w:snapToGrid w:val="0"/>
                <w:color w:val="auto"/>
                <w:spacing w:val="-6"/>
                <w:kern w:val="21"/>
                <w:sz w:val="21"/>
                <w:szCs w:val="21"/>
                <w:u w:val="none"/>
                <w:lang w:val="en-US"/>
              </w:rPr>
            </w:pPr>
          </w:p>
        </w:tc>
        <w:tc>
          <w:tcPr>
            <w:tcW w:w="1559" w:type="dxa"/>
            <w:tcBorders>
              <w:tl2br w:val="nil"/>
              <w:tr2bl w:val="nil"/>
            </w:tcBorders>
            <w:vAlign w:val="center"/>
          </w:tcPr>
          <w:p w14:paraId="393FDC91">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rPr>
            </w:pPr>
            <w:r>
              <w:rPr>
                <w:rFonts w:hint="eastAsia" w:ascii="Times New Roman" w:hAnsi="Times New Roman" w:cs="Times New Roman"/>
                <w:snapToGrid w:val="0"/>
                <w:color w:val="auto"/>
                <w:spacing w:val="-6"/>
                <w:kern w:val="21"/>
                <w:sz w:val="21"/>
                <w:szCs w:val="21"/>
                <w:u w:val="none"/>
                <w:lang w:val="en-US" w:eastAsia="zh-CN"/>
              </w:rPr>
              <w:t>358.88</w:t>
            </w:r>
          </w:p>
        </w:tc>
        <w:tc>
          <w:tcPr>
            <w:tcW w:w="1761" w:type="dxa"/>
            <w:tcBorders>
              <w:tl2br w:val="nil"/>
              <w:tr2bl w:val="nil"/>
            </w:tcBorders>
            <w:vAlign w:val="center"/>
          </w:tcPr>
          <w:p w14:paraId="2053D5F5">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75820E27">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eastAsia" w:ascii="Times New Roman" w:hAnsi="Times New Roman" w:cs="Times New Roman"/>
                <w:snapToGrid w:val="0"/>
                <w:color w:val="auto"/>
                <w:spacing w:val="-6"/>
                <w:kern w:val="21"/>
                <w:sz w:val="21"/>
                <w:szCs w:val="21"/>
                <w:u w:val="none"/>
                <w:lang w:val="en-US" w:eastAsia="zh-CN"/>
              </w:rPr>
              <w:t>358.88</w:t>
            </w:r>
          </w:p>
        </w:tc>
        <w:tc>
          <w:tcPr>
            <w:tcW w:w="826" w:type="dxa"/>
            <w:tcBorders>
              <w:tl2br w:val="nil"/>
              <w:tr2bl w:val="nil"/>
            </w:tcBorders>
            <w:vAlign w:val="center"/>
          </w:tcPr>
          <w:p w14:paraId="6CD1C07B">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12EFA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1B50E306">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586" w:type="dxa"/>
            <w:tcBorders>
              <w:tl2br w:val="nil"/>
              <w:tr2bl w:val="nil"/>
            </w:tcBorders>
            <w:vAlign w:val="center"/>
          </w:tcPr>
          <w:p w14:paraId="214E5E3F">
            <w:pPr>
              <w:pStyle w:val="38"/>
              <w:spacing w:before="31" w:line="240" w:lineRule="auto"/>
              <w:rPr>
                <w:rFonts w:hint="default" w:ascii="Times New Roman" w:hAnsi="Times New Roman" w:eastAsia="宋体" w:cs="Times New Roman"/>
                <w:snapToGrid w:val="0"/>
                <w:color w:val="auto"/>
                <w:kern w:val="21"/>
                <w:sz w:val="21"/>
                <w:szCs w:val="21"/>
                <w:u w:val="none"/>
                <w:lang w:eastAsia="zh-CN"/>
              </w:rPr>
            </w:pPr>
            <w:r>
              <w:rPr>
                <w:rFonts w:hint="default" w:ascii="Times New Roman" w:hAnsi="Times New Roman" w:eastAsia="宋体" w:cs="Times New Roman"/>
                <w:color w:val="auto"/>
                <w:sz w:val="21"/>
                <w:szCs w:val="21"/>
                <w:u w:val="none"/>
                <w:lang w:val="en-US" w:eastAsia="zh-CN"/>
              </w:rPr>
              <w:t>废弃试验样品</w:t>
            </w:r>
          </w:p>
        </w:tc>
        <w:tc>
          <w:tcPr>
            <w:tcW w:w="1532" w:type="dxa"/>
            <w:tcBorders>
              <w:tl2br w:val="nil"/>
              <w:tr2bl w:val="nil"/>
            </w:tcBorders>
            <w:vAlign w:val="center"/>
          </w:tcPr>
          <w:p w14:paraId="1087D702">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794FFE23">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7CA4EA2B">
            <w:pPr>
              <w:pStyle w:val="38"/>
              <w:spacing w:before="31" w:line="240" w:lineRule="auto"/>
              <w:rPr>
                <w:rFonts w:hint="default" w:ascii="Times New Roman" w:hAnsi="Times New Roman" w:eastAsia="宋体" w:cs="Times New Roman"/>
                <w:snapToGrid w:val="0"/>
                <w:color w:val="auto"/>
                <w:spacing w:val="-6"/>
                <w:kern w:val="21"/>
                <w:sz w:val="21"/>
                <w:szCs w:val="21"/>
                <w:u w:val="none"/>
                <w:lang w:val="en-US" w:eastAsia="zh-CN"/>
              </w:rPr>
            </w:pPr>
          </w:p>
        </w:tc>
        <w:tc>
          <w:tcPr>
            <w:tcW w:w="1559" w:type="dxa"/>
            <w:tcBorders>
              <w:tl2br w:val="nil"/>
              <w:tr2bl w:val="nil"/>
            </w:tcBorders>
            <w:vAlign w:val="center"/>
          </w:tcPr>
          <w:p w14:paraId="3697CCA9">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rPr>
            </w:pPr>
            <w:r>
              <w:rPr>
                <w:rFonts w:hint="eastAsia" w:ascii="Times New Roman" w:hAnsi="Times New Roman" w:cs="Times New Roman"/>
                <w:snapToGrid w:val="0"/>
                <w:color w:val="auto"/>
                <w:spacing w:val="-6"/>
                <w:kern w:val="21"/>
                <w:sz w:val="21"/>
                <w:szCs w:val="21"/>
                <w:u w:val="none"/>
                <w:lang w:val="en-US" w:eastAsia="zh-CN"/>
              </w:rPr>
              <w:t>3.0</w:t>
            </w:r>
          </w:p>
        </w:tc>
        <w:tc>
          <w:tcPr>
            <w:tcW w:w="1761" w:type="dxa"/>
            <w:tcBorders>
              <w:tl2br w:val="nil"/>
              <w:tr2bl w:val="nil"/>
            </w:tcBorders>
            <w:vAlign w:val="center"/>
          </w:tcPr>
          <w:p w14:paraId="4D46750F">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7006B027">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eastAsia" w:ascii="Times New Roman" w:hAnsi="Times New Roman" w:cs="Times New Roman"/>
                <w:snapToGrid w:val="0"/>
                <w:color w:val="auto"/>
                <w:spacing w:val="-6"/>
                <w:kern w:val="21"/>
                <w:sz w:val="21"/>
                <w:szCs w:val="21"/>
                <w:u w:val="none"/>
                <w:lang w:val="en-US" w:eastAsia="zh-CN"/>
              </w:rPr>
              <w:t>3.0</w:t>
            </w:r>
          </w:p>
        </w:tc>
        <w:tc>
          <w:tcPr>
            <w:tcW w:w="826" w:type="dxa"/>
            <w:tcBorders>
              <w:tl2br w:val="nil"/>
              <w:tr2bl w:val="nil"/>
            </w:tcBorders>
            <w:vAlign w:val="center"/>
          </w:tcPr>
          <w:p w14:paraId="2F51535B">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15C1E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vAlign w:val="center"/>
          </w:tcPr>
          <w:p w14:paraId="26475B43">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rPr>
              <w:t>危险废物</w:t>
            </w:r>
          </w:p>
        </w:tc>
        <w:tc>
          <w:tcPr>
            <w:tcW w:w="1586" w:type="dxa"/>
            <w:tcBorders>
              <w:tl2br w:val="nil"/>
              <w:tr2bl w:val="nil"/>
            </w:tcBorders>
            <w:vAlign w:val="center"/>
          </w:tcPr>
          <w:p w14:paraId="66AC30EF">
            <w:pPr>
              <w:pStyle w:val="38"/>
              <w:spacing w:before="31" w:line="240" w:lineRule="auto"/>
              <w:rPr>
                <w:rFonts w:hint="default" w:ascii="Times New Roman" w:hAnsi="Times New Roman" w:eastAsia="宋体" w:cs="Times New Roman"/>
                <w:snapToGrid w:val="0"/>
                <w:color w:val="auto"/>
                <w:kern w:val="21"/>
                <w:sz w:val="21"/>
                <w:szCs w:val="21"/>
                <w:u w:val="none"/>
                <w:lang w:eastAsia="zh-CN"/>
              </w:rPr>
            </w:pPr>
            <w:r>
              <w:rPr>
                <w:rFonts w:hint="default" w:ascii="Times New Roman" w:hAnsi="Times New Roman" w:eastAsia="宋体" w:cs="Times New Roman"/>
                <w:snapToGrid w:val="0"/>
                <w:color w:val="auto"/>
                <w:kern w:val="21"/>
                <w:sz w:val="21"/>
                <w:szCs w:val="21"/>
                <w:u w:val="none"/>
                <w:lang w:eastAsia="zh-CN"/>
              </w:rPr>
              <w:t>废含油抹布及手套</w:t>
            </w:r>
          </w:p>
        </w:tc>
        <w:tc>
          <w:tcPr>
            <w:tcW w:w="1532" w:type="dxa"/>
            <w:tcBorders>
              <w:tl2br w:val="nil"/>
              <w:tr2bl w:val="nil"/>
            </w:tcBorders>
            <w:vAlign w:val="center"/>
          </w:tcPr>
          <w:p w14:paraId="4BEAA2F3">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019526E8">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42B9670F">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559" w:type="dxa"/>
            <w:tcBorders>
              <w:tl2br w:val="nil"/>
              <w:tr2bl w:val="nil"/>
            </w:tcBorders>
            <w:vAlign w:val="center"/>
          </w:tcPr>
          <w:p w14:paraId="63B8B053">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0.2</w:t>
            </w:r>
          </w:p>
        </w:tc>
        <w:tc>
          <w:tcPr>
            <w:tcW w:w="1761" w:type="dxa"/>
            <w:tcBorders>
              <w:tl2br w:val="nil"/>
              <w:tr2bl w:val="nil"/>
            </w:tcBorders>
            <w:vAlign w:val="center"/>
          </w:tcPr>
          <w:p w14:paraId="27AFB929">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56FE3825">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default" w:ascii="Times New Roman" w:hAnsi="Times New Roman" w:eastAsia="宋体" w:cs="Times New Roman"/>
                <w:snapToGrid w:val="0"/>
                <w:color w:val="auto"/>
                <w:spacing w:val="-6"/>
                <w:kern w:val="21"/>
                <w:sz w:val="21"/>
                <w:szCs w:val="21"/>
                <w:u w:val="none"/>
              </w:rPr>
              <w:t>0.2</w:t>
            </w:r>
          </w:p>
        </w:tc>
        <w:tc>
          <w:tcPr>
            <w:tcW w:w="826" w:type="dxa"/>
            <w:tcBorders>
              <w:tl2br w:val="nil"/>
              <w:tr2bl w:val="nil"/>
            </w:tcBorders>
            <w:vAlign w:val="center"/>
          </w:tcPr>
          <w:p w14:paraId="3D055744">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5E78E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1252F05B">
            <w:pPr>
              <w:widowControl/>
              <w:jc w:val="left"/>
              <w:rPr>
                <w:rFonts w:hint="default" w:ascii="Times New Roman" w:hAnsi="Times New Roman" w:eastAsia="宋体" w:cs="Times New Roman"/>
                <w:snapToGrid w:val="0"/>
                <w:color w:val="auto"/>
                <w:kern w:val="21"/>
                <w:sz w:val="21"/>
                <w:szCs w:val="21"/>
                <w:u w:val="none"/>
              </w:rPr>
            </w:pPr>
          </w:p>
        </w:tc>
        <w:tc>
          <w:tcPr>
            <w:tcW w:w="1586" w:type="dxa"/>
            <w:tcBorders>
              <w:tl2br w:val="nil"/>
              <w:tr2bl w:val="nil"/>
            </w:tcBorders>
            <w:vAlign w:val="center"/>
          </w:tcPr>
          <w:p w14:paraId="3320E817">
            <w:pPr>
              <w:pStyle w:val="38"/>
              <w:spacing w:before="31" w:line="240" w:lineRule="auto"/>
              <w:rPr>
                <w:rFonts w:hint="default" w:ascii="Times New Roman" w:hAnsi="Times New Roman" w:eastAsia="宋体" w:cs="Times New Roman"/>
                <w:snapToGrid w:val="0"/>
                <w:color w:val="auto"/>
                <w:kern w:val="21"/>
                <w:sz w:val="21"/>
                <w:szCs w:val="21"/>
                <w:u w:val="none"/>
              </w:rPr>
            </w:pPr>
            <w:r>
              <w:rPr>
                <w:rFonts w:hint="default" w:ascii="Times New Roman" w:hAnsi="Times New Roman" w:eastAsia="宋体" w:cs="Times New Roman"/>
                <w:snapToGrid w:val="0"/>
                <w:color w:val="auto"/>
                <w:kern w:val="21"/>
                <w:sz w:val="21"/>
                <w:szCs w:val="21"/>
                <w:u w:val="none"/>
              </w:rPr>
              <w:t>废矿物油</w:t>
            </w:r>
          </w:p>
        </w:tc>
        <w:tc>
          <w:tcPr>
            <w:tcW w:w="1532" w:type="dxa"/>
            <w:tcBorders>
              <w:tl2br w:val="nil"/>
              <w:tr2bl w:val="nil"/>
            </w:tcBorders>
            <w:vAlign w:val="center"/>
          </w:tcPr>
          <w:p w14:paraId="2C649DB7">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36F6BF94">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14A5B0BB">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559" w:type="dxa"/>
            <w:tcBorders>
              <w:tl2br w:val="nil"/>
              <w:tr2bl w:val="nil"/>
            </w:tcBorders>
            <w:vAlign w:val="center"/>
          </w:tcPr>
          <w:p w14:paraId="3E9A906E">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rPr>
            </w:pPr>
            <w:r>
              <w:rPr>
                <w:rFonts w:hint="default" w:ascii="Times New Roman" w:hAnsi="Times New Roman" w:eastAsia="宋体" w:cs="Times New Roman"/>
                <w:snapToGrid w:val="0"/>
                <w:color w:val="auto"/>
                <w:spacing w:val="-6"/>
                <w:kern w:val="21"/>
                <w:sz w:val="21"/>
                <w:szCs w:val="21"/>
                <w:u w:val="none"/>
              </w:rPr>
              <w:t>0.5</w:t>
            </w:r>
          </w:p>
        </w:tc>
        <w:tc>
          <w:tcPr>
            <w:tcW w:w="1761" w:type="dxa"/>
            <w:tcBorders>
              <w:tl2br w:val="nil"/>
              <w:tr2bl w:val="nil"/>
            </w:tcBorders>
            <w:vAlign w:val="center"/>
          </w:tcPr>
          <w:p w14:paraId="0066C052">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237C9DB7">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default" w:ascii="Times New Roman" w:hAnsi="Times New Roman" w:eastAsia="宋体" w:cs="Times New Roman"/>
                <w:snapToGrid w:val="0"/>
                <w:color w:val="auto"/>
                <w:spacing w:val="-6"/>
                <w:kern w:val="21"/>
                <w:sz w:val="21"/>
                <w:szCs w:val="21"/>
                <w:u w:val="none"/>
              </w:rPr>
              <w:t>0.5</w:t>
            </w:r>
          </w:p>
        </w:tc>
        <w:tc>
          <w:tcPr>
            <w:tcW w:w="826" w:type="dxa"/>
            <w:tcBorders>
              <w:tl2br w:val="nil"/>
              <w:tr2bl w:val="nil"/>
            </w:tcBorders>
            <w:vAlign w:val="center"/>
          </w:tcPr>
          <w:p w14:paraId="396CC942">
            <w:pPr>
              <w:pStyle w:val="38"/>
              <w:spacing w:before="31" w:line="240" w:lineRule="auto"/>
              <w:rPr>
                <w:rFonts w:hint="default" w:ascii="Times New Roman" w:hAnsi="Times New Roman" w:eastAsia="宋体" w:cs="Times New Roman"/>
                <w:snapToGrid w:val="0"/>
                <w:color w:val="auto"/>
                <w:kern w:val="21"/>
                <w:sz w:val="21"/>
                <w:szCs w:val="21"/>
                <w:u w:val="none"/>
              </w:rPr>
            </w:pPr>
          </w:p>
        </w:tc>
      </w:tr>
      <w:tr w14:paraId="38BCA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l2br w:val="nil"/>
              <w:tr2bl w:val="nil"/>
            </w:tcBorders>
            <w:vAlign w:val="center"/>
          </w:tcPr>
          <w:p w14:paraId="53EB04B4">
            <w:pPr>
              <w:widowControl/>
              <w:jc w:val="center"/>
              <w:rPr>
                <w:rFonts w:hint="default" w:ascii="Times New Roman" w:hAnsi="Times New Roman" w:eastAsia="宋体" w:cs="Times New Roman"/>
                <w:snapToGrid w:val="0"/>
                <w:color w:val="auto"/>
                <w:kern w:val="21"/>
                <w:sz w:val="21"/>
                <w:szCs w:val="21"/>
                <w:u w:val="none"/>
                <w:lang w:val="en-US" w:eastAsia="zh-CN"/>
              </w:rPr>
            </w:pPr>
            <w:r>
              <w:rPr>
                <w:rFonts w:hint="eastAsia" w:ascii="Times New Roman" w:hAnsi="Times New Roman" w:eastAsia="宋体" w:cs="Times New Roman"/>
                <w:snapToGrid w:val="0"/>
                <w:color w:val="auto"/>
                <w:kern w:val="21"/>
                <w:sz w:val="21"/>
                <w:szCs w:val="21"/>
                <w:u w:val="none"/>
                <w:lang w:val="en-US" w:eastAsia="zh-CN"/>
              </w:rPr>
              <w:t>生活垃圾</w:t>
            </w:r>
          </w:p>
        </w:tc>
        <w:tc>
          <w:tcPr>
            <w:tcW w:w="1586" w:type="dxa"/>
            <w:tcBorders>
              <w:tl2br w:val="nil"/>
              <w:tr2bl w:val="nil"/>
            </w:tcBorders>
            <w:vAlign w:val="center"/>
          </w:tcPr>
          <w:p w14:paraId="3533743A">
            <w:pPr>
              <w:pStyle w:val="38"/>
              <w:spacing w:before="31" w:line="240" w:lineRule="auto"/>
              <w:rPr>
                <w:rFonts w:hint="eastAsia" w:ascii="Times New Roman" w:hAnsi="Times New Roman" w:eastAsia="宋体" w:cs="Times New Roman"/>
                <w:snapToGrid w:val="0"/>
                <w:color w:val="auto"/>
                <w:kern w:val="21"/>
                <w:sz w:val="21"/>
                <w:szCs w:val="21"/>
                <w:u w:val="none"/>
                <w:lang w:val="en-US" w:eastAsia="zh-CN"/>
              </w:rPr>
            </w:pPr>
            <w:r>
              <w:rPr>
                <w:rFonts w:hint="eastAsia" w:ascii="Times New Roman" w:hAnsi="Times New Roman" w:cs="Times New Roman"/>
                <w:snapToGrid w:val="0"/>
                <w:color w:val="auto"/>
                <w:kern w:val="21"/>
                <w:sz w:val="21"/>
                <w:szCs w:val="21"/>
                <w:u w:val="none"/>
                <w:lang w:val="en-US" w:eastAsia="zh-CN"/>
              </w:rPr>
              <w:t>生活垃圾</w:t>
            </w:r>
          </w:p>
        </w:tc>
        <w:tc>
          <w:tcPr>
            <w:tcW w:w="1532" w:type="dxa"/>
            <w:tcBorders>
              <w:tl2br w:val="nil"/>
              <w:tr2bl w:val="nil"/>
            </w:tcBorders>
            <w:vAlign w:val="center"/>
          </w:tcPr>
          <w:p w14:paraId="0D1EBB9F">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276" w:type="dxa"/>
            <w:tcBorders>
              <w:tl2br w:val="nil"/>
              <w:tr2bl w:val="nil"/>
            </w:tcBorders>
            <w:vAlign w:val="center"/>
          </w:tcPr>
          <w:p w14:paraId="49ADE05E">
            <w:pPr>
              <w:pStyle w:val="38"/>
              <w:spacing w:before="31" w:line="240" w:lineRule="auto"/>
              <w:rPr>
                <w:rFonts w:hint="default" w:ascii="Times New Roman" w:hAnsi="Times New Roman" w:eastAsia="宋体" w:cs="Times New Roman"/>
                <w:snapToGrid w:val="0"/>
                <w:color w:val="auto"/>
                <w:kern w:val="21"/>
                <w:sz w:val="21"/>
                <w:szCs w:val="21"/>
                <w:u w:val="none"/>
              </w:rPr>
            </w:pPr>
          </w:p>
        </w:tc>
        <w:tc>
          <w:tcPr>
            <w:tcW w:w="1701" w:type="dxa"/>
            <w:tcBorders>
              <w:tl2br w:val="nil"/>
              <w:tr2bl w:val="nil"/>
            </w:tcBorders>
            <w:vAlign w:val="center"/>
          </w:tcPr>
          <w:p w14:paraId="1573D643">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559" w:type="dxa"/>
            <w:tcBorders>
              <w:tl2br w:val="nil"/>
              <w:tr2bl w:val="nil"/>
            </w:tcBorders>
            <w:vAlign w:val="center"/>
          </w:tcPr>
          <w:p w14:paraId="2ECF2905">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rPr>
            </w:pPr>
            <w:r>
              <w:rPr>
                <w:rFonts w:hint="eastAsia" w:ascii="Times New Roman" w:hAnsi="Times New Roman" w:cs="Times New Roman"/>
                <w:snapToGrid w:val="0"/>
                <w:color w:val="auto"/>
                <w:spacing w:val="-6"/>
                <w:kern w:val="21"/>
                <w:sz w:val="21"/>
                <w:szCs w:val="21"/>
                <w:u w:val="none"/>
                <w:lang w:val="en-US" w:eastAsia="zh-CN"/>
              </w:rPr>
              <w:t>8</w:t>
            </w:r>
          </w:p>
        </w:tc>
        <w:tc>
          <w:tcPr>
            <w:tcW w:w="1761" w:type="dxa"/>
            <w:tcBorders>
              <w:tl2br w:val="nil"/>
              <w:tr2bl w:val="nil"/>
            </w:tcBorders>
            <w:vAlign w:val="center"/>
          </w:tcPr>
          <w:p w14:paraId="26D058B4">
            <w:pPr>
              <w:pStyle w:val="38"/>
              <w:spacing w:before="31" w:line="240" w:lineRule="auto"/>
              <w:rPr>
                <w:rFonts w:hint="default" w:ascii="Times New Roman" w:hAnsi="Times New Roman" w:eastAsia="宋体" w:cs="Times New Roman"/>
                <w:snapToGrid w:val="0"/>
                <w:color w:val="auto"/>
                <w:spacing w:val="-6"/>
                <w:kern w:val="21"/>
                <w:sz w:val="21"/>
                <w:szCs w:val="21"/>
                <w:u w:val="none"/>
              </w:rPr>
            </w:pPr>
          </w:p>
        </w:tc>
        <w:tc>
          <w:tcPr>
            <w:tcW w:w="1959" w:type="dxa"/>
            <w:tcBorders>
              <w:tl2br w:val="nil"/>
              <w:tr2bl w:val="nil"/>
            </w:tcBorders>
            <w:vAlign w:val="center"/>
          </w:tcPr>
          <w:p w14:paraId="7D05D11B">
            <w:pPr>
              <w:pStyle w:val="38"/>
              <w:spacing w:before="31" w:line="240" w:lineRule="auto"/>
              <w:ind w:firstLine="0" w:firstLineChars="0"/>
              <w:rPr>
                <w:rFonts w:hint="default" w:ascii="Times New Roman" w:hAnsi="Times New Roman" w:eastAsia="宋体" w:cs="Times New Roman"/>
                <w:snapToGrid w:val="0"/>
                <w:color w:val="auto"/>
                <w:spacing w:val="-6"/>
                <w:kern w:val="21"/>
                <w:sz w:val="21"/>
                <w:szCs w:val="21"/>
                <w:u w:val="none"/>
                <w:lang w:val="en-US" w:eastAsia="zh-CN" w:bidi="ar-SA"/>
              </w:rPr>
            </w:pPr>
            <w:r>
              <w:rPr>
                <w:rFonts w:hint="eastAsia" w:ascii="Times New Roman" w:hAnsi="Times New Roman" w:cs="Times New Roman"/>
                <w:snapToGrid w:val="0"/>
                <w:color w:val="auto"/>
                <w:spacing w:val="-6"/>
                <w:kern w:val="21"/>
                <w:sz w:val="21"/>
                <w:szCs w:val="21"/>
                <w:u w:val="none"/>
                <w:lang w:val="en-US" w:eastAsia="zh-CN"/>
              </w:rPr>
              <w:t>8</w:t>
            </w:r>
          </w:p>
        </w:tc>
        <w:tc>
          <w:tcPr>
            <w:tcW w:w="826" w:type="dxa"/>
            <w:tcBorders>
              <w:tl2br w:val="nil"/>
              <w:tr2bl w:val="nil"/>
            </w:tcBorders>
            <w:vAlign w:val="center"/>
          </w:tcPr>
          <w:p w14:paraId="405FEE52">
            <w:pPr>
              <w:pStyle w:val="38"/>
              <w:spacing w:before="31" w:line="240" w:lineRule="auto"/>
              <w:rPr>
                <w:rFonts w:hint="default" w:ascii="Times New Roman" w:hAnsi="Times New Roman" w:eastAsia="宋体" w:cs="Times New Roman"/>
                <w:snapToGrid w:val="0"/>
                <w:color w:val="auto"/>
                <w:kern w:val="21"/>
                <w:sz w:val="21"/>
                <w:szCs w:val="21"/>
                <w:u w:val="none"/>
              </w:rPr>
            </w:pPr>
          </w:p>
        </w:tc>
      </w:tr>
    </w:tbl>
    <w:p w14:paraId="383D180D">
      <w:pPr>
        <w:pStyle w:val="38"/>
        <w:spacing w:beforeLines="0" w:line="360" w:lineRule="auto"/>
        <w:jc w:val="left"/>
        <w:rPr>
          <w:rFonts w:ascii="Times New Roman" w:hAnsi="Times New Roman" w:cs="Times New Roman"/>
          <w:snapToGrid w:val="0"/>
          <w:color w:val="auto"/>
          <w:spacing w:val="-6"/>
          <w:kern w:val="21"/>
          <w:sz w:val="24"/>
          <w:szCs w:val="24"/>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s="Times New Roman"/>
          <w:snapToGrid w:val="0"/>
          <w:color w:val="auto"/>
          <w:kern w:val="21"/>
          <w:sz w:val="24"/>
          <w:szCs w:val="24"/>
        </w:rPr>
        <w:t>注：</w:t>
      </w:r>
      <w:r>
        <w:rPr>
          <w:rFonts w:ascii="Times New Roman" w:hAnsi="Times New Roman" w:cs="Times New Roman"/>
          <w:snapToGrid w:val="0"/>
          <w:color w:val="auto"/>
          <w:spacing w:val="-16"/>
          <w:kern w:val="21"/>
          <w:sz w:val="24"/>
          <w:szCs w:val="24"/>
        </w:rPr>
        <w:fldChar w:fldCharType="begin"/>
      </w:r>
      <w:r>
        <w:rPr>
          <w:rFonts w:ascii="Times New Roman" w:hAnsi="Times New Roman" w:cs="Times New Roman"/>
          <w:snapToGrid w:val="0"/>
          <w:color w:val="auto"/>
          <w:spacing w:val="-16"/>
          <w:kern w:val="21"/>
          <w:sz w:val="24"/>
          <w:szCs w:val="24"/>
        </w:rPr>
        <w:instrText xml:space="preserve"> = 6 \* GB3 \* MERGEFORMAT </w:instrText>
      </w:r>
      <w:r>
        <w:rPr>
          <w:rFonts w:ascii="Times New Roman" w:hAnsi="Times New Roman" w:cs="Times New Roman"/>
          <w:snapToGrid w:val="0"/>
          <w:color w:val="auto"/>
          <w:spacing w:val="-16"/>
          <w:kern w:val="21"/>
          <w:sz w:val="24"/>
          <w:szCs w:val="24"/>
        </w:rPr>
        <w:fldChar w:fldCharType="separate"/>
      </w:r>
      <w:r>
        <w:rPr>
          <w:rFonts w:hAnsi="Times New Roman" w:cs="Times New Roman"/>
          <w:color w:val="auto"/>
          <w:sz w:val="24"/>
          <w:szCs w:val="24"/>
        </w:rPr>
        <w:t>⑥</w:t>
      </w:r>
      <w:r>
        <w:rPr>
          <w:rFonts w:ascii="Times New Roman" w:hAnsi="Times New Roman" w:cs="Times New Roman"/>
          <w:snapToGrid w:val="0"/>
          <w:color w:val="auto"/>
          <w:spacing w:val="-16"/>
          <w:kern w:val="21"/>
          <w:sz w:val="24"/>
          <w:szCs w:val="24"/>
        </w:rPr>
        <w:fldChar w:fldCharType="end"/>
      </w:r>
      <w:r>
        <w:rPr>
          <w:rFonts w:ascii="Times New Roman" w:hAnsi="Times New Roman" w:cs="Times New Roman"/>
          <w:snapToGrid w:val="0"/>
          <w:color w:val="auto"/>
          <w:spacing w:val="-16"/>
          <w:kern w:val="21"/>
          <w:sz w:val="24"/>
          <w:szCs w:val="24"/>
        </w:rPr>
        <w:t>=</w:t>
      </w:r>
      <w:r>
        <w:rPr>
          <w:rFonts w:ascii="Times New Roman" w:hAnsi="Times New Roman" w:cs="Times New Roman"/>
          <w:snapToGrid w:val="0"/>
          <w:color w:val="auto"/>
          <w:spacing w:val="-6"/>
          <w:kern w:val="21"/>
          <w:sz w:val="24"/>
          <w:szCs w:val="24"/>
        </w:rPr>
        <w:fldChar w:fldCharType="begin"/>
      </w:r>
      <w:r>
        <w:rPr>
          <w:rFonts w:ascii="Times New Roman" w:hAnsi="Times New Roman" w:cs="Times New Roman"/>
          <w:snapToGrid w:val="0"/>
          <w:color w:val="auto"/>
          <w:spacing w:val="-6"/>
          <w:kern w:val="21"/>
          <w:sz w:val="24"/>
          <w:szCs w:val="24"/>
        </w:rPr>
        <w:instrText xml:space="preserve"> = 1 \* GB3 \* MERGEFORMAT </w:instrText>
      </w:r>
      <w:r>
        <w:rPr>
          <w:rFonts w:ascii="Times New Roman" w:hAnsi="Times New Roman" w:cs="Times New Roman"/>
          <w:snapToGrid w:val="0"/>
          <w:color w:val="auto"/>
          <w:spacing w:val="-6"/>
          <w:kern w:val="21"/>
          <w:sz w:val="24"/>
          <w:szCs w:val="24"/>
        </w:rPr>
        <w:fldChar w:fldCharType="separate"/>
      </w:r>
      <w:r>
        <w:rPr>
          <w:rFonts w:hAnsi="Times New Roman" w:cs="Times New Roman"/>
          <w:color w:val="auto"/>
          <w:sz w:val="24"/>
          <w:szCs w:val="24"/>
        </w:rPr>
        <w:t>①</w:t>
      </w:r>
      <w:r>
        <w:rPr>
          <w:rFonts w:ascii="Times New Roman" w:hAnsi="Times New Roman" w:cs="Times New Roman"/>
          <w:snapToGrid w:val="0"/>
          <w:color w:val="auto"/>
          <w:spacing w:val="-6"/>
          <w:kern w:val="21"/>
          <w:sz w:val="24"/>
          <w:szCs w:val="24"/>
        </w:rPr>
        <w:fldChar w:fldCharType="end"/>
      </w:r>
      <w:r>
        <w:rPr>
          <w:rFonts w:ascii="Times New Roman" w:hAnsi="Times New Roman" w:cs="Times New Roman"/>
          <w:snapToGrid w:val="0"/>
          <w:color w:val="auto"/>
          <w:spacing w:val="-6"/>
          <w:kern w:val="21"/>
          <w:sz w:val="24"/>
          <w:szCs w:val="24"/>
        </w:rPr>
        <w:t>+</w:t>
      </w:r>
      <w:r>
        <w:rPr>
          <w:rFonts w:ascii="Times New Roman" w:hAnsi="Times New Roman" w:cs="Times New Roman"/>
          <w:snapToGrid w:val="0"/>
          <w:color w:val="auto"/>
          <w:spacing w:val="-6"/>
          <w:kern w:val="21"/>
          <w:sz w:val="24"/>
          <w:szCs w:val="24"/>
        </w:rPr>
        <w:fldChar w:fldCharType="begin"/>
      </w:r>
      <w:r>
        <w:rPr>
          <w:rFonts w:ascii="Times New Roman" w:hAnsi="Times New Roman" w:cs="Times New Roman"/>
          <w:snapToGrid w:val="0"/>
          <w:color w:val="auto"/>
          <w:spacing w:val="-6"/>
          <w:kern w:val="21"/>
          <w:sz w:val="24"/>
          <w:szCs w:val="24"/>
        </w:rPr>
        <w:instrText xml:space="preserve"> = 3 \* GB3 \* MERGEFORMAT </w:instrText>
      </w:r>
      <w:r>
        <w:rPr>
          <w:rFonts w:ascii="Times New Roman" w:hAnsi="Times New Roman" w:cs="Times New Roman"/>
          <w:snapToGrid w:val="0"/>
          <w:color w:val="auto"/>
          <w:spacing w:val="-6"/>
          <w:kern w:val="21"/>
          <w:sz w:val="24"/>
          <w:szCs w:val="24"/>
        </w:rPr>
        <w:fldChar w:fldCharType="separate"/>
      </w:r>
      <w:r>
        <w:rPr>
          <w:rFonts w:hAnsi="Times New Roman" w:cs="Times New Roman"/>
          <w:color w:val="auto"/>
          <w:sz w:val="24"/>
          <w:szCs w:val="24"/>
        </w:rPr>
        <w:t>③</w:t>
      </w:r>
      <w:r>
        <w:rPr>
          <w:rFonts w:ascii="Times New Roman" w:hAnsi="Times New Roman" w:cs="Times New Roman"/>
          <w:snapToGrid w:val="0"/>
          <w:color w:val="auto"/>
          <w:spacing w:val="-6"/>
          <w:kern w:val="21"/>
          <w:sz w:val="24"/>
          <w:szCs w:val="24"/>
        </w:rPr>
        <w:fldChar w:fldCharType="end"/>
      </w:r>
      <w:r>
        <w:rPr>
          <w:rFonts w:ascii="Times New Roman" w:hAnsi="Times New Roman" w:cs="Times New Roman"/>
          <w:snapToGrid w:val="0"/>
          <w:color w:val="auto"/>
          <w:spacing w:val="-6"/>
          <w:kern w:val="21"/>
          <w:sz w:val="24"/>
          <w:szCs w:val="24"/>
        </w:rPr>
        <w:t>+</w:t>
      </w:r>
      <w:r>
        <w:rPr>
          <w:rFonts w:ascii="Times New Roman" w:hAnsi="Times New Roman" w:cs="Times New Roman"/>
          <w:snapToGrid w:val="0"/>
          <w:color w:val="auto"/>
          <w:spacing w:val="-6"/>
          <w:kern w:val="21"/>
          <w:sz w:val="24"/>
          <w:szCs w:val="24"/>
        </w:rPr>
        <w:fldChar w:fldCharType="begin"/>
      </w:r>
      <w:r>
        <w:rPr>
          <w:rFonts w:ascii="Times New Roman" w:hAnsi="Times New Roman" w:cs="Times New Roman"/>
          <w:snapToGrid w:val="0"/>
          <w:color w:val="auto"/>
          <w:spacing w:val="-6"/>
          <w:kern w:val="21"/>
          <w:sz w:val="24"/>
          <w:szCs w:val="24"/>
        </w:rPr>
        <w:instrText xml:space="preserve"> = 4 \* GB3 \* MERGEFORMAT </w:instrText>
      </w:r>
      <w:r>
        <w:rPr>
          <w:rFonts w:ascii="Times New Roman" w:hAnsi="Times New Roman" w:cs="Times New Roman"/>
          <w:snapToGrid w:val="0"/>
          <w:color w:val="auto"/>
          <w:spacing w:val="-6"/>
          <w:kern w:val="21"/>
          <w:sz w:val="24"/>
          <w:szCs w:val="24"/>
        </w:rPr>
        <w:fldChar w:fldCharType="separate"/>
      </w:r>
      <w:r>
        <w:rPr>
          <w:rFonts w:hAnsi="Times New Roman" w:cs="Times New Roman"/>
          <w:color w:val="auto"/>
          <w:sz w:val="24"/>
          <w:szCs w:val="24"/>
        </w:rPr>
        <w:t>④</w:t>
      </w:r>
      <w:r>
        <w:rPr>
          <w:rFonts w:ascii="Times New Roman" w:hAnsi="Times New Roman" w:cs="Times New Roman"/>
          <w:snapToGrid w:val="0"/>
          <w:color w:val="auto"/>
          <w:spacing w:val="-6"/>
          <w:kern w:val="21"/>
          <w:sz w:val="24"/>
          <w:szCs w:val="24"/>
        </w:rPr>
        <w:fldChar w:fldCharType="end"/>
      </w:r>
      <w:r>
        <w:rPr>
          <w:rFonts w:ascii="Times New Roman" w:hAnsi="Times New Roman" w:cs="Times New Roman"/>
          <w:snapToGrid w:val="0"/>
          <w:color w:val="auto"/>
          <w:spacing w:val="-6"/>
          <w:kern w:val="21"/>
          <w:sz w:val="24"/>
          <w:szCs w:val="24"/>
        </w:rPr>
        <w:t>-</w:t>
      </w:r>
      <w:r>
        <w:rPr>
          <w:rFonts w:ascii="Times New Roman" w:hAnsi="Times New Roman" w:cs="Times New Roman"/>
          <w:snapToGrid w:val="0"/>
          <w:color w:val="auto"/>
          <w:spacing w:val="-16"/>
          <w:kern w:val="21"/>
          <w:sz w:val="24"/>
          <w:szCs w:val="24"/>
        </w:rPr>
        <w:fldChar w:fldCharType="begin"/>
      </w:r>
      <w:r>
        <w:rPr>
          <w:rFonts w:ascii="Times New Roman" w:hAnsi="Times New Roman" w:cs="Times New Roman"/>
          <w:snapToGrid w:val="0"/>
          <w:color w:val="auto"/>
          <w:spacing w:val="-16"/>
          <w:kern w:val="21"/>
          <w:sz w:val="24"/>
          <w:szCs w:val="24"/>
        </w:rPr>
        <w:instrText xml:space="preserve"> = 5 \* GB3 \* MERGEFORMAT </w:instrText>
      </w:r>
      <w:r>
        <w:rPr>
          <w:rFonts w:ascii="Times New Roman" w:hAnsi="Times New Roman" w:cs="Times New Roman"/>
          <w:snapToGrid w:val="0"/>
          <w:color w:val="auto"/>
          <w:spacing w:val="-16"/>
          <w:kern w:val="21"/>
          <w:sz w:val="24"/>
          <w:szCs w:val="24"/>
        </w:rPr>
        <w:fldChar w:fldCharType="separate"/>
      </w:r>
      <w:r>
        <w:rPr>
          <w:rFonts w:hAnsi="Times New Roman" w:cs="Times New Roman"/>
          <w:color w:val="auto"/>
          <w:sz w:val="24"/>
          <w:szCs w:val="24"/>
        </w:rPr>
        <w:t>⑤</w:t>
      </w:r>
      <w:r>
        <w:rPr>
          <w:rFonts w:ascii="Times New Roman" w:hAnsi="Times New Roman" w:cs="Times New Roman"/>
          <w:snapToGrid w:val="0"/>
          <w:color w:val="auto"/>
          <w:spacing w:val="-16"/>
          <w:kern w:val="21"/>
          <w:sz w:val="24"/>
          <w:szCs w:val="24"/>
        </w:rPr>
        <w:fldChar w:fldCharType="end"/>
      </w:r>
      <w:r>
        <w:rPr>
          <w:rFonts w:ascii="Times New Roman" w:hAnsi="Times New Roman" w:cs="Times New Roman"/>
          <w:snapToGrid w:val="0"/>
          <w:color w:val="auto"/>
          <w:spacing w:val="-16"/>
          <w:kern w:val="21"/>
          <w:sz w:val="24"/>
          <w:szCs w:val="24"/>
        </w:rPr>
        <w:t>；</w:t>
      </w:r>
      <w:r>
        <w:rPr>
          <w:rFonts w:ascii="Times New Roman" w:hAnsi="Times New Roman" w:cs="Times New Roman"/>
          <w:snapToGrid w:val="0"/>
          <w:color w:val="auto"/>
          <w:spacing w:val="-6"/>
          <w:kern w:val="21"/>
          <w:sz w:val="24"/>
          <w:szCs w:val="24"/>
        </w:rPr>
        <w:fldChar w:fldCharType="begin"/>
      </w:r>
      <w:r>
        <w:rPr>
          <w:rFonts w:ascii="Times New Roman" w:hAnsi="Times New Roman" w:cs="Times New Roman"/>
          <w:snapToGrid w:val="0"/>
          <w:color w:val="auto"/>
          <w:spacing w:val="-6"/>
          <w:kern w:val="21"/>
          <w:sz w:val="24"/>
          <w:szCs w:val="24"/>
        </w:rPr>
        <w:instrText xml:space="preserve"> = 7 \* GB3 \* MERGEFORMAT </w:instrText>
      </w:r>
      <w:r>
        <w:rPr>
          <w:rFonts w:ascii="Times New Roman" w:hAnsi="Times New Roman" w:cs="Times New Roman"/>
          <w:snapToGrid w:val="0"/>
          <w:color w:val="auto"/>
          <w:spacing w:val="-6"/>
          <w:kern w:val="21"/>
          <w:sz w:val="24"/>
          <w:szCs w:val="24"/>
        </w:rPr>
        <w:fldChar w:fldCharType="separate"/>
      </w:r>
      <w:r>
        <w:rPr>
          <w:rFonts w:hAnsi="Times New Roman" w:cs="Times New Roman"/>
          <w:color w:val="auto"/>
          <w:sz w:val="24"/>
          <w:szCs w:val="24"/>
        </w:rPr>
        <w:t>⑦</w:t>
      </w:r>
      <w:r>
        <w:rPr>
          <w:rFonts w:ascii="Times New Roman" w:hAnsi="Times New Roman" w:cs="Times New Roman"/>
          <w:snapToGrid w:val="0"/>
          <w:color w:val="auto"/>
          <w:spacing w:val="-6"/>
          <w:kern w:val="21"/>
          <w:sz w:val="24"/>
          <w:szCs w:val="24"/>
        </w:rPr>
        <w:fldChar w:fldCharType="end"/>
      </w:r>
      <w:r>
        <w:rPr>
          <w:rFonts w:ascii="Times New Roman" w:hAnsi="Times New Roman" w:cs="Times New Roman"/>
          <w:snapToGrid w:val="0"/>
          <w:color w:val="auto"/>
          <w:spacing w:val="-6"/>
          <w:kern w:val="21"/>
          <w:sz w:val="24"/>
          <w:szCs w:val="24"/>
        </w:rPr>
        <w:t>=</w:t>
      </w:r>
      <w:r>
        <w:rPr>
          <w:rFonts w:ascii="Times New Roman" w:hAnsi="Times New Roman" w:cs="Times New Roman"/>
          <w:snapToGrid w:val="0"/>
          <w:color w:val="auto"/>
          <w:spacing w:val="-16"/>
          <w:kern w:val="21"/>
          <w:sz w:val="24"/>
          <w:szCs w:val="24"/>
        </w:rPr>
        <w:fldChar w:fldCharType="begin"/>
      </w:r>
      <w:r>
        <w:rPr>
          <w:rFonts w:ascii="Times New Roman" w:hAnsi="Times New Roman" w:cs="Times New Roman"/>
          <w:snapToGrid w:val="0"/>
          <w:color w:val="auto"/>
          <w:spacing w:val="-16"/>
          <w:kern w:val="21"/>
          <w:sz w:val="24"/>
          <w:szCs w:val="24"/>
        </w:rPr>
        <w:instrText xml:space="preserve"> = 6 \* GB3 \* MERGEFORMAT </w:instrText>
      </w:r>
      <w:r>
        <w:rPr>
          <w:rFonts w:ascii="Times New Roman" w:hAnsi="Times New Roman" w:cs="Times New Roman"/>
          <w:snapToGrid w:val="0"/>
          <w:color w:val="auto"/>
          <w:spacing w:val="-16"/>
          <w:kern w:val="21"/>
          <w:sz w:val="24"/>
          <w:szCs w:val="24"/>
        </w:rPr>
        <w:fldChar w:fldCharType="separate"/>
      </w:r>
      <w:r>
        <w:rPr>
          <w:rFonts w:hAnsi="Times New Roman" w:cs="Times New Roman"/>
          <w:color w:val="auto"/>
          <w:sz w:val="24"/>
          <w:szCs w:val="24"/>
        </w:rPr>
        <w:t>⑥</w:t>
      </w:r>
      <w:r>
        <w:rPr>
          <w:rFonts w:ascii="Times New Roman" w:hAnsi="Times New Roman" w:cs="Times New Roman"/>
          <w:snapToGrid w:val="0"/>
          <w:color w:val="auto"/>
          <w:spacing w:val="-16"/>
          <w:kern w:val="21"/>
          <w:sz w:val="24"/>
          <w:szCs w:val="24"/>
        </w:rPr>
        <w:fldChar w:fldCharType="end"/>
      </w:r>
      <w:r>
        <w:rPr>
          <w:rFonts w:ascii="Times New Roman" w:hAnsi="Times New Roman" w:cs="Times New Roman"/>
          <w:snapToGrid w:val="0"/>
          <w:color w:val="auto"/>
          <w:spacing w:val="-16"/>
          <w:kern w:val="21"/>
          <w:sz w:val="24"/>
          <w:szCs w:val="24"/>
        </w:rPr>
        <w:t>-</w:t>
      </w:r>
      <w:r>
        <w:rPr>
          <w:rFonts w:ascii="Times New Roman" w:hAnsi="Times New Roman" w:cs="Times New Roman"/>
          <w:snapToGrid w:val="0"/>
          <w:color w:val="auto"/>
          <w:spacing w:val="-6"/>
          <w:kern w:val="21"/>
          <w:sz w:val="24"/>
          <w:szCs w:val="24"/>
        </w:rPr>
        <w:fldChar w:fldCharType="begin"/>
      </w:r>
      <w:r>
        <w:rPr>
          <w:rFonts w:ascii="Times New Roman" w:hAnsi="Times New Roman" w:cs="Times New Roman"/>
          <w:snapToGrid w:val="0"/>
          <w:color w:val="auto"/>
          <w:spacing w:val="-6"/>
          <w:kern w:val="21"/>
          <w:sz w:val="24"/>
          <w:szCs w:val="24"/>
        </w:rPr>
        <w:instrText xml:space="preserve"> = 1 \* GB3 \* MERGEFORMAT </w:instrText>
      </w:r>
      <w:r>
        <w:rPr>
          <w:rFonts w:ascii="Times New Roman" w:hAnsi="Times New Roman" w:cs="Times New Roman"/>
          <w:snapToGrid w:val="0"/>
          <w:color w:val="auto"/>
          <w:spacing w:val="-6"/>
          <w:kern w:val="21"/>
          <w:sz w:val="24"/>
          <w:szCs w:val="24"/>
        </w:rPr>
        <w:fldChar w:fldCharType="separate"/>
      </w:r>
      <w:r>
        <w:rPr>
          <w:rFonts w:hAnsi="Times New Roman" w:cs="Times New Roman"/>
          <w:color w:val="auto"/>
          <w:sz w:val="24"/>
          <w:szCs w:val="24"/>
        </w:rPr>
        <w:t>①</w:t>
      </w:r>
      <w:r>
        <w:rPr>
          <w:rFonts w:ascii="Times New Roman" w:hAnsi="Times New Roman" w:cs="Times New Roman"/>
          <w:snapToGrid w:val="0"/>
          <w:color w:val="auto"/>
          <w:spacing w:val="-6"/>
          <w:kern w:val="21"/>
          <w:sz w:val="24"/>
          <w:szCs w:val="24"/>
        </w:rPr>
        <w:fldChar w:fldCharType="end"/>
      </w:r>
    </w:p>
    <w:p w14:paraId="22CDE426">
      <w:pPr>
        <w:rPr>
          <w:rFonts w:hint="eastAsia"/>
          <w:b/>
          <w:sz w:val="28"/>
          <w:szCs w:val="28"/>
        </w:rPr>
      </w:pPr>
      <w:r>
        <w:rPr>
          <w:rFonts w:hint="eastAsia"/>
          <w:b/>
          <w:sz w:val="28"/>
          <w:szCs w:val="28"/>
        </w:rPr>
        <w:t>附件1  环评委托书</w:t>
      </w:r>
    </w:p>
    <w:p w14:paraId="33809561">
      <w:pPr>
        <w:jc w:val="center"/>
        <w:outlineLvl w:val="0"/>
        <w:rPr>
          <w:sz w:val="28"/>
          <w:szCs w:val="28"/>
        </w:rPr>
      </w:pPr>
      <w:bookmarkStart w:id="25" w:name="_Toc115190007"/>
    </w:p>
    <w:bookmarkEnd w:id="25"/>
    <w:p w14:paraId="2DC1FFCF">
      <w:pPr>
        <w:rPr>
          <w:rFonts w:hint="eastAsia" w:eastAsiaTheme="minorEastAsia"/>
          <w:b/>
          <w:sz w:val="28"/>
          <w:szCs w:val="28"/>
          <w:lang w:eastAsia="zh-CN"/>
        </w:rPr>
      </w:pPr>
      <w:r>
        <w:rPr>
          <w:rFonts w:hint="eastAsia" w:eastAsiaTheme="minorEastAsia"/>
          <w:b/>
          <w:sz w:val="28"/>
          <w:szCs w:val="28"/>
          <w:lang w:eastAsia="zh-CN"/>
        </w:rPr>
        <w:drawing>
          <wp:inline distT="0" distB="0" distL="114300" distR="114300">
            <wp:extent cx="5267960" cy="7566025"/>
            <wp:effectExtent l="0" t="0" r="8890" b="15875"/>
            <wp:docPr id="1" name="图片 1" descr="委托书 (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委托书 (2)_00"/>
                    <pic:cNvPicPr>
                      <a:picLocks noChangeAspect="1"/>
                    </pic:cNvPicPr>
                  </pic:nvPicPr>
                  <pic:blipFill>
                    <a:blip r:embed="rId27"/>
                    <a:stretch>
                      <a:fillRect/>
                    </a:stretch>
                  </pic:blipFill>
                  <pic:spPr>
                    <a:xfrm>
                      <a:off x="0" y="0"/>
                      <a:ext cx="5267960" cy="7566025"/>
                    </a:xfrm>
                    <a:prstGeom prst="rect">
                      <a:avLst/>
                    </a:prstGeom>
                  </pic:spPr>
                </pic:pic>
              </a:graphicData>
            </a:graphic>
          </wp:inline>
        </w:drawing>
      </w:r>
    </w:p>
    <w:p w14:paraId="2BFE6800">
      <w:pPr>
        <w:rPr>
          <w:rFonts w:hint="eastAsia"/>
          <w:b/>
          <w:sz w:val="28"/>
          <w:szCs w:val="28"/>
        </w:rPr>
      </w:pPr>
    </w:p>
    <w:p w14:paraId="43CA7D17">
      <w:pPr>
        <w:jc w:val="center"/>
        <w:rPr>
          <w:rFonts w:hint="eastAsia" w:eastAsiaTheme="minorEastAsia"/>
          <w:b/>
          <w:sz w:val="28"/>
          <w:szCs w:val="28"/>
          <w:lang w:eastAsia="zh-CN"/>
        </w:rPr>
        <w:sectPr>
          <w:pgSz w:w="11906" w:h="16838"/>
          <w:pgMar w:top="1440" w:right="1800" w:bottom="1440" w:left="1800" w:header="720" w:footer="720" w:gutter="0"/>
          <w:cols w:space="720" w:num="1"/>
          <w:docGrid w:type="lines" w:linePitch="312" w:charSpace="0"/>
        </w:sectPr>
      </w:pPr>
    </w:p>
    <w:p w14:paraId="06387370">
      <w:pPr>
        <w:pStyle w:val="3"/>
        <w:ind w:left="0" w:leftChars="0" w:firstLine="0" w:firstLineChars="0"/>
        <w:jc w:val="both"/>
        <w:rPr>
          <w:rFonts w:hint="default"/>
          <w:lang w:val="en-US" w:eastAsia="zh-CN"/>
        </w:rPr>
      </w:pPr>
      <w:bookmarkStart w:id="26" w:name="_GoBack"/>
      <w:bookmarkEnd w:id="26"/>
    </w:p>
    <w:sectPr>
      <w:pgSz w:w="16838" w:h="11906" w:orient="landscape"/>
      <w:pgMar w:top="1800" w:right="1440" w:bottom="1800" w:left="144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749C5">
    <w:pPr>
      <w:pStyle w:val="18"/>
      <w:jc w:val="center"/>
      <w:rPr>
        <w:rFonts w:ascii="Times New Roman" w:hAnsi="Times New Roman" w:cs="Times New Roman"/>
        <w:sz w:val="21"/>
        <w:szCs w:val="21"/>
      </w:rPr>
    </w:pPr>
  </w:p>
  <w:p w14:paraId="52B3C427">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A06F8">
    <w:pPr>
      <w:pStyle w:val="18"/>
      <w:jc w:val="center"/>
      <w:rPr>
        <w:rFonts w:ascii="Times New Roman" w:hAnsi="Times New Roman" w:cs="Times New Roman"/>
        <w:sz w:val="21"/>
        <w:szCs w:val="21"/>
      </w:rPr>
    </w:pPr>
    <w:r>
      <w:rPr>
        <w:sz w:val="21"/>
      </w:rPr>
      <w:pict>
        <v:shape id="_x0000_s3074" o:spid="_x0000_s3074" o:spt="202" type="#_x0000_t202" style="position:absolute;left:0pt;margin-top:0pt;height:144pt;width:144pt;mso-position-horizontal:center;mso-position-horizontal-relative:margin;mso-wrap-style:none;z-index:251720704;mso-width-relative:page;mso-height-relative:page;" filled="f" stroked="f" coordsize="21600,21600">
          <v:path/>
          <v:fill on="f" focussize="0,0"/>
          <v:stroke on="f" joinstyle="miter"/>
          <v:imagedata o:title=""/>
          <o:lock v:ext="edit"/>
          <v:textbox inset="0mm,0mm,0mm,0mm" style="mso-fit-shape-to-text:t;">
            <w:txbxContent>
              <w:p w14:paraId="5376C9E6">
                <w:pPr>
                  <w:pStyle w:val="1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29</w:t>
                </w:r>
                <w:r>
                  <w:rPr>
                    <w:rFonts w:hint="default" w:ascii="Times New Roman" w:hAnsi="Times New Roman" w:cs="Times New Roman"/>
                    <w:sz w:val="21"/>
                    <w:szCs w:val="21"/>
                  </w:rPr>
                  <w:fldChar w:fldCharType="end"/>
                </w:r>
              </w:p>
            </w:txbxContent>
          </v:textbox>
        </v:shape>
      </w:pict>
    </w:r>
  </w:p>
  <w:p w14:paraId="7AD79B17">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07F4B">
    <w:pPr>
      <w:pStyle w:val="1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hkNGJhNWNkZjQzODlhZTM4NWJmMGRkYjg0YjgzNmMifQ=="/>
  </w:docVars>
  <w:rsids>
    <w:rsidRoot w:val="00C0426A"/>
    <w:rsid w:val="00000FB4"/>
    <w:rsid w:val="00003CD3"/>
    <w:rsid w:val="00003FCC"/>
    <w:rsid w:val="00013069"/>
    <w:rsid w:val="000139C6"/>
    <w:rsid w:val="00015E07"/>
    <w:rsid w:val="00017F89"/>
    <w:rsid w:val="00021621"/>
    <w:rsid w:val="000309EF"/>
    <w:rsid w:val="0003611D"/>
    <w:rsid w:val="00036F18"/>
    <w:rsid w:val="0003736E"/>
    <w:rsid w:val="0004082F"/>
    <w:rsid w:val="00041A54"/>
    <w:rsid w:val="00043F88"/>
    <w:rsid w:val="000502C6"/>
    <w:rsid w:val="00051DA5"/>
    <w:rsid w:val="000529F0"/>
    <w:rsid w:val="000715FD"/>
    <w:rsid w:val="000742D6"/>
    <w:rsid w:val="0008046A"/>
    <w:rsid w:val="00081A56"/>
    <w:rsid w:val="00082BB1"/>
    <w:rsid w:val="00083B6D"/>
    <w:rsid w:val="0008450A"/>
    <w:rsid w:val="00087A77"/>
    <w:rsid w:val="00097242"/>
    <w:rsid w:val="000A723D"/>
    <w:rsid w:val="000B1361"/>
    <w:rsid w:val="000B1EC8"/>
    <w:rsid w:val="000B2DAA"/>
    <w:rsid w:val="000C2671"/>
    <w:rsid w:val="000C3327"/>
    <w:rsid w:val="000C333B"/>
    <w:rsid w:val="000C3FCD"/>
    <w:rsid w:val="000C4DAB"/>
    <w:rsid w:val="000D3E26"/>
    <w:rsid w:val="000E3693"/>
    <w:rsid w:val="000E6CE0"/>
    <w:rsid w:val="000F2D03"/>
    <w:rsid w:val="000F6D87"/>
    <w:rsid w:val="00100C4D"/>
    <w:rsid w:val="00100ED1"/>
    <w:rsid w:val="001071B2"/>
    <w:rsid w:val="00107945"/>
    <w:rsid w:val="0011007E"/>
    <w:rsid w:val="00113030"/>
    <w:rsid w:val="001153D1"/>
    <w:rsid w:val="001201BA"/>
    <w:rsid w:val="00121AFD"/>
    <w:rsid w:val="00123DA0"/>
    <w:rsid w:val="001240F1"/>
    <w:rsid w:val="0012502D"/>
    <w:rsid w:val="001338F6"/>
    <w:rsid w:val="00134D53"/>
    <w:rsid w:val="00134E1F"/>
    <w:rsid w:val="00140F20"/>
    <w:rsid w:val="00141C17"/>
    <w:rsid w:val="00147740"/>
    <w:rsid w:val="001515DE"/>
    <w:rsid w:val="00152F8B"/>
    <w:rsid w:val="00162728"/>
    <w:rsid w:val="00162AA1"/>
    <w:rsid w:val="00162B29"/>
    <w:rsid w:val="00164141"/>
    <w:rsid w:val="001669D9"/>
    <w:rsid w:val="00172045"/>
    <w:rsid w:val="00175AAD"/>
    <w:rsid w:val="00175B61"/>
    <w:rsid w:val="00177A9C"/>
    <w:rsid w:val="00177F06"/>
    <w:rsid w:val="0018107E"/>
    <w:rsid w:val="001828CC"/>
    <w:rsid w:val="00195A2B"/>
    <w:rsid w:val="00197B36"/>
    <w:rsid w:val="00197B9D"/>
    <w:rsid w:val="001A1F7E"/>
    <w:rsid w:val="001A39E2"/>
    <w:rsid w:val="001A7547"/>
    <w:rsid w:val="001A770B"/>
    <w:rsid w:val="001C056D"/>
    <w:rsid w:val="001C2F84"/>
    <w:rsid w:val="001C442D"/>
    <w:rsid w:val="001C6337"/>
    <w:rsid w:val="001D3807"/>
    <w:rsid w:val="001D7A4C"/>
    <w:rsid w:val="001E3415"/>
    <w:rsid w:val="001E3533"/>
    <w:rsid w:val="001E5701"/>
    <w:rsid w:val="001F1DA9"/>
    <w:rsid w:val="001F250D"/>
    <w:rsid w:val="001F4AB6"/>
    <w:rsid w:val="001F5B86"/>
    <w:rsid w:val="00205158"/>
    <w:rsid w:val="002054E1"/>
    <w:rsid w:val="002104ED"/>
    <w:rsid w:val="002117AC"/>
    <w:rsid w:val="00214663"/>
    <w:rsid w:val="00214702"/>
    <w:rsid w:val="002147F3"/>
    <w:rsid w:val="00215790"/>
    <w:rsid w:val="00216F38"/>
    <w:rsid w:val="00217C5D"/>
    <w:rsid w:val="0022408E"/>
    <w:rsid w:val="00225271"/>
    <w:rsid w:val="00226A28"/>
    <w:rsid w:val="00231A87"/>
    <w:rsid w:val="002377CE"/>
    <w:rsid w:val="0024641A"/>
    <w:rsid w:val="0025103B"/>
    <w:rsid w:val="00252E8B"/>
    <w:rsid w:val="00254737"/>
    <w:rsid w:val="00257D2A"/>
    <w:rsid w:val="00262E3F"/>
    <w:rsid w:val="00264882"/>
    <w:rsid w:val="00265BC4"/>
    <w:rsid w:val="00266555"/>
    <w:rsid w:val="002669EA"/>
    <w:rsid w:val="00267EB8"/>
    <w:rsid w:val="00270452"/>
    <w:rsid w:val="00270510"/>
    <w:rsid w:val="00270AE8"/>
    <w:rsid w:val="00271AE9"/>
    <w:rsid w:val="00272C4D"/>
    <w:rsid w:val="002819C5"/>
    <w:rsid w:val="002845C3"/>
    <w:rsid w:val="00292A1D"/>
    <w:rsid w:val="00293EEF"/>
    <w:rsid w:val="002963A2"/>
    <w:rsid w:val="002A23A7"/>
    <w:rsid w:val="002A47A4"/>
    <w:rsid w:val="002A56E1"/>
    <w:rsid w:val="002A7D1F"/>
    <w:rsid w:val="002B159F"/>
    <w:rsid w:val="002B3ED9"/>
    <w:rsid w:val="002B7AF3"/>
    <w:rsid w:val="002B7EE3"/>
    <w:rsid w:val="002C3467"/>
    <w:rsid w:val="002E4DFE"/>
    <w:rsid w:val="002E5BE1"/>
    <w:rsid w:val="002E686B"/>
    <w:rsid w:val="002E7126"/>
    <w:rsid w:val="002F0C3A"/>
    <w:rsid w:val="002F1016"/>
    <w:rsid w:val="002F5F6B"/>
    <w:rsid w:val="00300F85"/>
    <w:rsid w:val="00305E06"/>
    <w:rsid w:val="0030721B"/>
    <w:rsid w:val="0031161A"/>
    <w:rsid w:val="00313925"/>
    <w:rsid w:val="003157E7"/>
    <w:rsid w:val="0031586A"/>
    <w:rsid w:val="003172F0"/>
    <w:rsid w:val="00326107"/>
    <w:rsid w:val="003325E4"/>
    <w:rsid w:val="00333F43"/>
    <w:rsid w:val="0034062B"/>
    <w:rsid w:val="00343A4F"/>
    <w:rsid w:val="00344942"/>
    <w:rsid w:val="00347B4E"/>
    <w:rsid w:val="00347FE0"/>
    <w:rsid w:val="00351CB0"/>
    <w:rsid w:val="00355B6B"/>
    <w:rsid w:val="003562DA"/>
    <w:rsid w:val="003567B9"/>
    <w:rsid w:val="00356DDF"/>
    <w:rsid w:val="003607EF"/>
    <w:rsid w:val="00367787"/>
    <w:rsid w:val="00371CD3"/>
    <w:rsid w:val="00374DD0"/>
    <w:rsid w:val="003817C1"/>
    <w:rsid w:val="0038313E"/>
    <w:rsid w:val="003831F2"/>
    <w:rsid w:val="00384357"/>
    <w:rsid w:val="00390A9F"/>
    <w:rsid w:val="0039162A"/>
    <w:rsid w:val="00392057"/>
    <w:rsid w:val="00392F11"/>
    <w:rsid w:val="00394B7F"/>
    <w:rsid w:val="00394C0F"/>
    <w:rsid w:val="00394FEC"/>
    <w:rsid w:val="00396E2F"/>
    <w:rsid w:val="0039727C"/>
    <w:rsid w:val="00397352"/>
    <w:rsid w:val="003A1EEF"/>
    <w:rsid w:val="003A23D1"/>
    <w:rsid w:val="003A2BD8"/>
    <w:rsid w:val="003A6756"/>
    <w:rsid w:val="003B589B"/>
    <w:rsid w:val="003B5962"/>
    <w:rsid w:val="003C204A"/>
    <w:rsid w:val="003C5CE9"/>
    <w:rsid w:val="003C76E8"/>
    <w:rsid w:val="003C7DF4"/>
    <w:rsid w:val="003E68A0"/>
    <w:rsid w:val="003E6EDF"/>
    <w:rsid w:val="003F104B"/>
    <w:rsid w:val="003F1613"/>
    <w:rsid w:val="003F5F5D"/>
    <w:rsid w:val="00400805"/>
    <w:rsid w:val="004024CC"/>
    <w:rsid w:val="00404142"/>
    <w:rsid w:val="0040764A"/>
    <w:rsid w:val="0041115E"/>
    <w:rsid w:val="00411C9F"/>
    <w:rsid w:val="004120E9"/>
    <w:rsid w:val="00423C11"/>
    <w:rsid w:val="004254F9"/>
    <w:rsid w:val="00426212"/>
    <w:rsid w:val="00430426"/>
    <w:rsid w:val="00437504"/>
    <w:rsid w:val="00444BC1"/>
    <w:rsid w:val="00452ED1"/>
    <w:rsid w:val="004560AD"/>
    <w:rsid w:val="0045623B"/>
    <w:rsid w:val="00456336"/>
    <w:rsid w:val="004621FB"/>
    <w:rsid w:val="00465075"/>
    <w:rsid w:val="004672C7"/>
    <w:rsid w:val="00467D15"/>
    <w:rsid w:val="00472C4B"/>
    <w:rsid w:val="0047600D"/>
    <w:rsid w:val="00484959"/>
    <w:rsid w:val="004906D9"/>
    <w:rsid w:val="00495111"/>
    <w:rsid w:val="00496B5B"/>
    <w:rsid w:val="004A727C"/>
    <w:rsid w:val="004B40B0"/>
    <w:rsid w:val="004B438C"/>
    <w:rsid w:val="004B50A9"/>
    <w:rsid w:val="004B6B04"/>
    <w:rsid w:val="004B6D65"/>
    <w:rsid w:val="004B7514"/>
    <w:rsid w:val="004C1BE3"/>
    <w:rsid w:val="004C29CF"/>
    <w:rsid w:val="004C580A"/>
    <w:rsid w:val="004C6703"/>
    <w:rsid w:val="004D0351"/>
    <w:rsid w:val="004D1073"/>
    <w:rsid w:val="004D233A"/>
    <w:rsid w:val="004D579E"/>
    <w:rsid w:val="004D7A9B"/>
    <w:rsid w:val="004E3D00"/>
    <w:rsid w:val="004E5974"/>
    <w:rsid w:val="004E7535"/>
    <w:rsid w:val="004E7657"/>
    <w:rsid w:val="004F0074"/>
    <w:rsid w:val="004F22D9"/>
    <w:rsid w:val="004F5246"/>
    <w:rsid w:val="004F74B9"/>
    <w:rsid w:val="00500959"/>
    <w:rsid w:val="00500A0B"/>
    <w:rsid w:val="00505E40"/>
    <w:rsid w:val="0050786E"/>
    <w:rsid w:val="00513E66"/>
    <w:rsid w:val="00524DC5"/>
    <w:rsid w:val="00526833"/>
    <w:rsid w:val="005279F9"/>
    <w:rsid w:val="00532942"/>
    <w:rsid w:val="00535153"/>
    <w:rsid w:val="0053782D"/>
    <w:rsid w:val="00540E12"/>
    <w:rsid w:val="00545D87"/>
    <w:rsid w:val="00545FF1"/>
    <w:rsid w:val="00546DBF"/>
    <w:rsid w:val="00547B73"/>
    <w:rsid w:val="00552933"/>
    <w:rsid w:val="00554235"/>
    <w:rsid w:val="005544ED"/>
    <w:rsid w:val="0055462C"/>
    <w:rsid w:val="0055785A"/>
    <w:rsid w:val="005603EA"/>
    <w:rsid w:val="00563193"/>
    <w:rsid w:val="005633FB"/>
    <w:rsid w:val="0056574B"/>
    <w:rsid w:val="0057170C"/>
    <w:rsid w:val="00572C82"/>
    <w:rsid w:val="0057532B"/>
    <w:rsid w:val="00581D07"/>
    <w:rsid w:val="00585962"/>
    <w:rsid w:val="005910AD"/>
    <w:rsid w:val="00592431"/>
    <w:rsid w:val="00596CA1"/>
    <w:rsid w:val="00597AFA"/>
    <w:rsid w:val="005A2037"/>
    <w:rsid w:val="005A2B01"/>
    <w:rsid w:val="005A5AB6"/>
    <w:rsid w:val="005B20C6"/>
    <w:rsid w:val="005B71AD"/>
    <w:rsid w:val="005B7BA3"/>
    <w:rsid w:val="005C342D"/>
    <w:rsid w:val="005C4D4F"/>
    <w:rsid w:val="005D22EA"/>
    <w:rsid w:val="005D2646"/>
    <w:rsid w:val="005E0646"/>
    <w:rsid w:val="005E1CEA"/>
    <w:rsid w:val="005E7DC1"/>
    <w:rsid w:val="005F5410"/>
    <w:rsid w:val="005F77A7"/>
    <w:rsid w:val="00602546"/>
    <w:rsid w:val="00606F1B"/>
    <w:rsid w:val="0060742F"/>
    <w:rsid w:val="0060787B"/>
    <w:rsid w:val="00610D19"/>
    <w:rsid w:val="00612FD2"/>
    <w:rsid w:val="00614ABE"/>
    <w:rsid w:val="0061526A"/>
    <w:rsid w:val="00616B85"/>
    <w:rsid w:val="006215A8"/>
    <w:rsid w:val="00625A38"/>
    <w:rsid w:val="006272E7"/>
    <w:rsid w:val="00627412"/>
    <w:rsid w:val="006316CE"/>
    <w:rsid w:val="00635C82"/>
    <w:rsid w:val="0064105E"/>
    <w:rsid w:val="0064268B"/>
    <w:rsid w:val="00644762"/>
    <w:rsid w:val="00644F67"/>
    <w:rsid w:val="006456A2"/>
    <w:rsid w:val="00651556"/>
    <w:rsid w:val="0066426B"/>
    <w:rsid w:val="0066697E"/>
    <w:rsid w:val="00672908"/>
    <w:rsid w:val="00675F8A"/>
    <w:rsid w:val="006760DD"/>
    <w:rsid w:val="00677B35"/>
    <w:rsid w:val="00681ACA"/>
    <w:rsid w:val="0068752C"/>
    <w:rsid w:val="00690081"/>
    <w:rsid w:val="006929DD"/>
    <w:rsid w:val="006960D1"/>
    <w:rsid w:val="00696E74"/>
    <w:rsid w:val="006A0FA3"/>
    <w:rsid w:val="006A2641"/>
    <w:rsid w:val="006B1223"/>
    <w:rsid w:val="006B4068"/>
    <w:rsid w:val="006B4510"/>
    <w:rsid w:val="006B570F"/>
    <w:rsid w:val="006B60FD"/>
    <w:rsid w:val="006B6D36"/>
    <w:rsid w:val="006B7DEE"/>
    <w:rsid w:val="006C303B"/>
    <w:rsid w:val="006C3723"/>
    <w:rsid w:val="006C5FDA"/>
    <w:rsid w:val="006C6AC9"/>
    <w:rsid w:val="006C6BDB"/>
    <w:rsid w:val="006C73FD"/>
    <w:rsid w:val="006D1A1F"/>
    <w:rsid w:val="006D1FF6"/>
    <w:rsid w:val="006D3781"/>
    <w:rsid w:val="006D4144"/>
    <w:rsid w:val="006D5822"/>
    <w:rsid w:val="006D635B"/>
    <w:rsid w:val="006F08D6"/>
    <w:rsid w:val="006F0C40"/>
    <w:rsid w:val="006F0F8B"/>
    <w:rsid w:val="006F101C"/>
    <w:rsid w:val="006F31E1"/>
    <w:rsid w:val="006F39B8"/>
    <w:rsid w:val="006F6214"/>
    <w:rsid w:val="00704A51"/>
    <w:rsid w:val="0070525E"/>
    <w:rsid w:val="007053C3"/>
    <w:rsid w:val="00710A71"/>
    <w:rsid w:val="00710B3F"/>
    <w:rsid w:val="00712271"/>
    <w:rsid w:val="00713602"/>
    <w:rsid w:val="00713A32"/>
    <w:rsid w:val="0072182C"/>
    <w:rsid w:val="0072388C"/>
    <w:rsid w:val="00725C3E"/>
    <w:rsid w:val="00734FB7"/>
    <w:rsid w:val="007402FF"/>
    <w:rsid w:val="007554F2"/>
    <w:rsid w:val="00757E04"/>
    <w:rsid w:val="00760351"/>
    <w:rsid w:val="00762D84"/>
    <w:rsid w:val="00767E32"/>
    <w:rsid w:val="00771384"/>
    <w:rsid w:val="00772D5E"/>
    <w:rsid w:val="00774A06"/>
    <w:rsid w:val="00774ED4"/>
    <w:rsid w:val="00774F42"/>
    <w:rsid w:val="007750DA"/>
    <w:rsid w:val="00777096"/>
    <w:rsid w:val="0077718F"/>
    <w:rsid w:val="00777509"/>
    <w:rsid w:val="00783180"/>
    <w:rsid w:val="00790922"/>
    <w:rsid w:val="00790CB5"/>
    <w:rsid w:val="0079216B"/>
    <w:rsid w:val="00793880"/>
    <w:rsid w:val="00794F87"/>
    <w:rsid w:val="00797D97"/>
    <w:rsid w:val="007A733A"/>
    <w:rsid w:val="007A7E70"/>
    <w:rsid w:val="007B0FE1"/>
    <w:rsid w:val="007B10F3"/>
    <w:rsid w:val="007B3E90"/>
    <w:rsid w:val="007B7C0B"/>
    <w:rsid w:val="007C1F52"/>
    <w:rsid w:val="007C2E74"/>
    <w:rsid w:val="007D06EC"/>
    <w:rsid w:val="007D21AB"/>
    <w:rsid w:val="007D266E"/>
    <w:rsid w:val="007D7356"/>
    <w:rsid w:val="007E4C12"/>
    <w:rsid w:val="007E53C4"/>
    <w:rsid w:val="007F08B7"/>
    <w:rsid w:val="007F3E7C"/>
    <w:rsid w:val="0080059F"/>
    <w:rsid w:val="0080202C"/>
    <w:rsid w:val="00805832"/>
    <w:rsid w:val="0080604F"/>
    <w:rsid w:val="0081436A"/>
    <w:rsid w:val="00815402"/>
    <w:rsid w:val="008200EB"/>
    <w:rsid w:val="00825E72"/>
    <w:rsid w:val="00827C6B"/>
    <w:rsid w:val="00830F97"/>
    <w:rsid w:val="008347FF"/>
    <w:rsid w:val="00852922"/>
    <w:rsid w:val="00852DC5"/>
    <w:rsid w:val="00854375"/>
    <w:rsid w:val="00855BE0"/>
    <w:rsid w:val="00863281"/>
    <w:rsid w:val="008652E2"/>
    <w:rsid w:val="008673F5"/>
    <w:rsid w:val="00880632"/>
    <w:rsid w:val="008844DE"/>
    <w:rsid w:val="00885CD7"/>
    <w:rsid w:val="008875C3"/>
    <w:rsid w:val="00892746"/>
    <w:rsid w:val="0089333B"/>
    <w:rsid w:val="00894212"/>
    <w:rsid w:val="008A1B2E"/>
    <w:rsid w:val="008A5168"/>
    <w:rsid w:val="008A5820"/>
    <w:rsid w:val="008A6C1E"/>
    <w:rsid w:val="008B4AB1"/>
    <w:rsid w:val="008B5E7E"/>
    <w:rsid w:val="008B64DE"/>
    <w:rsid w:val="008B7940"/>
    <w:rsid w:val="008C1EB9"/>
    <w:rsid w:val="008C2518"/>
    <w:rsid w:val="008C2694"/>
    <w:rsid w:val="008C582A"/>
    <w:rsid w:val="008D1B1F"/>
    <w:rsid w:val="008D3E1E"/>
    <w:rsid w:val="008D4990"/>
    <w:rsid w:val="008D6EDF"/>
    <w:rsid w:val="008E0A04"/>
    <w:rsid w:val="008E2058"/>
    <w:rsid w:val="008F5609"/>
    <w:rsid w:val="008F63E7"/>
    <w:rsid w:val="008F7553"/>
    <w:rsid w:val="009011A0"/>
    <w:rsid w:val="009060D5"/>
    <w:rsid w:val="00906FD8"/>
    <w:rsid w:val="00914DE0"/>
    <w:rsid w:val="00916252"/>
    <w:rsid w:val="00925C86"/>
    <w:rsid w:val="00927EF6"/>
    <w:rsid w:val="0093082D"/>
    <w:rsid w:val="00932C77"/>
    <w:rsid w:val="00941DE6"/>
    <w:rsid w:val="0094252D"/>
    <w:rsid w:val="009443F3"/>
    <w:rsid w:val="00950599"/>
    <w:rsid w:val="009517B3"/>
    <w:rsid w:val="00952380"/>
    <w:rsid w:val="00964751"/>
    <w:rsid w:val="009651CB"/>
    <w:rsid w:val="00967120"/>
    <w:rsid w:val="00970705"/>
    <w:rsid w:val="009738E3"/>
    <w:rsid w:val="00974A1F"/>
    <w:rsid w:val="00975C4B"/>
    <w:rsid w:val="00981225"/>
    <w:rsid w:val="009849E1"/>
    <w:rsid w:val="0098565C"/>
    <w:rsid w:val="009870DE"/>
    <w:rsid w:val="009A1BB9"/>
    <w:rsid w:val="009A684C"/>
    <w:rsid w:val="009B028C"/>
    <w:rsid w:val="009B3995"/>
    <w:rsid w:val="009B5B0F"/>
    <w:rsid w:val="009B6CE4"/>
    <w:rsid w:val="009C3F12"/>
    <w:rsid w:val="009C487A"/>
    <w:rsid w:val="009C6115"/>
    <w:rsid w:val="009C65B1"/>
    <w:rsid w:val="009D2D84"/>
    <w:rsid w:val="009D3BAA"/>
    <w:rsid w:val="009D7656"/>
    <w:rsid w:val="009E18CF"/>
    <w:rsid w:val="009E197F"/>
    <w:rsid w:val="009E4093"/>
    <w:rsid w:val="009E4131"/>
    <w:rsid w:val="009E5A12"/>
    <w:rsid w:val="009E6879"/>
    <w:rsid w:val="009F12D9"/>
    <w:rsid w:val="009F229A"/>
    <w:rsid w:val="009F2540"/>
    <w:rsid w:val="009F3F9F"/>
    <w:rsid w:val="009F4ACD"/>
    <w:rsid w:val="00A00C1D"/>
    <w:rsid w:val="00A03544"/>
    <w:rsid w:val="00A04B08"/>
    <w:rsid w:val="00A0587D"/>
    <w:rsid w:val="00A075FB"/>
    <w:rsid w:val="00A1329C"/>
    <w:rsid w:val="00A1557B"/>
    <w:rsid w:val="00A228A3"/>
    <w:rsid w:val="00A230A6"/>
    <w:rsid w:val="00A23B23"/>
    <w:rsid w:val="00A2766E"/>
    <w:rsid w:val="00A3002A"/>
    <w:rsid w:val="00A32545"/>
    <w:rsid w:val="00A470B4"/>
    <w:rsid w:val="00A518FD"/>
    <w:rsid w:val="00A5420E"/>
    <w:rsid w:val="00A54F8D"/>
    <w:rsid w:val="00A55DB8"/>
    <w:rsid w:val="00A56994"/>
    <w:rsid w:val="00A616B5"/>
    <w:rsid w:val="00A62617"/>
    <w:rsid w:val="00A62813"/>
    <w:rsid w:val="00A663B0"/>
    <w:rsid w:val="00A66E32"/>
    <w:rsid w:val="00A67043"/>
    <w:rsid w:val="00A70B2D"/>
    <w:rsid w:val="00A7328B"/>
    <w:rsid w:val="00A871D6"/>
    <w:rsid w:val="00A91C49"/>
    <w:rsid w:val="00A929ED"/>
    <w:rsid w:val="00A959D0"/>
    <w:rsid w:val="00AA495F"/>
    <w:rsid w:val="00AB081C"/>
    <w:rsid w:val="00AB1DC6"/>
    <w:rsid w:val="00AB69D1"/>
    <w:rsid w:val="00AC09EC"/>
    <w:rsid w:val="00AC38DA"/>
    <w:rsid w:val="00AD041A"/>
    <w:rsid w:val="00AD288E"/>
    <w:rsid w:val="00AD3BDD"/>
    <w:rsid w:val="00AD7D71"/>
    <w:rsid w:val="00AE2529"/>
    <w:rsid w:val="00AE30A0"/>
    <w:rsid w:val="00AE65C4"/>
    <w:rsid w:val="00AE7592"/>
    <w:rsid w:val="00AE7DAD"/>
    <w:rsid w:val="00AF2B0C"/>
    <w:rsid w:val="00AF70D1"/>
    <w:rsid w:val="00B040DD"/>
    <w:rsid w:val="00B04951"/>
    <w:rsid w:val="00B109B2"/>
    <w:rsid w:val="00B12A6F"/>
    <w:rsid w:val="00B12FF5"/>
    <w:rsid w:val="00B22161"/>
    <w:rsid w:val="00B23B43"/>
    <w:rsid w:val="00B24315"/>
    <w:rsid w:val="00B34654"/>
    <w:rsid w:val="00B34DA7"/>
    <w:rsid w:val="00B35EEC"/>
    <w:rsid w:val="00B44E83"/>
    <w:rsid w:val="00B4580B"/>
    <w:rsid w:val="00B45A85"/>
    <w:rsid w:val="00B476C8"/>
    <w:rsid w:val="00B47700"/>
    <w:rsid w:val="00B47842"/>
    <w:rsid w:val="00B47E29"/>
    <w:rsid w:val="00B54FE3"/>
    <w:rsid w:val="00B57F26"/>
    <w:rsid w:val="00B6232A"/>
    <w:rsid w:val="00B73386"/>
    <w:rsid w:val="00B74538"/>
    <w:rsid w:val="00B74D1E"/>
    <w:rsid w:val="00B75DD1"/>
    <w:rsid w:val="00B7676D"/>
    <w:rsid w:val="00B7775B"/>
    <w:rsid w:val="00B83551"/>
    <w:rsid w:val="00B86AC0"/>
    <w:rsid w:val="00B876BE"/>
    <w:rsid w:val="00B91865"/>
    <w:rsid w:val="00B91D5A"/>
    <w:rsid w:val="00B926DB"/>
    <w:rsid w:val="00B95275"/>
    <w:rsid w:val="00B96559"/>
    <w:rsid w:val="00BA38FA"/>
    <w:rsid w:val="00BA5840"/>
    <w:rsid w:val="00BA5E70"/>
    <w:rsid w:val="00BC2C3E"/>
    <w:rsid w:val="00BC354B"/>
    <w:rsid w:val="00BC70DE"/>
    <w:rsid w:val="00BD3F8A"/>
    <w:rsid w:val="00BD427D"/>
    <w:rsid w:val="00BD4E7A"/>
    <w:rsid w:val="00BD7F8F"/>
    <w:rsid w:val="00BE00D5"/>
    <w:rsid w:val="00BE5341"/>
    <w:rsid w:val="00BE59D7"/>
    <w:rsid w:val="00BE767A"/>
    <w:rsid w:val="00BF26B5"/>
    <w:rsid w:val="00BF2BD3"/>
    <w:rsid w:val="00BF796C"/>
    <w:rsid w:val="00C00421"/>
    <w:rsid w:val="00C0426A"/>
    <w:rsid w:val="00C04EBE"/>
    <w:rsid w:val="00C0563C"/>
    <w:rsid w:val="00C10941"/>
    <w:rsid w:val="00C20B35"/>
    <w:rsid w:val="00C22D1D"/>
    <w:rsid w:val="00C241B0"/>
    <w:rsid w:val="00C245B1"/>
    <w:rsid w:val="00C25372"/>
    <w:rsid w:val="00C32255"/>
    <w:rsid w:val="00C32E14"/>
    <w:rsid w:val="00C34BE2"/>
    <w:rsid w:val="00C41EAD"/>
    <w:rsid w:val="00C4524F"/>
    <w:rsid w:val="00C46442"/>
    <w:rsid w:val="00C475C2"/>
    <w:rsid w:val="00C53228"/>
    <w:rsid w:val="00C61E60"/>
    <w:rsid w:val="00C6350A"/>
    <w:rsid w:val="00C640DD"/>
    <w:rsid w:val="00C64784"/>
    <w:rsid w:val="00C64DD3"/>
    <w:rsid w:val="00C70E4F"/>
    <w:rsid w:val="00C7629F"/>
    <w:rsid w:val="00C774AF"/>
    <w:rsid w:val="00C81404"/>
    <w:rsid w:val="00C81F75"/>
    <w:rsid w:val="00C83328"/>
    <w:rsid w:val="00C84B89"/>
    <w:rsid w:val="00C862A4"/>
    <w:rsid w:val="00C86545"/>
    <w:rsid w:val="00C90CD5"/>
    <w:rsid w:val="00C90FBA"/>
    <w:rsid w:val="00C961A2"/>
    <w:rsid w:val="00C96885"/>
    <w:rsid w:val="00CA29FA"/>
    <w:rsid w:val="00CB1136"/>
    <w:rsid w:val="00CB2CEB"/>
    <w:rsid w:val="00CB4A45"/>
    <w:rsid w:val="00CB600F"/>
    <w:rsid w:val="00CB6401"/>
    <w:rsid w:val="00CB6C7B"/>
    <w:rsid w:val="00CB6DF7"/>
    <w:rsid w:val="00CB7F56"/>
    <w:rsid w:val="00CC35B3"/>
    <w:rsid w:val="00CC3EA0"/>
    <w:rsid w:val="00CC49CE"/>
    <w:rsid w:val="00CD2628"/>
    <w:rsid w:val="00CD29B1"/>
    <w:rsid w:val="00CD3DBE"/>
    <w:rsid w:val="00CD3F32"/>
    <w:rsid w:val="00CE6ABF"/>
    <w:rsid w:val="00CF01ED"/>
    <w:rsid w:val="00CF1B2A"/>
    <w:rsid w:val="00CF3E7F"/>
    <w:rsid w:val="00CF52F8"/>
    <w:rsid w:val="00D01A4F"/>
    <w:rsid w:val="00D029A1"/>
    <w:rsid w:val="00D03404"/>
    <w:rsid w:val="00D14D54"/>
    <w:rsid w:val="00D23C63"/>
    <w:rsid w:val="00D246A9"/>
    <w:rsid w:val="00D24982"/>
    <w:rsid w:val="00D35287"/>
    <w:rsid w:val="00D407F7"/>
    <w:rsid w:val="00D40CC7"/>
    <w:rsid w:val="00D627DC"/>
    <w:rsid w:val="00D64E8D"/>
    <w:rsid w:val="00D673C1"/>
    <w:rsid w:val="00D67EB1"/>
    <w:rsid w:val="00D7066B"/>
    <w:rsid w:val="00D71D42"/>
    <w:rsid w:val="00D71D63"/>
    <w:rsid w:val="00D73664"/>
    <w:rsid w:val="00D73BE7"/>
    <w:rsid w:val="00D74C15"/>
    <w:rsid w:val="00D76384"/>
    <w:rsid w:val="00D8031F"/>
    <w:rsid w:val="00D87B79"/>
    <w:rsid w:val="00D9047C"/>
    <w:rsid w:val="00DA246D"/>
    <w:rsid w:val="00DA403E"/>
    <w:rsid w:val="00DA5D21"/>
    <w:rsid w:val="00DA617F"/>
    <w:rsid w:val="00DA6644"/>
    <w:rsid w:val="00DB2D9B"/>
    <w:rsid w:val="00DB4B36"/>
    <w:rsid w:val="00DC3654"/>
    <w:rsid w:val="00DC62E7"/>
    <w:rsid w:val="00DC7332"/>
    <w:rsid w:val="00DD3DD8"/>
    <w:rsid w:val="00DE0073"/>
    <w:rsid w:val="00DF0EA0"/>
    <w:rsid w:val="00DF159B"/>
    <w:rsid w:val="00DF289E"/>
    <w:rsid w:val="00DF37B9"/>
    <w:rsid w:val="00DF3F83"/>
    <w:rsid w:val="00DF4041"/>
    <w:rsid w:val="00E019FB"/>
    <w:rsid w:val="00E05FAE"/>
    <w:rsid w:val="00E14A69"/>
    <w:rsid w:val="00E17B6F"/>
    <w:rsid w:val="00E25195"/>
    <w:rsid w:val="00E269C0"/>
    <w:rsid w:val="00E30936"/>
    <w:rsid w:val="00E352F5"/>
    <w:rsid w:val="00E3666D"/>
    <w:rsid w:val="00E40BA9"/>
    <w:rsid w:val="00E5059F"/>
    <w:rsid w:val="00E50F0D"/>
    <w:rsid w:val="00E56002"/>
    <w:rsid w:val="00E702DA"/>
    <w:rsid w:val="00E70AF9"/>
    <w:rsid w:val="00E710DF"/>
    <w:rsid w:val="00E725C9"/>
    <w:rsid w:val="00E7331C"/>
    <w:rsid w:val="00E73389"/>
    <w:rsid w:val="00E74B24"/>
    <w:rsid w:val="00E800DC"/>
    <w:rsid w:val="00E800DF"/>
    <w:rsid w:val="00E80636"/>
    <w:rsid w:val="00E80897"/>
    <w:rsid w:val="00E82B01"/>
    <w:rsid w:val="00E8669B"/>
    <w:rsid w:val="00E9019F"/>
    <w:rsid w:val="00E92B49"/>
    <w:rsid w:val="00E92C01"/>
    <w:rsid w:val="00E92F56"/>
    <w:rsid w:val="00E95947"/>
    <w:rsid w:val="00E96139"/>
    <w:rsid w:val="00E9664D"/>
    <w:rsid w:val="00E96C3C"/>
    <w:rsid w:val="00EA16A7"/>
    <w:rsid w:val="00EA185D"/>
    <w:rsid w:val="00EA1F19"/>
    <w:rsid w:val="00EA38FB"/>
    <w:rsid w:val="00EB6A5C"/>
    <w:rsid w:val="00EB6AEA"/>
    <w:rsid w:val="00EB70AC"/>
    <w:rsid w:val="00EB721F"/>
    <w:rsid w:val="00EB7B7A"/>
    <w:rsid w:val="00EC0796"/>
    <w:rsid w:val="00EC1EEE"/>
    <w:rsid w:val="00EC34EE"/>
    <w:rsid w:val="00EC5452"/>
    <w:rsid w:val="00EC7E81"/>
    <w:rsid w:val="00ED15B6"/>
    <w:rsid w:val="00ED66B3"/>
    <w:rsid w:val="00EE0B2F"/>
    <w:rsid w:val="00EE2797"/>
    <w:rsid w:val="00EE3236"/>
    <w:rsid w:val="00EE32B8"/>
    <w:rsid w:val="00EE3DF6"/>
    <w:rsid w:val="00EE6309"/>
    <w:rsid w:val="00EF1190"/>
    <w:rsid w:val="00EF61A3"/>
    <w:rsid w:val="00F012FF"/>
    <w:rsid w:val="00F0154A"/>
    <w:rsid w:val="00F02861"/>
    <w:rsid w:val="00F02A1C"/>
    <w:rsid w:val="00F04F42"/>
    <w:rsid w:val="00F079D2"/>
    <w:rsid w:val="00F11F1B"/>
    <w:rsid w:val="00F14DF2"/>
    <w:rsid w:val="00F168BE"/>
    <w:rsid w:val="00F16B8B"/>
    <w:rsid w:val="00F202FB"/>
    <w:rsid w:val="00F23DED"/>
    <w:rsid w:val="00F24FF2"/>
    <w:rsid w:val="00F25F48"/>
    <w:rsid w:val="00F31B64"/>
    <w:rsid w:val="00F322E5"/>
    <w:rsid w:val="00F3779C"/>
    <w:rsid w:val="00F40C5F"/>
    <w:rsid w:val="00F449C7"/>
    <w:rsid w:val="00F46C66"/>
    <w:rsid w:val="00F51164"/>
    <w:rsid w:val="00F54CF9"/>
    <w:rsid w:val="00F55BFE"/>
    <w:rsid w:val="00F56085"/>
    <w:rsid w:val="00F5638F"/>
    <w:rsid w:val="00F60A9E"/>
    <w:rsid w:val="00F634D6"/>
    <w:rsid w:val="00F63EFC"/>
    <w:rsid w:val="00F672C4"/>
    <w:rsid w:val="00F67C6F"/>
    <w:rsid w:val="00F702A4"/>
    <w:rsid w:val="00F72480"/>
    <w:rsid w:val="00F73B5B"/>
    <w:rsid w:val="00F80D60"/>
    <w:rsid w:val="00F811F8"/>
    <w:rsid w:val="00F81988"/>
    <w:rsid w:val="00F84AE7"/>
    <w:rsid w:val="00F85489"/>
    <w:rsid w:val="00F862D4"/>
    <w:rsid w:val="00F87EDA"/>
    <w:rsid w:val="00F9085C"/>
    <w:rsid w:val="00F96378"/>
    <w:rsid w:val="00FA3033"/>
    <w:rsid w:val="00FB09A9"/>
    <w:rsid w:val="00FB246E"/>
    <w:rsid w:val="00FB457C"/>
    <w:rsid w:val="00FC4AA6"/>
    <w:rsid w:val="00FC4B6C"/>
    <w:rsid w:val="00FC6FC5"/>
    <w:rsid w:val="00FC703B"/>
    <w:rsid w:val="00FC7A7F"/>
    <w:rsid w:val="00FD09B9"/>
    <w:rsid w:val="00FD2A89"/>
    <w:rsid w:val="00FD358D"/>
    <w:rsid w:val="00FD549A"/>
    <w:rsid w:val="00FD576F"/>
    <w:rsid w:val="00FD78D4"/>
    <w:rsid w:val="00FE07C6"/>
    <w:rsid w:val="00FE5347"/>
    <w:rsid w:val="00FE5FC5"/>
    <w:rsid w:val="00FE6317"/>
    <w:rsid w:val="00FF1887"/>
    <w:rsid w:val="01000EAE"/>
    <w:rsid w:val="01C04E49"/>
    <w:rsid w:val="01E9737B"/>
    <w:rsid w:val="02B769D7"/>
    <w:rsid w:val="030A427C"/>
    <w:rsid w:val="030D2310"/>
    <w:rsid w:val="037C018D"/>
    <w:rsid w:val="04DE7879"/>
    <w:rsid w:val="04E93142"/>
    <w:rsid w:val="051E4B3B"/>
    <w:rsid w:val="054F517A"/>
    <w:rsid w:val="05592032"/>
    <w:rsid w:val="05803C23"/>
    <w:rsid w:val="058F428D"/>
    <w:rsid w:val="059B1E55"/>
    <w:rsid w:val="05CA06F1"/>
    <w:rsid w:val="05EB6F17"/>
    <w:rsid w:val="060A61D9"/>
    <w:rsid w:val="06346314"/>
    <w:rsid w:val="065F4203"/>
    <w:rsid w:val="07557BE6"/>
    <w:rsid w:val="07772BAB"/>
    <w:rsid w:val="078901E4"/>
    <w:rsid w:val="07EE794D"/>
    <w:rsid w:val="08424476"/>
    <w:rsid w:val="08643BF9"/>
    <w:rsid w:val="08A776D8"/>
    <w:rsid w:val="08AE5F8B"/>
    <w:rsid w:val="08E234DA"/>
    <w:rsid w:val="09010C31"/>
    <w:rsid w:val="091B0858"/>
    <w:rsid w:val="09222794"/>
    <w:rsid w:val="09F0183B"/>
    <w:rsid w:val="0A0A0B08"/>
    <w:rsid w:val="0A8054D9"/>
    <w:rsid w:val="0A872BF9"/>
    <w:rsid w:val="0B416FFB"/>
    <w:rsid w:val="0B467F3E"/>
    <w:rsid w:val="0B6E42B0"/>
    <w:rsid w:val="0BDF480C"/>
    <w:rsid w:val="0BEF2EFA"/>
    <w:rsid w:val="0C1B6D6B"/>
    <w:rsid w:val="0C825B1D"/>
    <w:rsid w:val="0CCC76D6"/>
    <w:rsid w:val="0CDE0CB9"/>
    <w:rsid w:val="0D787486"/>
    <w:rsid w:val="0DC80E06"/>
    <w:rsid w:val="0E100F06"/>
    <w:rsid w:val="0E2D60C2"/>
    <w:rsid w:val="0E6F58D0"/>
    <w:rsid w:val="0E905884"/>
    <w:rsid w:val="0EBA31E0"/>
    <w:rsid w:val="0F046CBD"/>
    <w:rsid w:val="0F561F6E"/>
    <w:rsid w:val="0F9D1D50"/>
    <w:rsid w:val="0FA43FFC"/>
    <w:rsid w:val="0FD73768"/>
    <w:rsid w:val="10A43A08"/>
    <w:rsid w:val="10AB2F81"/>
    <w:rsid w:val="10C6306E"/>
    <w:rsid w:val="11290585"/>
    <w:rsid w:val="11AC0F46"/>
    <w:rsid w:val="12374CB3"/>
    <w:rsid w:val="128E0BAC"/>
    <w:rsid w:val="129B34D3"/>
    <w:rsid w:val="12D14D6A"/>
    <w:rsid w:val="12FA05DA"/>
    <w:rsid w:val="133277F2"/>
    <w:rsid w:val="134C478E"/>
    <w:rsid w:val="1372481A"/>
    <w:rsid w:val="13893C35"/>
    <w:rsid w:val="13954387"/>
    <w:rsid w:val="13D72EAC"/>
    <w:rsid w:val="142013D8"/>
    <w:rsid w:val="143C7E11"/>
    <w:rsid w:val="14995D6E"/>
    <w:rsid w:val="153A40F6"/>
    <w:rsid w:val="15D13353"/>
    <w:rsid w:val="16071C99"/>
    <w:rsid w:val="160F1B23"/>
    <w:rsid w:val="162D1097"/>
    <w:rsid w:val="163F682C"/>
    <w:rsid w:val="16A40A87"/>
    <w:rsid w:val="16FA6F90"/>
    <w:rsid w:val="17567270"/>
    <w:rsid w:val="17FB323A"/>
    <w:rsid w:val="18C179CD"/>
    <w:rsid w:val="19425769"/>
    <w:rsid w:val="194A4985"/>
    <w:rsid w:val="197D1C21"/>
    <w:rsid w:val="19FE07AD"/>
    <w:rsid w:val="1ACF4504"/>
    <w:rsid w:val="1AF20311"/>
    <w:rsid w:val="1B222063"/>
    <w:rsid w:val="1B46065D"/>
    <w:rsid w:val="1C074B5F"/>
    <w:rsid w:val="1C291BFF"/>
    <w:rsid w:val="1CB6582C"/>
    <w:rsid w:val="1D063620"/>
    <w:rsid w:val="1D18008D"/>
    <w:rsid w:val="1D2869C1"/>
    <w:rsid w:val="1D29609C"/>
    <w:rsid w:val="1D8E7F6E"/>
    <w:rsid w:val="1DA5166B"/>
    <w:rsid w:val="1DAB6FF9"/>
    <w:rsid w:val="1DB64CC0"/>
    <w:rsid w:val="1E12400C"/>
    <w:rsid w:val="1E5E623C"/>
    <w:rsid w:val="1F4769B3"/>
    <w:rsid w:val="201E74B3"/>
    <w:rsid w:val="2087163B"/>
    <w:rsid w:val="20CA6A8D"/>
    <w:rsid w:val="219B1F47"/>
    <w:rsid w:val="21D45E65"/>
    <w:rsid w:val="21FF254D"/>
    <w:rsid w:val="229945A0"/>
    <w:rsid w:val="22C500B9"/>
    <w:rsid w:val="22F01266"/>
    <w:rsid w:val="235331F8"/>
    <w:rsid w:val="23A63E72"/>
    <w:rsid w:val="23A808D8"/>
    <w:rsid w:val="23B048C6"/>
    <w:rsid w:val="23C465C3"/>
    <w:rsid w:val="23C50602"/>
    <w:rsid w:val="23D31501"/>
    <w:rsid w:val="23FF1A2C"/>
    <w:rsid w:val="24E20ECA"/>
    <w:rsid w:val="253B5998"/>
    <w:rsid w:val="25424C0D"/>
    <w:rsid w:val="257A4F18"/>
    <w:rsid w:val="259F1D5E"/>
    <w:rsid w:val="26DF49E4"/>
    <w:rsid w:val="27160EE4"/>
    <w:rsid w:val="27540D23"/>
    <w:rsid w:val="28006D61"/>
    <w:rsid w:val="2826479D"/>
    <w:rsid w:val="286A55A0"/>
    <w:rsid w:val="289E72B4"/>
    <w:rsid w:val="29266E45"/>
    <w:rsid w:val="292F3BA8"/>
    <w:rsid w:val="29575DAE"/>
    <w:rsid w:val="299F78B6"/>
    <w:rsid w:val="29A76116"/>
    <w:rsid w:val="29AE7AF9"/>
    <w:rsid w:val="29DB75D6"/>
    <w:rsid w:val="2A3966F7"/>
    <w:rsid w:val="2A3B5326"/>
    <w:rsid w:val="2B1C0A72"/>
    <w:rsid w:val="2B3045D9"/>
    <w:rsid w:val="2BA70F21"/>
    <w:rsid w:val="2BDD6474"/>
    <w:rsid w:val="2BF4501B"/>
    <w:rsid w:val="2C0E2AD1"/>
    <w:rsid w:val="2D2F7AA4"/>
    <w:rsid w:val="2DCC0382"/>
    <w:rsid w:val="2EBE5122"/>
    <w:rsid w:val="2ED8230A"/>
    <w:rsid w:val="2F4737CE"/>
    <w:rsid w:val="2F8F46BA"/>
    <w:rsid w:val="2FD811D4"/>
    <w:rsid w:val="2FDC0137"/>
    <w:rsid w:val="2FDC74D7"/>
    <w:rsid w:val="303C28DF"/>
    <w:rsid w:val="30717AD3"/>
    <w:rsid w:val="30790637"/>
    <w:rsid w:val="31825A61"/>
    <w:rsid w:val="31C83722"/>
    <w:rsid w:val="31E247E4"/>
    <w:rsid w:val="31F66F76"/>
    <w:rsid w:val="322455F2"/>
    <w:rsid w:val="3268280F"/>
    <w:rsid w:val="32EC3440"/>
    <w:rsid w:val="336F329A"/>
    <w:rsid w:val="33884F17"/>
    <w:rsid w:val="33F407FF"/>
    <w:rsid w:val="341F6407"/>
    <w:rsid w:val="345F1E52"/>
    <w:rsid w:val="34D67A66"/>
    <w:rsid w:val="353A7518"/>
    <w:rsid w:val="35795D99"/>
    <w:rsid w:val="35AD4498"/>
    <w:rsid w:val="37235AB9"/>
    <w:rsid w:val="372B338C"/>
    <w:rsid w:val="37421881"/>
    <w:rsid w:val="377C75DE"/>
    <w:rsid w:val="37FF4E73"/>
    <w:rsid w:val="386216E9"/>
    <w:rsid w:val="388A1F10"/>
    <w:rsid w:val="39096AEA"/>
    <w:rsid w:val="391148FB"/>
    <w:rsid w:val="395C5E61"/>
    <w:rsid w:val="3A3A5783"/>
    <w:rsid w:val="3A4554C0"/>
    <w:rsid w:val="3A9674DA"/>
    <w:rsid w:val="3AB962FE"/>
    <w:rsid w:val="3B640BA2"/>
    <w:rsid w:val="3B894BAD"/>
    <w:rsid w:val="3B935C8C"/>
    <w:rsid w:val="3BEF5629"/>
    <w:rsid w:val="3C0F30C1"/>
    <w:rsid w:val="3C1F35D9"/>
    <w:rsid w:val="3C3F7F12"/>
    <w:rsid w:val="3D6035F4"/>
    <w:rsid w:val="3D6A7D83"/>
    <w:rsid w:val="3DD062F3"/>
    <w:rsid w:val="3E3D00FE"/>
    <w:rsid w:val="3ED14D30"/>
    <w:rsid w:val="3F4402D4"/>
    <w:rsid w:val="3FBD419A"/>
    <w:rsid w:val="3FEF0115"/>
    <w:rsid w:val="4026465A"/>
    <w:rsid w:val="409B7833"/>
    <w:rsid w:val="40D767EB"/>
    <w:rsid w:val="41405083"/>
    <w:rsid w:val="414A327B"/>
    <w:rsid w:val="41AA07D2"/>
    <w:rsid w:val="422C08E6"/>
    <w:rsid w:val="424D5C15"/>
    <w:rsid w:val="42DB6C41"/>
    <w:rsid w:val="437D3F4D"/>
    <w:rsid w:val="444A5133"/>
    <w:rsid w:val="44A45929"/>
    <w:rsid w:val="44AF3ECB"/>
    <w:rsid w:val="44DF2E05"/>
    <w:rsid w:val="44ED72D0"/>
    <w:rsid w:val="45684A03"/>
    <w:rsid w:val="456B5A72"/>
    <w:rsid w:val="45850F98"/>
    <w:rsid w:val="45997C2E"/>
    <w:rsid w:val="459F4B5C"/>
    <w:rsid w:val="46272681"/>
    <w:rsid w:val="46992882"/>
    <w:rsid w:val="46AB2B8B"/>
    <w:rsid w:val="47350FCF"/>
    <w:rsid w:val="47795D67"/>
    <w:rsid w:val="47D1045D"/>
    <w:rsid w:val="486E0E2D"/>
    <w:rsid w:val="48893C4D"/>
    <w:rsid w:val="488A12B6"/>
    <w:rsid w:val="49535714"/>
    <w:rsid w:val="49626529"/>
    <w:rsid w:val="497D09D9"/>
    <w:rsid w:val="498A7087"/>
    <w:rsid w:val="49AC594C"/>
    <w:rsid w:val="49C92E80"/>
    <w:rsid w:val="49DE7B2F"/>
    <w:rsid w:val="4A021D31"/>
    <w:rsid w:val="4A0F1795"/>
    <w:rsid w:val="4A2B1F00"/>
    <w:rsid w:val="4A873D23"/>
    <w:rsid w:val="4AB06D71"/>
    <w:rsid w:val="4ABF10E9"/>
    <w:rsid w:val="4AF8077D"/>
    <w:rsid w:val="4B29456B"/>
    <w:rsid w:val="4B8640F6"/>
    <w:rsid w:val="4C920F32"/>
    <w:rsid w:val="4CB0642D"/>
    <w:rsid w:val="4D176E22"/>
    <w:rsid w:val="4D355CB8"/>
    <w:rsid w:val="4D7C686E"/>
    <w:rsid w:val="4DA768EE"/>
    <w:rsid w:val="4E9D3F4B"/>
    <w:rsid w:val="4F4363DE"/>
    <w:rsid w:val="4F943823"/>
    <w:rsid w:val="4FEF2732"/>
    <w:rsid w:val="50AF4054"/>
    <w:rsid w:val="50D84310"/>
    <w:rsid w:val="50EC48E0"/>
    <w:rsid w:val="50FA31FF"/>
    <w:rsid w:val="51A41964"/>
    <w:rsid w:val="51BD7519"/>
    <w:rsid w:val="51DF797A"/>
    <w:rsid w:val="524341E6"/>
    <w:rsid w:val="52CB49C9"/>
    <w:rsid w:val="532D7047"/>
    <w:rsid w:val="538F32C1"/>
    <w:rsid w:val="53AC24F1"/>
    <w:rsid w:val="54365972"/>
    <w:rsid w:val="547D07C5"/>
    <w:rsid w:val="54C164D8"/>
    <w:rsid w:val="561B7A15"/>
    <w:rsid w:val="56703C1D"/>
    <w:rsid w:val="56881A0F"/>
    <w:rsid w:val="56B845D7"/>
    <w:rsid w:val="56BB34AB"/>
    <w:rsid w:val="56ED13B1"/>
    <w:rsid w:val="56F54808"/>
    <w:rsid w:val="570071AC"/>
    <w:rsid w:val="575925A3"/>
    <w:rsid w:val="5785783C"/>
    <w:rsid w:val="57DF38BA"/>
    <w:rsid w:val="57E60C03"/>
    <w:rsid w:val="58150DE5"/>
    <w:rsid w:val="58207565"/>
    <w:rsid w:val="584E0E60"/>
    <w:rsid w:val="585F407F"/>
    <w:rsid w:val="58DF3A45"/>
    <w:rsid w:val="593432C8"/>
    <w:rsid w:val="5960230F"/>
    <w:rsid w:val="59A452B1"/>
    <w:rsid w:val="5A115D54"/>
    <w:rsid w:val="5A14041D"/>
    <w:rsid w:val="5A60386F"/>
    <w:rsid w:val="5A7B1206"/>
    <w:rsid w:val="5A821E11"/>
    <w:rsid w:val="5B1869B3"/>
    <w:rsid w:val="5B476137"/>
    <w:rsid w:val="5B51727C"/>
    <w:rsid w:val="5B6946F1"/>
    <w:rsid w:val="5B793214"/>
    <w:rsid w:val="5B81031A"/>
    <w:rsid w:val="5C521532"/>
    <w:rsid w:val="5C621976"/>
    <w:rsid w:val="5D373386"/>
    <w:rsid w:val="5D8F1FE1"/>
    <w:rsid w:val="5DB41FDD"/>
    <w:rsid w:val="5E0C7BF3"/>
    <w:rsid w:val="5E914219"/>
    <w:rsid w:val="5EB804F7"/>
    <w:rsid w:val="5EC953EE"/>
    <w:rsid w:val="5EDB1AE4"/>
    <w:rsid w:val="5EF01C59"/>
    <w:rsid w:val="5F8623A3"/>
    <w:rsid w:val="5FF737DF"/>
    <w:rsid w:val="60057A62"/>
    <w:rsid w:val="60407E81"/>
    <w:rsid w:val="604B3047"/>
    <w:rsid w:val="605E34DA"/>
    <w:rsid w:val="60C921A6"/>
    <w:rsid w:val="6183159A"/>
    <w:rsid w:val="61B976E5"/>
    <w:rsid w:val="61C4647F"/>
    <w:rsid w:val="62123A48"/>
    <w:rsid w:val="621E68C3"/>
    <w:rsid w:val="622B3EF8"/>
    <w:rsid w:val="62463E93"/>
    <w:rsid w:val="629E00CC"/>
    <w:rsid w:val="62C85712"/>
    <w:rsid w:val="62D63EB5"/>
    <w:rsid w:val="631A0635"/>
    <w:rsid w:val="63D0476B"/>
    <w:rsid w:val="64044124"/>
    <w:rsid w:val="642E4803"/>
    <w:rsid w:val="64460353"/>
    <w:rsid w:val="64CD3791"/>
    <w:rsid w:val="64D95A02"/>
    <w:rsid w:val="65BB2491"/>
    <w:rsid w:val="65E55FC8"/>
    <w:rsid w:val="676D2C16"/>
    <w:rsid w:val="679F04A6"/>
    <w:rsid w:val="68727968"/>
    <w:rsid w:val="688068A8"/>
    <w:rsid w:val="68D15DD6"/>
    <w:rsid w:val="69253254"/>
    <w:rsid w:val="692A274B"/>
    <w:rsid w:val="6942558D"/>
    <w:rsid w:val="69446E7E"/>
    <w:rsid w:val="694E17D6"/>
    <w:rsid w:val="696477AC"/>
    <w:rsid w:val="69651775"/>
    <w:rsid w:val="69727765"/>
    <w:rsid w:val="6A503CD9"/>
    <w:rsid w:val="6A6D758A"/>
    <w:rsid w:val="6AB86096"/>
    <w:rsid w:val="6B06272A"/>
    <w:rsid w:val="6B5F3BDB"/>
    <w:rsid w:val="6B7E4876"/>
    <w:rsid w:val="6BAA566B"/>
    <w:rsid w:val="6BB37AA8"/>
    <w:rsid w:val="6C14191F"/>
    <w:rsid w:val="6C376397"/>
    <w:rsid w:val="6C5A784B"/>
    <w:rsid w:val="6CD20486"/>
    <w:rsid w:val="6CE054AE"/>
    <w:rsid w:val="6DF84D59"/>
    <w:rsid w:val="6E186183"/>
    <w:rsid w:val="6E3906A3"/>
    <w:rsid w:val="6F5411F6"/>
    <w:rsid w:val="6F571666"/>
    <w:rsid w:val="6FAB625A"/>
    <w:rsid w:val="70271038"/>
    <w:rsid w:val="707372E6"/>
    <w:rsid w:val="70974410"/>
    <w:rsid w:val="7105103E"/>
    <w:rsid w:val="7127515D"/>
    <w:rsid w:val="718030F6"/>
    <w:rsid w:val="719C1B0A"/>
    <w:rsid w:val="71A0648B"/>
    <w:rsid w:val="73C36B74"/>
    <w:rsid w:val="74052A33"/>
    <w:rsid w:val="743E63A9"/>
    <w:rsid w:val="748C1DB2"/>
    <w:rsid w:val="74D144E8"/>
    <w:rsid w:val="7530098F"/>
    <w:rsid w:val="75D87FC2"/>
    <w:rsid w:val="75E9473F"/>
    <w:rsid w:val="76103A1A"/>
    <w:rsid w:val="76366479"/>
    <w:rsid w:val="76A62606"/>
    <w:rsid w:val="76D812DE"/>
    <w:rsid w:val="76ED2E3B"/>
    <w:rsid w:val="78470B15"/>
    <w:rsid w:val="78B01263"/>
    <w:rsid w:val="78B05718"/>
    <w:rsid w:val="78BD36C3"/>
    <w:rsid w:val="79231CC3"/>
    <w:rsid w:val="79482C22"/>
    <w:rsid w:val="797A48CF"/>
    <w:rsid w:val="79CE3C94"/>
    <w:rsid w:val="79ED51C4"/>
    <w:rsid w:val="7A0335EA"/>
    <w:rsid w:val="7A1B0F8E"/>
    <w:rsid w:val="7ABC256E"/>
    <w:rsid w:val="7B2F2F88"/>
    <w:rsid w:val="7BAD653C"/>
    <w:rsid w:val="7BD543AD"/>
    <w:rsid w:val="7C3D6D25"/>
    <w:rsid w:val="7D114889"/>
    <w:rsid w:val="7D423E9D"/>
    <w:rsid w:val="7D555C09"/>
    <w:rsid w:val="7DD157D3"/>
    <w:rsid w:val="7DD42A7E"/>
    <w:rsid w:val="7E202C16"/>
    <w:rsid w:val="7EEF5B5B"/>
    <w:rsid w:val="7F1137CB"/>
    <w:rsid w:val="7FEE1B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122"/>
        <o:r id="V:Rule2" type="connector" idref="#_x0000_s2124"/>
        <o:r id="V:Rule3" type="connector" idref="#_x0000_s2126"/>
        <o:r id="V:Rule4" type="connector" idref="#_x0000_s2127"/>
        <o:r id="V:Rule5" type="connector" idref="#_x0000_s2130"/>
        <o:r id="V:Rule6" type="connector" idref="#_x0000_s2136"/>
        <o:r id="V:Rule7" type="connector" idref="#_x0000_s2140"/>
        <o:r id="V:Rule8" type="connector" idref="#_x0000_s2141"/>
        <o:r id="V:Rule9" type="connector" idref="#_x0000_s2145"/>
        <o:r id="V:Rule10" type="connector" idref="#_x0000_s2152"/>
        <o:r id="V:Rule11" type="connector" idref="#_x0000_s2154"/>
        <o:r id="V:Rule12" type="connector" idref="#_x0000_s2156"/>
        <o:r id="V:Rule13" type="connector" idref="#_x0000_s2157"/>
        <o:r id="V:Rule14" type="connector" idref="#_x0000_s2161"/>
        <o:r id="V:Rule15" type="connector" idref="#_x0000_s2167"/>
        <o:r id="V:Rule16" type="connector" idref="#_x0000_s2169"/>
        <o:r id="V:Rule17" type="connector" idref="#_x0000_s2171"/>
        <o:r id="V:Rule18" type="connector" idref="#_x0000_s2173"/>
        <o:r id="V:Rule19" type="connector" idref="#_x0000_s2176"/>
        <o:r id="V:Rule20" type="connector" idref="#_x0000_s2182"/>
        <o:r id="V:Rule21" type="connector" idref="#_x0000_s2183"/>
        <o:r id="V:Rule22" type="connector" idref="#_x0000_s2184"/>
        <o:r id="V:Rule23" type="connector" idref="#_x0000_s2185"/>
        <o:r id="V:Rule24" type="connector" idref="#_x0000_s2186"/>
        <o:r id="V:Rule25" type="connector" idref="#_x0000_s2188"/>
        <o:r id="V:Rule26" type="connector" idref="#_x0000_s2189"/>
        <o:r id="V:Rule27" type="connector" idref="#_x0000_s2192"/>
        <o:r id="V:Rule28" type="connector" idref="#_x0000_s2197"/>
        <o:r id="V:Rule29" type="connector" idref="#_x0000_s2198"/>
        <o:r id="V:Rule30" type="connector" idref="#_x0000_s220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link w:val="92"/>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link w:val="41"/>
    <w:autoRedefine/>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9">
    <w:name w:val="heading 4"/>
    <w:basedOn w:val="1"/>
    <w:next w:val="1"/>
    <w:link w:val="106"/>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59"/>
    <w:autoRedefine/>
    <w:semiHidden/>
    <w:unhideWhenUsed/>
    <w:qFormat/>
    <w:uiPriority w:val="99"/>
    <w:pPr>
      <w:spacing w:after="120"/>
    </w:pPr>
  </w:style>
  <w:style w:type="paragraph" w:customStyle="1" w:styleId="3">
    <w:name w:val="xl27"/>
    <w:basedOn w:val="4"/>
    <w:next w:val="5"/>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pPr>
    <w:rPr>
      <w:rFonts w:eastAsia="Arial Unicode MS"/>
      <w:kern w:val="0"/>
      <w:sz w:val="24"/>
      <w:szCs w:val="21"/>
    </w:rPr>
  </w:style>
  <w:style w:type="paragraph" w:styleId="4">
    <w:name w:val="table of authorities"/>
    <w:basedOn w:val="1"/>
    <w:next w:val="1"/>
    <w:qFormat/>
    <w:uiPriority w:val="0"/>
    <w:pPr>
      <w:ind w:left="420" w:leftChars="200"/>
    </w:pPr>
  </w:style>
  <w:style w:type="paragraph" w:styleId="5">
    <w:name w:val="Body Text Indent 2"/>
    <w:basedOn w:val="1"/>
    <w:next w:val="1"/>
    <w:qFormat/>
    <w:uiPriority w:val="0"/>
    <w:pPr>
      <w:spacing w:after="120" w:line="480" w:lineRule="auto"/>
      <w:ind w:left="420" w:leftChars="200" w:firstLine="0" w:firstLineChars="0"/>
    </w:pPr>
    <w:rPr>
      <w:sz w:val="21"/>
      <w:szCs w:val="24"/>
    </w:rPr>
  </w:style>
  <w:style w:type="paragraph" w:styleId="10">
    <w:name w:val="Normal Indent"/>
    <w:basedOn w:val="1"/>
    <w:link w:val="71"/>
    <w:autoRedefine/>
    <w:qFormat/>
    <w:uiPriority w:val="0"/>
    <w:pPr>
      <w:adjustRightInd w:val="0"/>
      <w:snapToGrid w:val="0"/>
      <w:spacing w:after="0" w:line="360" w:lineRule="auto"/>
      <w:ind w:firstLine="0" w:firstLineChars="0"/>
      <w:jc w:val="center"/>
    </w:pPr>
    <w:rPr>
      <w:rFonts w:eastAsia="黑体"/>
      <w:sz w:val="24"/>
      <w:szCs w:val="21"/>
    </w:rPr>
  </w:style>
  <w:style w:type="paragraph" w:styleId="11">
    <w:name w:val="caption"/>
    <w:basedOn w:val="1"/>
    <w:next w:val="1"/>
    <w:link w:val="85"/>
    <w:autoRedefine/>
    <w:qFormat/>
    <w:uiPriority w:val="0"/>
    <w:pPr>
      <w:adjustRightInd w:val="0"/>
      <w:snapToGrid w:val="0"/>
      <w:spacing w:line="360" w:lineRule="auto"/>
      <w:jc w:val="left"/>
    </w:pPr>
    <w:rPr>
      <w:rFonts w:ascii="Times New Roman" w:hAnsi="Times New Roman" w:eastAsia="黑体"/>
      <w:sz w:val="24"/>
    </w:rPr>
  </w:style>
  <w:style w:type="paragraph" w:styleId="12">
    <w:name w:val="Document Map"/>
    <w:basedOn w:val="1"/>
    <w:link w:val="39"/>
    <w:autoRedefine/>
    <w:semiHidden/>
    <w:unhideWhenUsed/>
    <w:qFormat/>
    <w:uiPriority w:val="99"/>
    <w:rPr>
      <w:rFonts w:ascii="宋体" w:eastAsia="宋体"/>
      <w:sz w:val="18"/>
      <w:szCs w:val="18"/>
    </w:rPr>
  </w:style>
  <w:style w:type="paragraph" w:styleId="13">
    <w:name w:val="annotation text"/>
    <w:basedOn w:val="1"/>
    <w:link w:val="77"/>
    <w:autoRedefine/>
    <w:unhideWhenUsed/>
    <w:qFormat/>
    <w:uiPriority w:val="0"/>
    <w:pPr>
      <w:jc w:val="left"/>
    </w:pPr>
    <w:rPr>
      <w:rFonts w:ascii="Calibri" w:hAnsi="Calibri" w:eastAsia="宋体" w:cs="Times New Roman"/>
    </w:rPr>
  </w:style>
  <w:style w:type="paragraph" w:styleId="14">
    <w:name w:val="Body Text Indent"/>
    <w:basedOn w:val="1"/>
    <w:next w:val="15"/>
    <w:link w:val="55"/>
    <w:autoRedefine/>
    <w:qFormat/>
    <w:uiPriority w:val="0"/>
    <w:pPr>
      <w:spacing w:after="120"/>
      <w:ind w:left="420" w:leftChars="200"/>
    </w:pPr>
  </w:style>
  <w:style w:type="paragraph" w:styleId="15">
    <w:name w:val="Body Text First Indent 2"/>
    <w:basedOn w:val="14"/>
    <w:next w:val="1"/>
    <w:link w:val="73"/>
    <w:autoRedefine/>
    <w:unhideWhenUsed/>
    <w:qFormat/>
    <w:uiPriority w:val="99"/>
    <w:pPr>
      <w:ind w:firstLine="420" w:firstLineChars="200"/>
    </w:pPr>
    <w:rPr>
      <w:rFonts w:ascii="Calibri" w:hAnsi="Calibri" w:eastAsia="宋体" w:cs="Times New Roman"/>
    </w:rPr>
  </w:style>
  <w:style w:type="paragraph" w:styleId="16">
    <w:name w:val="Plain Text"/>
    <w:basedOn w:val="1"/>
    <w:next w:val="1"/>
    <w:link w:val="81"/>
    <w:autoRedefine/>
    <w:qFormat/>
    <w:uiPriority w:val="0"/>
    <w:rPr>
      <w:rFonts w:ascii="宋体" w:hAnsi="Courier New" w:eastAsia="宋体" w:cs="Times New Roman"/>
      <w:szCs w:val="21"/>
    </w:rPr>
  </w:style>
  <w:style w:type="paragraph" w:styleId="17">
    <w:name w:val="Balloon Text"/>
    <w:basedOn w:val="1"/>
    <w:link w:val="58"/>
    <w:autoRedefine/>
    <w:semiHidden/>
    <w:unhideWhenUsed/>
    <w:qFormat/>
    <w:uiPriority w:val="99"/>
    <w:rPr>
      <w:sz w:val="18"/>
      <w:szCs w:val="18"/>
    </w:rPr>
  </w:style>
  <w:style w:type="paragraph" w:styleId="18">
    <w:name w:val="footer"/>
    <w:basedOn w:val="1"/>
    <w:link w:val="54"/>
    <w:autoRedefine/>
    <w:unhideWhenUsed/>
    <w:qFormat/>
    <w:uiPriority w:val="99"/>
    <w:pPr>
      <w:tabs>
        <w:tab w:val="center" w:pos="4153"/>
        <w:tab w:val="right" w:pos="8306"/>
      </w:tabs>
      <w:snapToGrid w:val="0"/>
      <w:jc w:val="left"/>
    </w:pPr>
    <w:rPr>
      <w:sz w:val="18"/>
      <w:szCs w:val="18"/>
    </w:rPr>
  </w:style>
  <w:style w:type="paragraph" w:styleId="19">
    <w:name w:val="header"/>
    <w:basedOn w:val="1"/>
    <w:next w:val="20"/>
    <w:link w:val="5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20">
    <w:name w:val="样式5"/>
    <w:basedOn w:val="21"/>
    <w:autoRedefine/>
    <w:qFormat/>
    <w:uiPriority w:val="0"/>
    <w:pPr>
      <w:spacing w:line="380" w:lineRule="exact"/>
      <w:ind w:firstLine="566" w:firstLineChars="202"/>
    </w:pPr>
    <w:rPr>
      <w:rFonts w:eastAsia="华文行楷"/>
      <w:sz w:val="28"/>
    </w:rPr>
  </w:style>
  <w:style w:type="paragraph" w:customStyle="1" w:styleId="21">
    <w:name w:val="正文1"/>
    <w:next w:val="1"/>
    <w:autoRedefine/>
    <w:qFormat/>
    <w:uiPriority w:val="0"/>
    <w:pPr>
      <w:jc w:val="both"/>
    </w:pPr>
    <w:rPr>
      <w:rFonts w:ascii="Times New Roman" w:hAnsi="Times New Roman" w:eastAsia="宋体" w:cs="Times New Roman"/>
      <w:kern w:val="2"/>
      <w:sz w:val="21"/>
      <w:szCs w:val="21"/>
      <w:lang w:val="en-US" w:eastAsia="zh-CN" w:bidi="ar-SA"/>
    </w:rPr>
  </w:style>
  <w:style w:type="paragraph" w:styleId="22">
    <w:name w:val="Body Text 2"/>
    <w:basedOn w:val="1"/>
    <w:link w:val="89"/>
    <w:autoRedefine/>
    <w:unhideWhenUsed/>
    <w:qFormat/>
    <w:uiPriority w:val="99"/>
    <w:pPr>
      <w:spacing w:after="120" w:line="480" w:lineRule="auto"/>
    </w:pPr>
  </w:style>
  <w:style w:type="paragraph" w:styleId="23">
    <w:name w:val="Normal (Web)"/>
    <w:basedOn w:val="1"/>
    <w:link w:val="36"/>
    <w:autoRedefine/>
    <w:unhideWhenUsed/>
    <w:qFormat/>
    <w:uiPriority w:val="99"/>
    <w:pPr>
      <w:widowControl/>
      <w:spacing w:before="100" w:beforeAutospacing="1" w:after="100" w:afterAutospacing="1"/>
      <w:jc w:val="left"/>
    </w:pPr>
    <w:rPr>
      <w:rFonts w:ascii="宋体" w:hAnsi="宋体" w:eastAsia="宋体"/>
      <w:sz w:val="24"/>
    </w:rPr>
  </w:style>
  <w:style w:type="paragraph" w:styleId="24">
    <w:name w:val="annotation subject"/>
    <w:basedOn w:val="13"/>
    <w:next w:val="13"/>
    <w:link w:val="96"/>
    <w:autoRedefine/>
    <w:semiHidden/>
    <w:unhideWhenUsed/>
    <w:qFormat/>
    <w:uiPriority w:val="99"/>
    <w:rPr>
      <w:rFonts w:asciiTheme="minorHAnsi" w:hAnsiTheme="minorHAnsi" w:eastAsiaTheme="minorEastAsia" w:cstheme="minorBidi"/>
      <w:b/>
      <w:bCs/>
    </w:rPr>
  </w:style>
  <w:style w:type="paragraph" w:styleId="25">
    <w:name w:val="Body Text First Indent"/>
    <w:basedOn w:val="2"/>
    <w:next w:val="1"/>
    <w:link w:val="62"/>
    <w:autoRedefine/>
    <w:semiHidden/>
    <w:unhideWhenUsed/>
    <w:qFormat/>
    <w:uiPriority w:val="99"/>
    <w:pPr>
      <w:ind w:firstLine="420" w:firstLineChars="100"/>
    </w:p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Hyperlink"/>
    <w:autoRedefine/>
    <w:qFormat/>
    <w:uiPriority w:val="99"/>
    <w:rPr>
      <w:color w:val="2B2B2B"/>
      <w:u w:val="none"/>
    </w:rPr>
  </w:style>
  <w:style w:type="character" w:styleId="30">
    <w:name w:val="annotation reference"/>
    <w:basedOn w:val="28"/>
    <w:autoRedefine/>
    <w:semiHidden/>
    <w:unhideWhenUsed/>
    <w:qFormat/>
    <w:uiPriority w:val="0"/>
    <w:rPr>
      <w:sz w:val="21"/>
      <w:szCs w:val="21"/>
    </w:rPr>
  </w:style>
  <w:style w:type="paragraph" w:customStyle="1" w:styleId="31">
    <w:name w:val="0正文"/>
    <w:autoRedefine/>
    <w:qFormat/>
    <w:uiPriority w:val="0"/>
    <w:pPr>
      <w:widowControl w:val="0"/>
      <w:spacing w:line="360" w:lineRule="auto"/>
      <w:ind w:firstLine="720" w:firstLineChars="200"/>
    </w:pPr>
    <w:rPr>
      <w:rFonts w:ascii="Calibri" w:hAnsi="Calibri" w:eastAsia="仿宋_GB2312" w:cs="Times New Roman"/>
      <w:sz w:val="24"/>
      <w:szCs w:val="22"/>
      <w:lang w:val="en-US" w:eastAsia="zh-CN" w:bidi="ar-SA"/>
    </w:rPr>
  </w:style>
  <w:style w:type="paragraph" w:customStyle="1" w:styleId="32">
    <w:name w:val="A正文"/>
    <w:basedOn w:val="1"/>
    <w:autoRedefine/>
    <w:qFormat/>
    <w:uiPriority w:val="0"/>
    <w:pPr>
      <w:widowControl/>
      <w:overflowPunct w:val="0"/>
      <w:autoSpaceDE w:val="0"/>
      <w:autoSpaceDN w:val="0"/>
      <w:jc w:val="left"/>
      <w:textAlignment w:val="baseline"/>
    </w:pPr>
  </w:style>
  <w:style w:type="paragraph" w:customStyle="1" w:styleId="33">
    <w:name w:val="样式 正文文本 + 首行缩进:  2 字符"/>
    <w:basedOn w:val="2"/>
    <w:autoRedefine/>
    <w:qFormat/>
    <w:uiPriority w:val="0"/>
    <w:pPr>
      <w:spacing w:line="480" w:lineRule="exact"/>
      <w:ind w:firstLine="480" w:firstLineChars="200"/>
    </w:pPr>
    <w:rPr>
      <w:rFonts w:ascii="宋体" w:hAnsi="宋体" w:eastAsia="宋体" w:cs="宋体"/>
      <w:sz w:val="24"/>
      <w:szCs w:val="20"/>
    </w:rPr>
  </w:style>
  <w:style w:type="paragraph" w:customStyle="1" w:styleId="34">
    <w:name w:val="表头"/>
    <w:basedOn w:val="1"/>
    <w:link w:val="57"/>
    <w:autoRedefine/>
    <w:qFormat/>
    <w:uiPriority w:val="0"/>
    <w:pPr>
      <w:tabs>
        <w:tab w:val="left" w:pos="1021"/>
      </w:tabs>
      <w:adjustRightInd w:val="0"/>
      <w:spacing w:line="300" w:lineRule="auto"/>
      <w:jc w:val="center"/>
    </w:pPr>
    <w:rPr>
      <w:rFonts w:eastAsia="宋体"/>
      <w:b/>
      <w:color w:val="000000"/>
      <w:kern w:val="24"/>
      <w:szCs w:val="21"/>
    </w:rPr>
  </w:style>
  <w:style w:type="paragraph" w:customStyle="1" w:styleId="35">
    <w:name w:val="正  文"/>
    <w:basedOn w:val="1"/>
    <w:next w:val="1"/>
    <w:autoRedefine/>
    <w:qFormat/>
    <w:uiPriority w:val="0"/>
    <w:pPr>
      <w:spacing w:line="360" w:lineRule="auto"/>
      <w:ind w:firstLine="560" w:firstLineChars="200"/>
    </w:pPr>
    <w:rPr>
      <w:rFonts w:ascii="仿宋_GB2312" w:hAnsi="仿宋_GB2312" w:eastAsia="仿宋_GB2312"/>
      <w:sz w:val="28"/>
      <w:szCs w:val="28"/>
    </w:rPr>
  </w:style>
  <w:style w:type="character" w:customStyle="1" w:styleId="36">
    <w:name w:val="普通(网站) Char"/>
    <w:link w:val="23"/>
    <w:autoRedefine/>
    <w:qFormat/>
    <w:locked/>
    <w:uiPriority w:val="0"/>
    <w:rPr>
      <w:rFonts w:ascii="宋体" w:hAnsi="宋体" w:eastAsia="宋体"/>
      <w:sz w:val="24"/>
    </w:rPr>
  </w:style>
  <w:style w:type="character" w:customStyle="1" w:styleId="37">
    <w:name w:val="表格 Char"/>
    <w:link w:val="38"/>
    <w:autoRedefine/>
    <w:qFormat/>
    <w:locked/>
    <w:uiPriority w:val="0"/>
    <w:rPr>
      <w:rFonts w:ascii="宋体" w:hAnsi="宋体" w:eastAsia="宋体"/>
    </w:rPr>
  </w:style>
  <w:style w:type="paragraph" w:customStyle="1" w:styleId="38">
    <w:name w:val="表格"/>
    <w:basedOn w:val="10"/>
    <w:next w:val="1"/>
    <w:link w:val="37"/>
    <w:autoRedefine/>
    <w:qFormat/>
    <w:uiPriority w:val="0"/>
    <w:pPr>
      <w:adjustRightInd w:val="0"/>
      <w:snapToGrid w:val="0"/>
      <w:spacing w:beforeLines="10" w:line="256" w:lineRule="auto"/>
      <w:jc w:val="center"/>
    </w:pPr>
    <w:rPr>
      <w:rFonts w:ascii="宋体" w:hAnsi="宋体" w:eastAsia="宋体"/>
    </w:rPr>
  </w:style>
  <w:style w:type="character" w:customStyle="1" w:styleId="39">
    <w:name w:val="文档结构图 Char"/>
    <w:basedOn w:val="28"/>
    <w:link w:val="12"/>
    <w:autoRedefine/>
    <w:semiHidden/>
    <w:qFormat/>
    <w:uiPriority w:val="99"/>
    <w:rPr>
      <w:rFonts w:ascii="宋体" w:eastAsia="宋体"/>
      <w:sz w:val="18"/>
      <w:szCs w:val="18"/>
    </w:rPr>
  </w:style>
  <w:style w:type="character" w:customStyle="1" w:styleId="40">
    <w:name w:val="标题 3 Char"/>
    <w:basedOn w:val="28"/>
    <w:autoRedefine/>
    <w:semiHidden/>
    <w:qFormat/>
    <w:uiPriority w:val="9"/>
    <w:rPr>
      <w:b/>
      <w:bCs/>
      <w:sz w:val="32"/>
      <w:szCs w:val="32"/>
    </w:rPr>
  </w:style>
  <w:style w:type="character" w:customStyle="1" w:styleId="41">
    <w:name w:val="标题 3 Char1"/>
    <w:link w:val="8"/>
    <w:autoRedefine/>
    <w:qFormat/>
    <w:uiPriority w:val="0"/>
    <w:rPr>
      <w:rFonts w:ascii="Times New Roman" w:hAnsi="Times New Roman" w:eastAsia="宋体" w:cs="Times New Roman"/>
      <w:b/>
      <w:bCs/>
      <w:sz w:val="32"/>
      <w:szCs w:val="32"/>
    </w:rPr>
  </w:style>
  <w:style w:type="character" w:customStyle="1" w:styleId="42">
    <w:name w:val="Default Char"/>
    <w:link w:val="43"/>
    <w:autoRedefine/>
    <w:qFormat/>
    <w:uiPriority w:val="99"/>
    <w:rPr>
      <w:rFonts w:ascii="宋体"/>
      <w:color w:val="000000"/>
      <w:sz w:val="24"/>
      <w:szCs w:val="24"/>
    </w:rPr>
  </w:style>
  <w:style w:type="paragraph" w:customStyle="1" w:styleId="43">
    <w:name w:val="Default"/>
    <w:basedOn w:val="44"/>
    <w:link w:val="42"/>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customStyle="1" w:styleId="44">
    <w:name w:val="纯文本1"/>
    <w:basedOn w:val="1"/>
    <w:autoRedefine/>
    <w:qFormat/>
    <w:uiPriority w:val="0"/>
    <w:pPr>
      <w:adjustRightInd w:val="0"/>
    </w:pPr>
    <w:rPr>
      <w:rFonts w:ascii="宋体" w:hAnsi="Courier New"/>
      <w:szCs w:val="20"/>
    </w:rPr>
  </w:style>
  <w:style w:type="paragraph" w:customStyle="1" w:styleId="45">
    <w:name w:val="Table Paragraph"/>
    <w:basedOn w:val="1"/>
    <w:autoRedefine/>
    <w:qFormat/>
    <w:uiPriority w:val="1"/>
    <w:pPr>
      <w:jc w:val="left"/>
    </w:pPr>
    <w:rPr>
      <w:rFonts w:ascii="Calibri" w:hAnsi="Calibri" w:eastAsia="宋体" w:cs="Times New Roman"/>
      <w:kern w:val="0"/>
      <w:sz w:val="22"/>
      <w:lang w:eastAsia="en-US"/>
    </w:rPr>
  </w:style>
  <w:style w:type="paragraph" w:customStyle="1" w:styleId="46">
    <w:name w:val="列出段落1"/>
    <w:basedOn w:val="1"/>
    <w:autoRedefine/>
    <w:qFormat/>
    <w:uiPriority w:val="0"/>
    <w:pPr>
      <w:jc w:val="left"/>
    </w:pPr>
    <w:rPr>
      <w:rFonts w:ascii="Calibri" w:hAnsi="Calibri" w:eastAsia="宋体" w:cs="Times New Roman"/>
      <w:kern w:val="0"/>
      <w:sz w:val="22"/>
      <w:lang w:eastAsia="en-US"/>
    </w:rPr>
  </w:style>
  <w:style w:type="paragraph" w:customStyle="1" w:styleId="47">
    <w:name w:val="表头样式"/>
    <w:basedOn w:val="1"/>
    <w:link w:val="48"/>
    <w:autoRedefine/>
    <w:qFormat/>
    <w:uiPriority w:val="0"/>
    <w:pPr>
      <w:suppressAutoHyphens/>
      <w:adjustRightInd w:val="0"/>
      <w:snapToGrid w:val="0"/>
      <w:spacing w:line="240" w:lineRule="atLeast"/>
      <w:jc w:val="center"/>
    </w:pPr>
    <w:rPr>
      <w:rFonts w:ascii="Times New Roman" w:hAnsi="Times New Roman" w:eastAsia="宋体" w:cs="Times New Roman"/>
      <w:b/>
      <w:kern w:val="0"/>
      <w:szCs w:val="21"/>
    </w:rPr>
  </w:style>
  <w:style w:type="character" w:customStyle="1" w:styleId="48">
    <w:name w:val="表头样式 Char"/>
    <w:link w:val="47"/>
    <w:autoRedefine/>
    <w:qFormat/>
    <w:uiPriority w:val="0"/>
    <w:rPr>
      <w:rFonts w:ascii="Times New Roman" w:hAnsi="Times New Roman" w:eastAsia="宋体" w:cs="Times New Roman"/>
      <w:b/>
      <w:kern w:val="0"/>
      <w:szCs w:val="21"/>
    </w:rPr>
  </w:style>
  <w:style w:type="character" w:customStyle="1" w:styleId="49">
    <w:name w:val="段落(G) Char Char"/>
    <w:link w:val="50"/>
    <w:autoRedefine/>
    <w:qFormat/>
    <w:uiPriority w:val="0"/>
    <w:rPr>
      <w:rFonts w:ascii="Arial" w:hAnsi="Arial" w:eastAsia="宋体"/>
      <w:color w:val="000000"/>
      <w:kern w:val="24"/>
      <w:szCs w:val="24"/>
      <w:lang w:val="zh-CN"/>
    </w:rPr>
  </w:style>
  <w:style w:type="paragraph" w:customStyle="1" w:styleId="50">
    <w:name w:val="段落(G)"/>
    <w:basedOn w:val="1"/>
    <w:link w:val="49"/>
    <w:autoRedefine/>
    <w:qFormat/>
    <w:uiPriority w:val="0"/>
    <w:pPr>
      <w:tabs>
        <w:tab w:val="left" w:pos="1320"/>
      </w:tabs>
      <w:spacing w:line="360" w:lineRule="auto"/>
      <w:ind w:firstLine="480" w:firstLineChars="200"/>
    </w:pPr>
    <w:rPr>
      <w:rFonts w:ascii="Arial" w:hAnsi="Arial" w:eastAsia="宋体"/>
      <w:color w:val="000000"/>
      <w:kern w:val="24"/>
      <w:szCs w:val="24"/>
      <w:lang w:val="zh-CN"/>
    </w:rPr>
  </w:style>
  <w:style w:type="character" w:customStyle="1" w:styleId="51">
    <w:name w:val="表头1 Char"/>
    <w:link w:val="52"/>
    <w:autoRedefine/>
    <w:qFormat/>
    <w:uiPriority w:val="0"/>
    <w:rPr>
      <w:rFonts w:eastAsia="宋体"/>
      <w:b/>
      <w:color w:val="000000"/>
      <w:szCs w:val="21"/>
    </w:rPr>
  </w:style>
  <w:style w:type="paragraph" w:customStyle="1" w:styleId="52">
    <w:name w:val="表头1"/>
    <w:basedOn w:val="1"/>
    <w:link w:val="51"/>
    <w:autoRedefine/>
    <w:qFormat/>
    <w:uiPriority w:val="0"/>
    <w:pPr>
      <w:overflowPunct w:val="0"/>
      <w:autoSpaceDE w:val="0"/>
      <w:autoSpaceDN w:val="0"/>
      <w:adjustRightInd w:val="0"/>
      <w:snapToGrid w:val="0"/>
      <w:spacing w:line="360" w:lineRule="auto"/>
      <w:jc w:val="center"/>
      <w:textAlignment w:val="baseline"/>
    </w:pPr>
    <w:rPr>
      <w:rFonts w:eastAsia="宋体"/>
      <w:b/>
      <w:color w:val="000000"/>
      <w:szCs w:val="21"/>
    </w:rPr>
  </w:style>
  <w:style w:type="character" w:customStyle="1" w:styleId="53">
    <w:name w:val="页眉 Char"/>
    <w:basedOn w:val="28"/>
    <w:link w:val="19"/>
    <w:autoRedefine/>
    <w:qFormat/>
    <w:uiPriority w:val="99"/>
    <w:rPr>
      <w:sz w:val="18"/>
      <w:szCs w:val="18"/>
    </w:rPr>
  </w:style>
  <w:style w:type="character" w:customStyle="1" w:styleId="54">
    <w:name w:val="页脚 Char"/>
    <w:basedOn w:val="28"/>
    <w:link w:val="18"/>
    <w:autoRedefine/>
    <w:qFormat/>
    <w:uiPriority w:val="99"/>
    <w:rPr>
      <w:sz w:val="18"/>
      <w:szCs w:val="18"/>
    </w:rPr>
  </w:style>
  <w:style w:type="character" w:customStyle="1" w:styleId="55">
    <w:name w:val="正文文本缩进 Char"/>
    <w:link w:val="14"/>
    <w:autoRedefine/>
    <w:qFormat/>
    <w:uiPriority w:val="0"/>
  </w:style>
  <w:style w:type="character" w:customStyle="1" w:styleId="56">
    <w:name w:val="正文文本缩进 Char1"/>
    <w:basedOn w:val="28"/>
    <w:autoRedefine/>
    <w:semiHidden/>
    <w:qFormat/>
    <w:uiPriority w:val="99"/>
  </w:style>
  <w:style w:type="character" w:customStyle="1" w:styleId="57">
    <w:name w:val="表头 Char1"/>
    <w:link w:val="34"/>
    <w:autoRedefine/>
    <w:qFormat/>
    <w:uiPriority w:val="0"/>
    <w:rPr>
      <w:rFonts w:eastAsia="宋体"/>
      <w:b/>
      <w:color w:val="000000"/>
      <w:kern w:val="24"/>
      <w:szCs w:val="21"/>
    </w:rPr>
  </w:style>
  <w:style w:type="character" w:customStyle="1" w:styleId="58">
    <w:name w:val="批注框文本 Char"/>
    <w:basedOn w:val="28"/>
    <w:link w:val="17"/>
    <w:autoRedefine/>
    <w:semiHidden/>
    <w:qFormat/>
    <w:uiPriority w:val="99"/>
    <w:rPr>
      <w:sz w:val="18"/>
      <w:szCs w:val="18"/>
    </w:rPr>
  </w:style>
  <w:style w:type="character" w:customStyle="1" w:styleId="59">
    <w:name w:val="正文文本 Char"/>
    <w:basedOn w:val="28"/>
    <w:link w:val="2"/>
    <w:autoRedefine/>
    <w:semiHidden/>
    <w:qFormat/>
    <w:uiPriority w:val="99"/>
  </w:style>
  <w:style w:type="paragraph" w:customStyle="1" w:styleId="60">
    <w:name w:val="正文_32"/>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1">
    <w:name w:val="_Style 2"/>
    <w:autoRedefine/>
    <w:qFormat/>
    <w:uiPriority w:val="0"/>
    <w:pPr>
      <w:widowControl w:val="0"/>
      <w:spacing w:line="360" w:lineRule="exact"/>
      <w:jc w:val="center"/>
    </w:pPr>
    <w:rPr>
      <w:rFonts w:ascii="Calibri" w:hAnsi="Calibri" w:eastAsia="新宋体" w:cs="Times New Roman"/>
      <w:kern w:val="2"/>
      <w:sz w:val="21"/>
      <w:szCs w:val="22"/>
      <w:lang w:val="en-US" w:eastAsia="zh-CN" w:bidi="ar-SA"/>
    </w:rPr>
  </w:style>
  <w:style w:type="character" w:customStyle="1" w:styleId="62">
    <w:name w:val="正文首行缩进 Char"/>
    <w:basedOn w:val="59"/>
    <w:link w:val="25"/>
    <w:autoRedefine/>
    <w:semiHidden/>
    <w:qFormat/>
    <w:uiPriority w:val="99"/>
  </w:style>
  <w:style w:type="paragraph" w:customStyle="1" w:styleId="63">
    <w:name w:val="1文章"/>
    <w:basedOn w:val="1"/>
    <w:autoRedefine/>
    <w:qFormat/>
    <w:uiPriority w:val="0"/>
    <w:pPr>
      <w:snapToGrid w:val="0"/>
      <w:spacing w:line="360" w:lineRule="auto"/>
      <w:ind w:firstLine="573"/>
    </w:pPr>
    <w:rPr>
      <w:rFonts w:ascii="Times New Roman" w:hAnsi="Times New Roman" w:eastAsia="仿宋_GB2312" w:cs="Times New Roman"/>
      <w:sz w:val="28"/>
      <w:szCs w:val="20"/>
    </w:rPr>
  </w:style>
  <w:style w:type="character" w:customStyle="1" w:styleId="64">
    <w:name w:val="表文字 Char1"/>
    <w:link w:val="65"/>
    <w:autoRedefine/>
    <w:qFormat/>
    <w:uiPriority w:val="0"/>
    <w:rPr>
      <w:rFonts w:eastAsia="宋体"/>
      <w:sz w:val="24"/>
      <w:szCs w:val="21"/>
    </w:rPr>
  </w:style>
  <w:style w:type="paragraph" w:customStyle="1" w:styleId="65">
    <w:name w:val="表文字"/>
    <w:basedOn w:val="1"/>
    <w:link w:val="64"/>
    <w:autoRedefine/>
    <w:qFormat/>
    <w:uiPriority w:val="0"/>
    <w:pPr>
      <w:overflowPunct w:val="0"/>
      <w:autoSpaceDE w:val="0"/>
      <w:autoSpaceDN w:val="0"/>
      <w:adjustRightInd w:val="0"/>
      <w:spacing w:line="240" w:lineRule="atLeast"/>
      <w:textAlignment w:val="baseline"/>
    </w:pPr>
    <w:rPr>
      <w:rFonts w:eastAsia="宋体"/>
      <w:sz w:val="24"/>
      <w:szCs w:val="21"/>
    </w:rPr>
  </w:style>
  <w:style w:type="paragraph" w:styleId="66">
    <w:name w:val="List Paragraph"/>
    <w:basedOn w:val="1"/>
    <w:autoRedefine/>
    <w:qFormat/>
    <w:uiPriority w:val="99"/>
    <w:pPr>
      <w:ind w:firstLine="420" w:firstLineChars="200"/>
    </w:pPr>
  </w:style>
  <w:style w:type="character" w:customStyle="1" w:styleId="67">
    <w:name w:val="表格文字 Char"/>
    <w:link w:val="68"/>
    <w:autoRedefine/>
    <w:qFormat/>
    <w:uiPriority w:val="0"/>
    <w:rPr>
      <w:rFonts w:eastAsia="宋体"/>
    </w:rPr>
  </w:style>
  <w:style w:type="paragraph" w:customStyle="1" w:styleId="68">
    <w:name w:val="表格文字"/>
    <w:basedOn w:val="25"/>
    <w:next w:val="1"/>
    <w:link w:val="67"/>
    <w:autoRedefine/>
    <w:qFormat/>
    <w:uiPriority w:val="0"/>
    <w:pPr>
      <w:adjustRightInd w:val="0"/>
      <w:snapToGrid w:val="0"/>
      <w:spacing w:beforeLines="50" w:after="0" w:line="360" w:lineRule="auto"/>
      <w:ind w:firstLine="200" w:firstLineChars="200"/>
      <w:jc w:val="center"/>
      <w:textAlignment w:val="center"/>
    </w:pPr>
    <w:rPr>
      <w:rFonts w:eastAsia="宋体"/>
    </w:rPr>
  </w:style>
  <w:style w:type="character" w:customStyle="1" w:styleId="69">
    <w:name w:val="段落 Char"/>
    <w:link w:val="70"/>
    <w:autoRedefine/>
    <w:qFormat/>
    <w:uiPriority w:val="0"/>
    <w:rPr>
      <w:rFonts w:hAnsi="宋体" w:eastAsia="宋体"/>
      <w:kern w:val="24"/>
      <w:sz w:val="24"/>
      <w:szCs w:val="24"/>
    </w:rPr>
  </w:style>
  <w:style w:type="paragraph" w:customStyle="1" w:styleId="70">
    <w:name w:val="段落"/>
    <w:basedOn w:val="1"/>
    <w:link w:val="69"/>
    <w:autoRedefine/>
    <w:qFormat/>
    <w:uiPriority w:val="0"/>
    <w:pPr>
      <w:tabs>
        <w:tab w:val="left" w:pos="780"/>
      </w:tabs>
      <w:adjustRightInd w:val="0"/>
      <w:snapToGrid w:val="0"/>
      <w:spacing w:line="360" w:lineRule="auto"/>
      <w:ind w:firstLine="480" w:firstLineChars="200"/>
    </w:pPr>
    <w:rPr>
      <w:rFonts w:hAnsi="宋体" w:eastAsia="宋体"/>
      <w:kern w:val="24"/>
      <w:sz w:val="24"/>
      <w:szCs w:val="24"/>
    </w:rPr>
  </w:style>
  <w:style w:type="character" w:customStyle="1" w:styleId="71">
    <w:name w:val="正文缩进 Char"/>
    <w:link w:val="10"/>
    <w:autoRedefine/>
    <w:qFormat/>
    <w:uiPriority w:val="0"/>
    <w:rPr>
      <w:rFonts w:eastAsia="黑体"/>
      <w:sz w:val="24"/>
      <w:szCs w:val="21"/>
    </w:rPr>
  </w:style>
  <w:style w:type="character" w:customStyle="1" w:styleId="72">
    <w:name w:val="表文字 Char"/>
    <w:autoRedefine/>
    <w:qFormat/>
    <w:uiPriority w:val="0"/>
    <w:rPr>
      <w:rFonts w:ascii="宋体" w:hAnsi="Times New Roman" w:eastAsia="宋体" w:cs="Times New Roman"/>
      <w:color w:val="000000"/>
      <w:kern w:val="0"/>
      <w:szCs w:val="20"/>
    </w:rPr>
  </w:style>
  <w:style w:type="character" w:customStyle="1" w:styleId="73">
    <w:name w:val="正文首行缩进 2 Char"/>
    <w:link w:val="15"/>
    <w:autoRedefine/>
    <w:qFormat/>
    <w:uiPriority w:val="99"/>
    <w:rPr>
      <w:rFonts w:ascii="Calibri" w:hAnsi="Calibri" w:eastAsia="宋体" w:cs="Times New Roman"/>
    </w:rPr>
  </w:style>
  <w:style w:type="character" w:customStyle="1" w:styleId="74">
    <w:name w:val="正文文本首行缩进 2 字符1"/>
    <w:basedOn w:val="55"/>
    <w:autoRedefine/>
    <w:semiHidden/>
    <w:qFormat/>
    <w:uiPriority w:val="99"/>
  </w:style>
  <w:style w:type="paragraph" w:customStyle="1" w:styleId="75">
    <w:name w:val="表头字体宋"/>
    <w:basedOn w:val="1"/>
    <w:autoRedefine/>
    <w:qFormat/>
    <w:uiPriority w:val="0"/>
    <w:pPr>
      <w:widowControl/>
      <w:spacing w:line="500" w:lineRule="exact"/>
      <w:jc w:val="center"/>
    </w:pPr>
    <w:rPr>
      <w:rFonts w:ascii="宋体" w:hAnsi="宋体" w:eastAsia="宋体" w:cs="宋体"/>
      <w:b/>
      <w:bCs/>
      <w:kern w:val="0"/>
      <w:sz w:val="24"/>
      <w:szCs w:val="20"/>
    </w:rPr>
  </w:style>
  <w:style w:type="character" w:customStyle="1" w:styleId="76">
    <w:name w:val="fontstyle01"/>
    <w:autoRedefine/>
    <w:qFormat/>
    <w:uiPriority w:val="0"/>
    <w:rPr>
      <w:rFonts w:hint="eastAsia" w:ascii="宋体" w:hAnsi="宋体" w:eastAsia="宋体"/>
      <w:color w:val="000000"/>
      <w:sz w:val="24"/>
      <w:szCs w:val="24"/>
    </w:rPr>
  </w:style>
  <w:style w:type="character" w:customStyle="1" w:styleId="77">
    <w:name w:val="批注文字 Char"/>
    <w:link w:val="13"/>
    <w:autoRedefine/>
    <w:qFormat/>
    <w:uiPriority w:val="0"/>
    <w:rPr>
      <w:rFonts w:ascii="Calibri" w:hAnsi="Calibri" w:eastAsia="宋体" w:cs="Times New Roman"/>
    </w:rPr>
  </w:style>
  <w:style w:type="character" w:customStyle="1" w:styleId="78">
    <w:name w:val="批注文字 字符1"/>
    <w:basedOn w:val="28"/>
    <w:autoRedefine/>
    <w:semiHidden/>
    <w:qFormat/>
    <w:uiPriority w:val="99"/>
  </w:style>
  <w:style w:type="character" w:customStyle="1" w:styleId="79">
    <w:name w:val="表格内容 Char"/>
    <w:link w:val="80"/>
    <w:autoRedefine/>
    <w:qFormat/>
    <w:locked/>
    <w:uiPriority w:val="0"/>
    <w:rPr>
      <w:rFonts w:ascii="Times New Roman" w:hAnsi="Times New Roman"/>
    </w:rPr>
  </w:style>
  <w:style w:type="paragraph" w:customStyle="1" w:styleId="80">
    <w:name w:val="表格内容"/>
    <w:basedOn w:val="1"/>
    <w:next w:val="1"/>
    <w:link w:val="79"/>
    <w:autoRedefine/>
    <w:qFormat/>
    <w:uiPriority w:val="99"/>
    <w:pPr>
      <w:widowControl/>
      <w:jc w:val="center"/>
    </w:pPr>
    <w:rPr>
      <w:rFonts w:ascii="Times New Roman" w:hAnsi="Times New Roman"/>
    </w:rPr>
  </w:style>
  <w:style w:type="character" w:customStyle="1" w:styleId="81">
    <w:name w:val="纯文本 Char"/>
    <w:link w:val="16"/>
    <w:autoRedefine/>
    <w:qFormat/>
    <w:uiPriority w:val="0"/>
    <w:rPr>
      <w:rFonts w:ascii="宋体" w:hAnsi="Courier New" w:eastAsia="宋体" w:cs="Times New Roman"/>
      <w:szCs w:val="21"/>
    </w:rPr>
  </w:style>
  <w:style w:type="character" w:customStyle="1" w:styleId="82">
    <w:name w:val="纯文本 字符1"/>
    <w:basedOn w:val="28"/>
    <w:autoRedefine/>
    <w:semiHidden/>
    <w:qFormat/>
    <w:uiPriority w:val="99"/>
    <w:rPr>
      <w:rFonts w:hAnsi="Courier New" w:cs="Courier New" w:asciiTheme="minorEastAsia"/>
    </w:rPr>
  </w:style>
  <w:style w:type="paragraph" w:customStyle="1" w:styleId="83">
    <w:name w:val="列表段落1"/>
    <w:basedOn w:val="1"/>
    <w:autoRedefine/>
    <w:qFormat/>
    <w:uiPriority w:val="99"/>
    <w:pPr>
      <w:ind w:firstLine="420" w:firstLineChars="200"/>
    </w:pPr>
    <w:rPr>
      <w:rFonts w:ascii="Times New Roman" w:hAnsi="Times New Roman" w:eastAsia="宋体" w:cs="Times New Roman"/>
      <w:szCs w:val="24"/>
    </w:rPr>
  </w:style>
  <w:style w:type="paragraph" w:customStyle="1" w:styleId="84">
    <w:name w:val="居中正文"/>
    <w:basedOn w:val="1"/>
    <w:next w:val="1"/>
    <w:autoRedefine/>
    <w:qFormat/>
    <w:uiPriority w:val="0"/>
    <w:pPr>
      <w:adjustRightInd w:val="0"/>
      <w:spacing w:before="120" w:line="360" w:lineRule="auto"/>
      <w:jc w:val="center"/>
    </w:pPr>
    <w:rPr>
      <w:rFonts w:ascii="宋体" w:hAnsi="Times New Roman" w:eastAsia="宋体" w:cs="Times New Roman"/>
      <w:kern w:val="28"/>
      <w:sz w:val="24"/>
      <w:szCs w:val="20"/>
    </w:rPr>
  </w:style>
  <w:style w:type="character" w:customStyle="1" w:styleId="85">
    <w:name w:val="题注 Char"/>
    <w:link w:val="11"/>
    <w:autoRedefine/>
    <w:qFormat/>
    <w:locked/>
    <w:uiPriority w:val="0"/>
    <w:rPr>
      <w:rFonts w:ascii="Times New Roman" w:hAnsi="Times New Roman" w:eastAsia="黑体"/>
      <w:sz w:val="24"/>
    </w:rPr>
  </w:style>
  <w:style w:type="paragraph" w:customStyle="1" w:styleId="86">
    <w:name w:val="正文文本首行缩进1"/>
    <w:basedOn w:val="1"/>
    <w:autoRedefine/>
    <w:qFormat/>
    <w:uiPriority w:val="0"/>
    <w:pPr>
      <w:adjustRightInd w:val="0"/>
      <w:snapToGrid w:val="0"/>
      <w:spacing w:line="360" w:lineRule="auto"/>
      <w:ind w:firstLine="200" w:firstLineChars="200"/>
    </w:pPr>
    <w:rPr>
      <w:rFonts w:ascii="Times New Roman" w:hAnsi="Times New Roman" w:eastAsia="宋体" w:cs="Times New Roman"/>
      <w:sz w:val="24"/>
      <w:szCs w:val="21"/>
    </w:rPr>
  </w:style>
  <w:style w:type="paragraph" w:customStyle="1" w:styleId="87">
    <w:name w:val="标题 41"/>
    <w:basedOn w:val="1"/>
    <w:autoRedefine/>
    <w:qFormat/>
    <w:uiPriority w:val="0"/>
    <w:pPr>
      <w:autoSpaceDE w:val="0"/>
      <w:autoSpaceDN w:val="0"/>
      <w:adjustRightInd w:val="0"/>
      <w:spacing w:before="26"/>
      <w:ind w:left="326"/>
      <w:jc w:val="left"/>
      <w:outlineLvl w:val="3"/>
    </w:pPr>
    <w:rPr>
      <w:rFonts w:ascii="宋体" w:hAnsi="Times New Roman" w:eastAsia="宋体" w:cs="宋体"/>
      <w:b/>
      <w:bCs/>
      <w:kern w:val="0"/>
      <w:sz w:val="24"/>
      <w:szCs w:val="24"/>
    </w:rPr>
  </w:style>
  <w:style w:type="character" w:customStyle="1" w:styleId="88">
    <w:name w:val="fontstyle21"/>
    <w:basedOn w:val="28"/>
    <w:autoRedefine/>
    <w:qFormat/>
    <w:uiPriority w:val="0"/>
    <w:rPr>
      <w:rFonts w:hint="default" w:ascii="TimesNewRomanPSMT" w:hAnsi="TimesNewRomanPSMT"/>
      <w:color w:val="000000"/>
      <w:sz w:val="22"/>
      <w:szCs w:val="22"/>
    </w:rPr>
  </w:style>
  <w:style w:type="character" w:customStyle="1" w:styleId="89">
    <w:name w:val="正文文本 2 Char"/>
    <w:basedOn w:val="28"/>
    <w:link w:val="22"/>
    <w:autoRedefine/>
    <w:semiHidden/>
    <w:qFormat/>
    <w:uiPriority w:val="99"/>
  </w:style>
  <w:style w:type="character" w:customStyle="1" w:styleId="90">
    <w:name w:val="表标题 Char"/>
    <w:link w:val="91"/>
    <w:autoRedefine/>
    <w:qFormat/>
    <w:uiPriority w:val="0"/>
    <w:rPr>
      <w:rFonts w:eastAsia="黑体"/>
      <w:sz w:val="24"/>
    </w:rPr>
  </w:style>
  <w:style w:type="paragraph" w:customStyle="1" w:styleId="91">
    <w:name w:val="表标题"/>
    <w:basedOn w:val="1"/>
    <w:next w:val="1"/>
    <w:link w:val="90"/>
    <w:autoRedefine/>
    <w:qFormat/>
    <w:uiPriority w:val="0"/>
    <w:pPr>
      <w:spacing w:line="360" w:lineRule="auto"/>
      <w:jc w:val="center"/>
    </w:pPr>
    <w:rPr>
      <w:rFonts w:eastAsia="黑体"/>
      <w:sz w:val="24"/>
    </w:rPr>
  </w:style>
  <w:style w:type="character" w:customStyle="1" w:styleId="92">
    <w:name w:val="标题 2 Char"/>
    <w:basedOn w:val="28"/>
    <w:link w:val="7"/>
    <w:autoRedefine/>
    <w:semiHidden/>
    <w:qFormat/>
    <w:uiPriority w:val="9"/>
    <w:rPr>
      <w:rFonts w:asciiTheme="majorHAnsi" w:hAnsiTheme="majorHAnsi" w:eastAsiaTheme="majorEastAsia" w:cstheme="majorBidi"/>
      <w:b/>
      <w:bCs/>
      <w:sz w:val="32"/>
      <w:szCs w:val="32"/>
    </w:rPr>
  </w:style>
  <w:style w:type="character" w:customStyle="1" w:styleId="93">
    <w:name w:val="表文字 Char Char"/>
    <w:autoRedefine/>
    <w:qFormat/>
    <w:uiPriority w:val="0"/>
    <w:rPr>
      <w:rFonts w:eastAsia="宋体"/>
      <w:sz w:val="24"/>
    </w:rPr>
  </w:style>
  <w:style w:type="character" w:styleId="94">
    <w:name w:val="Placeholder Text"/>
    <w:basedOn w:val="28"/>
    <w:autoRedefine/>
    <w:semiHidden/>
    <w:qFormat/>
    <w:uiPriority w:val="99"/>
    <w:rPr>
      <w:color w:val="808080"/>
    </w:rPr>
  </w:style>
  <w:style w:type="character" w:customStyle="1" w:styleId="95">
    <w:name w:val="fontstyle11"/>
    <w:basedOn w:val="28"/>
    <w:autoRedefine/>
    <w:qFormat/>
    <w:uiPriority w:val="0"/>
    <w:rPr>
      <w:rFonts w:hint="default" w:ascii="TimesNewRomanPSMT" w:hAnsi="TimesNewRomanPSMT"/>
      <w:color w:val="000000"/>
      <w:sz w:val="22"/>
      <w:szCs w:val="22"/>
    </w:rPr>
  </w:style>
  <w:style w:type="character" w:customStyle="1" w:styleId="96">
    <w:name w:val="批注主题 Char"/>
    <w:basedOn w:val="77"/>
    <w:link w:val="24"/>
    <w:autoRedefine/>
    <w:semiHidden/>
    <w:qFormat/>
    <w:uiPriority w:val="99"/>
    <w:rPr>
      <w:rFonts w:ascii="Calibri" w:hAnsi="Calibri" w:eastAsia="宋体" w:cs="Times New Roman"/>
      <w:b/>
      <w:bCs/>
    </w:rPr>
  </w:style>
  <w:style w:type="paragraph" w:customStyle="1" w:styleId="97">
    <w:name w:val="表格内格式"/>
    <w:basedOn w:val="80"/>
    <w:next w:val="1"/>
    <w:autoRedefine/>
    <w:qFormat/>
    <w:uiPriority w:val="0"/>
    <w:pPr>
      <w:spacing w:line="360" w:lineRule="exact"/>
    </w:pPr>
    <w:rPr>
      <w:rFonts w:eastAsia="宋体" w:cs="Times New Roman"/>
      <w:kern w:val="0"/>
      <w:szCs w:val="20"/>
    </w:rPr>
  </w:style>
  <w:style w:type="paragraph" w:customStyle="1" w:styleId="98">
    <w:name w:val="正文内容"/>
    <w:autoRedefine/>
    <w:qFormat/>
    <w:uiPriority w:val="0"/>
    <w:pPr>
      <w:widowControl w:val="0"/>
      <w:spacing w:beforeLines="50" w:afterLines="50" w:line="360" w:lineRule="auto"/>
      <w:ind w:firstLine="480" w:firstLineChars="200"/>
      <w:jc w:val="both"/>
    </w:pPr>
    <w:rPr>
      <w:rFonts w:ascii="Times New Roman" w:hAnsi="Times New Roman" w:eastAsia="宋体" w:cs="Times New Roman"/>
      <w:sz w:val="24"/>
      <w:lang w:val="en-US" w:eastAsia="zh-CN" w:bidi="ar-SA"/>
    </w:rPr>
  </w:style>
  <w:style w:type="character" w:customStyle="1" w:styleId="99">
    <w:name w:val="1标题 Char"/>
    <w:link w:val="100"/>
    <w:autoRedefine/>
    <w:qFormat/>
    <w:locked/>
    <w:uiPriority w:val="0"/>
    <w:rPr>
      <w:sz w:val="24"/>
    </w:rPr>
  </w:style>
  <w:style w:type="paragraph" w:customStyle="1" w:styleId="100">
    <w:name w:val="1标题"/>
    <w:basedOn w:val="1"/>
    <w:link w:val="99"/>
    <w:autoRedefine/>
    <w:qFormat/>
    <w:uiPriority w:val="0"/>
    <w:pPr>
      <w:spacing w:line="360" w:lineRule="auto"/>
    </w:pPr>
    <w:rPr>
      <w:sz w:val="24"/>
    </w:rPr>
  </w:style>
  <w:style w:type="paragraph" w:customStyle="1" w:styleId="101">
    <w:name w:val="标题二级"/>
    <w:basedOn w:val="1"/>
    <w:autoRedefine/>
    <w:qFormat/>
    <w:uiPriority w:val="0"/>
    <w:pPr>
      <w:spacing w:line="360" w:lineRule="auto"/>
      <w:ind w:firstLine="720" w:firstLineChars="200"/>
      <w:jc w:val="left"/>
    </w:pPr>
    <w:rPr>
      <w:rFonts w:ascii="Times New Roman" w:hAnsi="Times New Roman" w:eastAsia="宋体" w:cs="Times New Roman"/>
      <w:b/>
      <w:sz w:val="24"/>
      <w:szCs w:val="24"/>
    </w:rPr>
  </w:style>
  <w:style w:type="paragraph" w:customStyle="1" w:styleId="102">
    <w:name w:val="正文缩进1"/>
    <w:basedOn w:val="1"/>
    <w:autoRedefine/>
    <w:qFormat/>
    <w:uiPriority w:val="0"/>
    <w:pPr>
      <w:ind w:firstLine="420"/>
    </w:pPr>
    <w:rPr>
      <w:rFonts w:ascii="Times New Roman" w:hAnsi="Times New Roman" w:eastAsia="宋体" w:cs="Times New Roman"/>
      <w:sz w:val="24"/>
      <w:szCs w:val="24"/>
    </w:rPr>
  </w:style>
  <w:style w:type="paragraph" w:customStyle="1" w:styleId="103">
    <w:name w:val="表字体"/>
    <w:basedOn w:val="1"/>
    <w:next w:val="1"/>
    <w:autoRedefine/>
    <w:qFormat/>
    <w:uiPriority w:val="0"/>
    <w:pPr>
      <w:jc w:val="center"/>
    </w:pPr>
    <w:rPr>
      <w:rFonts w:ascii="Times New Roman" w:hAnsi="Times New Roman" w:eastAsia="宋体" w:cs="Times New Roman"/>
      <w:szCs w:val="21"/>
    </w:rPr>
  </w:style>
  <w:style w:type="paragraph" w:customStyle="1" w:styleId="104">
    <w:name w:val="表图标题"/>
    <w:basedOn w:val="1"/>
    <w:autoRedefine/>
    <w:qFormat/>
    <w:uiPriority w:val="0"/>
    <w:pPr>
      <w:autoSpaceDE w:val="0"/>
      <w:autoSpaceDN w:val="0"/>
      <w:adjustRightInd w:val="0"/>
      <w:snapToGrid w:val="0"/>
      <w:jc w:val="center"/>
    </w:pPr>
    <w:rPr>
      <w:rFonts w:ascii="Times New Roman" w:hAnsi="Times New Roman" w:eastAsia="宋体" w:cs="Times New Roman"/>
      <w:b/>
      <w:bCs/>
      <w:color w:val="000000"/>
      <w:szCs w:val="21"/>
    </w:rPr>
  </w:style>
  <w:style w:type="paragraph" w:customStyle="1" w:styleId="105">
    <w:name w:val="表格题目"/>
    <w:basedOn w:val="1"/>
    <w:autoRedefine/>
    <w:qFormat/>
    <w:uiPriority w:val="0"/>
    <w:pPr>
      <w:jc w:val="center"/>
    </w:pPr>
    <w:rPr>
      <w:rFonts w:ascii="Times New Roman" w:hAnsi="Times New Roman" w:eastAsia="宋体" w:cs="Times New Roman"/>
      <w:b/>
      <w:bCs/>
      <w:szCs w:val="21"/>
    </w:rPr>
  </w:style>
  <w:style w:type="character" w:customStyle="1" w:styleId="106">
    <w:name w:val="标题 4 Char"/>
    <w:basedOn w:val="28"/>
    <w:link w:val="9"/>
    <w:autoRedefine/>
    <w:semiHidden/>
    <w:qFormat/>
    <w:uiPriority w:val="9"/>
    <w:rPr>
      <w:rFonts w:asciiTheme="majorHAnsi" w:hAnsiTheme="majorHAnsi" w:eastAsiaTheme="majorEastAsia" w:cstheme="majorBidi"/>
      <w:b/>
      <w:bCs/>
      <w:sz w:val="28"/>
      <w:szCs w:val="28"/>
    </w:rPr>
  </w:style>
  <w:style w:type="paragraph" w:customStyle="1" w:styleId="107">
    <w:name w:val="九晟正文"/>
    <w:basedOn w:val="1"/>
    <w:autoRedefine/>
    <w:qFormat/>
    <w:uiPriority w:val="0"/>
    <w:pPr>
      <w:spacing w:line="360" w:lineRule="auto"/>
      <w:ind w:firstLine="480" w:firstLineChars="200"/>
      <w:jc w:val="left"/>
    </w:pPr>
    <w:rPr>
      <w:rFonts w:ascii="Times New Roman" w:hAnsi="Times New Roman" w:eastAsia="宋体" w:cs="Times New Roman"/>
      <w:sz w:val="24"/>
      <w:szCs w:val="24"/>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109">
    <w:name w:val="我的正文"/>
    <w:basedOn w:val="1"/>
    <w:autoRedefine/>
    <w:qFormat/>
    <w:uiPriority w:val="0"/>
    <w:pPr>
      <w:spacing w:line="520" w:lineRule="exact"/>
      <w:ind w:firstLine="200" w:firstLineChars="200"/>
    </w:pPr>
    <w:rPr>
      <w:rFonts w:ascii="Times New Roman" w:hAnsi="Times New Roman" w:eastAsia="宋体" w:cs="Times New Roman"/>
      <w:color w:val="000000"/>
      <w:sz w:val="24"/>
      <w:szCs w:val="20"/>
    </w:rPr>
  </w:style>
  <w:style w:type="paragraph" w:customStyle="1" w:styleId="110">
    <w:name w:val="环评正文Zhou Bin"/>
    <w:basedOn w:val="1"/>
    <w:autoRedefine/>
    <w:qFormat/>
    <w:uiPriority w:val="0"/>
    <w:pPr>
      <w:spacing w:line="360" w:lineRule="auto"/>
      <w:ind w:firstLine="723" w:firstLineChars="200"/>
    </w:pPr>
    <w:rPr>
      <w:rFonts w:ascii="Times New Roman" w:hAnsi="Times New Roman" w:eastAsia="宋体" w:cs="Times New Roman"/>
      <w:sz w:val="24"/>
    </w:rPr>
  </w:style>
  <w:style w:type="paragraph" w:customStyle="1" w:styleId="111">
    <w:name w:val="样式9"/>
    <w:basedOn w:val="1"/>
    <w:autoRedefine/>
    <w:qFormat/>
    <w:uiPriority w:val="0"/>
    <w:pPr>
      <w:adjustRightInd w:val="0"/>
      <w:snapToGrid w:val="0"/>
      <w:spacing w:line="460" w:lineRule="exact"/>
      <w:ind w:firstLine="520" w:firstLineChars="200"/>
    </w:pPr>
    <w:rPr>
      <w:sz w:val="26"/>
      <w:szCs w:val="26"/>
    </w:rPr>
  </w:style>
  <w:style w:type="paragraph" w:customStyle="1" w:styleId="112">
    <w:name w:val="WPSOffice手动目录 1"/>
    <w:autoRedefine/>
    <w:qFormat/>
    <w:uiPriority w:val="0"/>
    <w:pPr>
      <w:ind w:leftChars="0"/>
    </w:pPr>
    <w:rPr>
      <w:rFonts w:ascii="Times New Roman" w:hAnsi="Times New Roman" w:eastAsia="宋体" w:cs="Times New Roman"/>
      <w:sz w:val="20"/>
      <w:szCs w:val="20"/>
    </w:rPr>
  </w:style>
  <w:style w:type="paragraph" w:customStyle="1" w:styleId="113">
    <w:name w:val="标准正文"/>
    <w:basedOn w:val="1"/>
    <w:autoRedefine/>
    <w:qFormat/>
    <w:uiPriority w:val="0"/>
    <w:pPr>
      <w:spacing w:line="360" w:lineRule="auto"/>
      <w:ind w:firstLine="480" w:firstLineChars="200"/>
    </w:pPr>
    <w:rPr>
      <w:sz w:val="24"/>
    </w:rPr>
  </w:style>
  <w:style w:type="paragraph" w:customStyle="1" w:styleId="114">
    <w:name w:val="首行缩进2"/>
    <w:autoRedefine/>
    <w:qFormat/>
    <w:uiPriority w:val="0"/>
    <w:pPr>
      <w:spacing w:before="120" w:line="360" w:lineRule="auto"/>
      <w:ind w:firstLine="640" w:firstLineChars="200"/>
    </w:pPr>
    <w:rPr>
      <w:rFonts w:ascii="Times New Roman" w:hAnsi="Times New Roman" w:eastAsia="宋体" w:cs="Times New Roman"/>
      <w:sz w:val="24"/>
      <w:lang w:val="en-US" w:eastAsia="zh-CN" w:bidi="ar-SA"/>
    </w:rPr>
  </w:style>
  <w:style w:type="paragraph" w:customStyle="1" w:styleId="115">
    <w:name w:val="正文-邓单"/>
    <w:basedOn w:val="1"/>
    <w:next w:val="1"/>
    <w:autoRedefine/>
    <w:qFormat/>
    <w:uiPriority w:val="0"/>
    <w:pPr>
      <w:spacing w:line="360" w:lineRule="auto"/>
      <w:ind w:firstLine="480" w:firstLineChars="200"/>
    </w:pPr>
    <w:rPr>
      <w:rFonts w:ascii="Times New Roman" w:hAnsi="Times New Roman" w:eastAsia="宋体"/>
      <w:bCs/>
      <w:sz w:val="24"/>
    </w:rPr>
  </w:style>
  <w:style w:type="character" w:customStyle="1" w:styleId="116">
    <w:name w:val="表头、图脚 Char"/>
    <w:link w:val="117"/>
    <w:autoRedefine/>
    <w:qFormat/>
    <w:uiPriority w:val="0"/>
    <w:rPr>
      <w:b/>
      <w:sz w:val="21"/>
      <w:lang w:val="en-US" w:eastAsia="zh-CN" w:bidi="ar-SA"/>
    </w:rPr>
  </w:style>
  <w:style w:type="paragraph" w:customStyle="1" w:styleId="117">
    <w:name w:val="表头、图脚"/>
    <w:next w:val="15"/>
    <w:link w:val="116"/>
    <w:autoRedefine/>
    <w:qFormat/>
    <w:uiPriority w:val="0"/>
    <w:pPr>
      <w:jc w:val="center"/>
    </w:pPr>
    <w:rPr>
      <w:rFonts w:ascii="Times New Roman" w:hAnsi="Times New Roman" w:eastAsia="宋体" w:cs="Times New Roman"/>
      <w:b/>
      <w:sz w:val="21"/>
      <w:lang w:val="en-US" w:eastAsia="zh-CN" w:bidi="ar-SA"/>
    </w:rPr>
  </w:style>
  <w:style w:type="paragraph" w:customStyle="1" w:styleId="118">
    <w:name w:val="报告书正文"/>
    <w:basedOn w:val="1"/>
    <w:autoRedefine/>
    <w:qFormat/>
    <w:uiPriority w:val="0"/>
    <w:pPr>
      <w:adjustRightInd w:val="0"/>
      <w:spacing w:line="360" w:lineRule="exact"/>
      <w:ind w:firstLine="480" w:firstLineChars="200"/>
    </w:pPr>
    <w:rPr>
      <w:bCs/>
      <w:sz w:val="24"/>
    </w:rPr>
  </w:style>
  <w:style w:type="paragraph" w:customStyle="1" w:styleId="119">
    <w:name w:val="正文标准样式"/>
    <w:basedOn w:val="1"/>
    <w:autoRedefine/>
    <w:qFormat/>
    <w:uiPriority w:val="0"/>
    <w:pPr>
      <w:adjustRightInd w:val="0"/>
      <w:spacing w:line="300" w:lineRule="auto"/>
      <w:ind w:firstLine="482"/>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wmf"/><Relationship Id="rId17" Type="http://schemas.openxmlformats.org/officeDocument/2006/relationships/oleObject" Target="embeddings/oleObject6.bin"/><Relationship Id="rId16" Type="http://schemas.openxmlformats.org/officeDocument/2006/relationships/image" Target="media/image5.wmf"/><Relationship Id="rId15" Type="http://schemas.openxmlformats.org/officeDocument/2006/relationships/oleObject" Target="embeddings/oleObject5.bin"/><Relationship Id="rId14" Type="http://schemas.openxmlformats.org/officeDocument/2006/relationships/image" Target="media/image4.w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4"/>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47"/>
    <customShpInfo spid="_x0000_s2134"/>
    <customShpInfo spid="_x0000_s2135"/>
    <customShpInfo spid="_x0000_s2136"/>
    <customShpInfo spid="_x0000_s2137"/>
    <customShpInfo spid="_x0000_s2138"/>
    <customShpInfo spid="_x0000_s2139"/>
    <customShpInfo spid="_x0000_s2140"/>
    <customShpInfo spid="_x0000_s2141"/>
    <customShpInfo spid="_x0000_s2133"/>
    <customShpInfo spid="_x0000_s2142"/>
    <customShpInfo spid="_x0000_s2143"/>
    <customShpInfo spid="_x0000_s2144"/>
    <customShpInfo spid="_x0000_s2145"/>
    <customShpInfo spid="_x0000_s2146"/>
    <customShpInfo spid="_x0000_s2148"/>
    <customShpInfo spid="_x0000_s2149"/>
    <customShpInfo spid="_x0000_s2150"/>
    <customShpInfo spid="_x0000_s2152"/>
    <customShpInfo spid="_x0000_s2153"/>
    <customShpInfo spid="_x0000_s2154"/>
    <customShpInfo spid="_x0000_s2155"/>
    <customShpInfo spid="_x0000_s2156"/>
    <customShpInfo spid="_x0000_s2157"/>
    <customShpInfo spid="_x0000_s2158"/>
    <customShpInfo spid="_x0000_s2151"/>
    <customShpInfo spid="_x0000_s2159"/>
    <customShpInfo spid="_x0000_s2165"/>
    <customShpInfo spid="_x0000_s2160"/>
    <customShpInfo spid="_x0000_s2161"/>
    <customShpInfo spid="_x0000_s2162"/>
    <customShpInfo spid="_x0000_s2163"/>
    <customShpInfo spid="_x0000_s2164"/>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7"/>
    <customShpInfo spid="_x0000_s2175"/>
    <customShpInfo spid="_x0000_s2176"/>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203"/>
    <customShpInfo spid="_x0000_s2188"/>
    <customShpInfo spid="_x0000_s2189"/>
    <customShpInfo spid="_x0000_s2202"/>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B4C63D-A917-4CD8-84AF-921B8D8F9B7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59</Pages>
  <Words>31183</Words>
  <Characters>35382</Characters>
  <Lines>336</Lines>
  <Paragraphs>94</Paragraphs>
  <TotalTime>7</TotalTime>
  <ScaleCrop>false</ScaleCrop>
  <LinksUpToDate>false</LinksUpToDate>
  <CharactersWithSpaces>35671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2021-05-25T16:26:00Z</dcterms:created>
  <dc:creator>胡鹏</dc:creator>
  <cp:lastModifiedBy>宇灏</cp:lastModifiedBy>
  <cp:lastPrinted>2024-07-23T08:47:11Z</cp:lastPrinted>
  <dcterms:modified xsi:type="dcterms:W3CDTF">2024-07-23T08:51:15Z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39B8B418D7574F54B813EBD21FDF3540</vt:lpwstr>
  </property>
</Properties>
</file>