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附件1-1</w:t>
      </w:r>
      <w:r>
        <w:rPr>
          <w:rFonts w:hint="eastAsia" w:ascii="黑体" w:hAnsi="黑体" w:eastAsia="黑体" w:cs="黑体"/>
          <w:bCs/>
          <w:sz w:val="32"/>
          <w:szCs w:val="32"/>
        </w:rPr>
      </w:r>
      <w:r/>
    </w:p>
    <w:p>
      <w:pPr>
        <w:pStyle w:val="636"/>
        <w:jc w:val="center"/>
        <w:spacing w:line="348" w:lineRule="auto"/>
        <w:rPr>
          <w:rFonts w:hint="eastAsia" w:ascii="Times New Roman" w:hAnsi="Times New Roman" w:eastAsia="方正小标宋简体"/>
          <w:bCs/>
          <w:sz w:val="42"/>
          <w:szCs w:val="42"/>
        </w:rPr>
      </w:pPr>
      <w:r>
        <w:rPr>
          <w:rFonts w:hint="eastAsia" w:ascii="Times New Roman" w:hAnsi="Times New Roman" w:eastAsia="方正小标宋简体"/>
          <w:bCs/>
          <w:sz w:val="42"/>
          <w:szCs w:val="42"/>
        </w:rPr>
      </w:r>
      <w:r/>
    </w:p>
    <w:p>
      <w:pPr>
        <w:pStyle w:val="636"/>
        <w:jc w:val="center"/>
        <w:spacing w:line="800" w:lineRule="exact"/>
        <w:rPr>
          <w:rFonts w:hint="eastAsia" w:ascii="Times New Roman" w:hAnsi="Times New Roman" w:eastAsia="方正小标宋简体"/>
          <w:bCs/>
          <w:sz w:val="46"/>
          <w:szCs w:val="46"/>
        </w:rPr>
      </w:pPr>
      <w:r>
        <w:rPr>
          <w:rFonts w:hint="eastAsia" w:ascii="Times New Roman" w:hAnsi="Times New Roman" w:eastAsia="方正小标宋简体"/>
          <w:bCs/>
          <w:sz w:val="46"/>
          <w:szCs w:val="46"/>
        </w:rPr>
        <w:t xml:space="preserve">岳阳县2022年度整体支出绩效</w:t>
      </w:r>
      <w:r>
        <w:rPr>
          <w:rFonts w:hint="eastAsia" w:ascii="Times New Roman" w:hAnsi="Times New Roman" w:eastAsia="方正小标宋简体"/>
          <w:bCs/>
          <w:sz w:val="46"/>
          <w:szCs w:val="46"/>
        </w:rPr>
      </w:r>
      <w:r/>
    </w:p>
    <w:p>
      <w:pPr>
        <w:pStyle w:val="636"/>
        <w:jc w:val="center"/>
        <w:spacing w:line="800" w:lineRule="exact"/>
        <w:rPr>
          <w:rFonts w:hint="eastAsia" w:ascii="Times New Roman" w:hAnsi="Times New Roman" w:eastAsia="方正小标宋简体"/>
          <w:bCs/>
          <w:sz w:val="46"/>
          <w:szCs w:val="46"/>
        </w:rPr>
      </w:pPr>
      <w:r>
        <w:rPr>
          <w:rFonts w:hint="eastAsia" w:ascii="Times New Roman" w:hAnsi="Times New Roman" w:eastAsia="方正小标宋简体"/>
          <w:bCs/>
          <w:sz w:val="46"/>
          <w:szCs w:val="46"/>
        </w:rPr>
        <w:t xml:space="preserve">自评报告</w:t>
      </w:r>
      <w:r>
        <w:rPr>
          <w:rFonts w:hint="eastAsia" w:ascii="Times New Roman" w:hAnsi="Times New Roman" w:eastAsia="方正小标宋简体"/>
          <w:bCs/>
          <w:sz w:val="46"/>
          <w:szCs w:val="46"/>
        </w:rPr>
      </w:r>
      <w:r/>
    </w:p>
    <w:p>
      <w:pPr>
        <w:pStyle w:val="636"/>
        <w:rPr>
          <w:rFonts w:hint="eastAsia" w:ascii="Times New Roman" w:hAnsi="Times New Roman" w:eastAsia="仿宋_GB2312"/>
          <w:b/>
          <w:sz w:val="32"/>
          <w:szCs w:val="24"/>
        </w:rPr>
      </w:pPr>
      <w:r>
        <w:rPr>
          <w:rFonts w:hint="eastAsia" w:ascii="Times New Roman" w:hAnsi="Times New Roman" w:eastAsia="仿宋_GB2312"/>
          <w:b/>
          <w:sz w:val="32"/>
          <w:szCs w:val="24"/>
        </w:rPr>
      </w:r>
      <w:r/>
    </w:p>
    <w:p>
      <w:pPr>
        <w:pStyle w:val="636"/>
        <w:rPr>
          <w:rFonts w:hint="eastAsia" w:ascii="Times New Roman" w:hAnsi="Times New Roman" w:eastAsia="仿宋_GB2312"/>
          <w:b/>
          <w:sz w:val="32"/>
          <w:szCs w:val="24"/>
        </w:rPr>
      </w:pPr>
      <w:r>
        <w:rPr>
          <w:rFonts w:hint="eastAsia" w:ascii="Times New Roman" w:hAnsi="Times New Roman" w:eastAsia="仿宋_GB2312"/>
          <w:b/>
          <w:sz w:val="32"/>
          <w:szCs w:val="24"/>
        </w:rPr>
      </w:r>
      <w:r/>
    </w:p>
    <w:p>
      <w:pPr>
        <w:pStyle w:val="636"/>
        <w:rPr>
          <w:rFonts w:hint="eastAsia" w:ascii="Times New Roman" w:hAnsi="Times New Roman" w:eastAsia="仿宋_GB2312"/>
          <w:b/>
          <w:sz w:val="32"/>
          <w:szCs w:val="24"/>
        </w:rPr>
      </w:pPr>
      <w:r>
        <w:rPr>
          <w:rFonts w:hint="eastAsia" w:ascii="Times New Roman" w:hAnsi="Times New Roman" w:eastAsia="仿宋_GB2312"/>
          <w:b/>
          <w:sz w:val="32"/>
          <w:szCs w:val="24"/>
        </w:rPr>
      </w:r>
      <w:r/>
    </w:p>
    <w:p>
      <w:pPr>
        <w:pStyle w:val="636"/>
        <w:ind w:firstLine="474"/>
        <w:spacing w:before="301" w:line="348" w:lineRule="auto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部门(单位)名称：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岳阳县林业局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</w:r>
      <w:r/>
    </w:p>
    <w:p>
      <w:pPr>
        <w:pStyle w:val="636"/>
        <w:ind w:firstLine="474"/>
        <w:spacing w:before="301" w:line="348" w:lineRule="auto"/>
        <w:rPr>
          <w:rFonts w:hint="eastAsia" w:ascii="Times New Roman" w:hAnsi="Times New Roman" w:eastAsia="仿宋_GB2312"/>
          <w:spacing w:val="2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预</w:t>
      </w:r>
      <w:r>
        <w:rPr>
          <w:rFonts w:hint="eastAsia" w:ascii="Times New Roman" w:hAnsi="Times New Roman" w:eastAsia="仿宋_GB2312"/>
          <w:spacing w:val="30"/>
          <w:sz w:val="32"/>
          <w:szCs w:val="32"/>
        </w:rPr>
        <w:t xml:space="preserve"> 算 编 码：</w:t>
      </w:r>
      <w:r>
        <w:rPr>
          <w:rFonts w:hint="eastAsia" w:ascii="Times New Roman" w:hAnsi="Times New Roman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YYX076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pacing w:val="20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spacing w:val="20"/>
          <w:sz w:val="32"/>
          <w:szCs w:val="32"/>
        </w:rPr>
      </w:r>
      <w:r/>
    </w:p>
    <w:p>
      <w:pPr>
        <w:pStyle w:val="636"/>
        <w:ind w:firstLine="474"/>
        <w:spacing w:before="301" w:line="348" w:lineRule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评价方式：部门（单位）绩效自评</w:t>
      </w:r>
      <w:r>
        <w:rPr>
          <w:rFonts w:hint="eastAsia" w:ascii="Times New Roman" w:hAnsi="Times New Roman" w:eastAsia="仿宋_GB2312"/>
          <w:sz w:val="32"/>
          <w:szCs w:val="32"/>
        </w:rPr>
      </w:r>
      <w:r/>
    </w:p>
    <w:p>
      <w:pPr>
        <w:pStyle w:val="636"/>
        <w:ind w:firstLine="474"/>
        <w:spacing w:before="301" w:line="348" w:lineRule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评价机构：部门（单位）评价组   </w:t>
      </w:r>
      <w:r>
        <w:rPr>
          <w:rFonts w:hint="eastAsia" w:ascii="Times New Roman" w:hAnsi="Times New Roman" w:eastAsia="仿宋_GB2312"/>
          <w:sz w:val="32"/>
          <w:szCs w:val="32"/>
        </w:rPr>
      </w:r>
      <w:r/>
    </w:p>
    <w:p>
      <w:pPr>
        <w:pStyle w:val="636"/>
        <w:ind w:firstLine="2182"/>
        <w:spacing w:line="720" w:lineRule="exact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</w:r>
      <w:r/>
    </w:p>
    <w:p>
      <w:pPr>
        <w:pStyle w:val="636"/>
        <w:ind w:firstLine="2182"/>
        <w:spacing w:line="720" w:lineRule="exact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</w:r>
      <w:r/>
    </w:p>
    <w:p>
      <w:pPr>
        <w:pStyle w:val="636"/>
        <w:ind w:firstLine="2213"/>
        <w:spacing w:line="348" w:lineRule="auto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 xml:space="preserve">报告日期：</w:t>
      </w:r>
      <w:r>
        <w:rPr>
          <w:rFonts w:hint="eastAsia" w:ascii="Times New Roman" w:hAnsi="Times New Roman" w:eastAsia="仿宋_GB2312"/>
          <w:sz w:val="32"/>
          <w:szCs w:val="24"/>
        </w:rPr>
        <w:t xml:space="preserve">2</w:t>
      </w:r>
      <w:r>
        <w:rPr>
          <w:rFonts w:ascii="Times New Roman" w:hAnsi="Times New Roman" w:eastAsia="仿宋_GB2312"/>
          <w:sz w:val="32"/>
          <w:szCs w:val="24"/>
        </w:rPr>
        <w:t xml:space="preserve">023</w:t>
      </w:r>
      <w:r>
        <w:rPr>
          <w:rFonts w:hint="eastAsia" w:ascii="Times New Roman" w:hAnsi="Times New Roman" w:eastAsia="仿宋_GB2312"/>
          <w:sz w:val="32"/>
          <w:szCs w:val="24"/>
        </w:rPr>
        <w:t xml:space="preserve"> </w:t>
      </w:r>
      <w:r>
        <w:rPr>
          <w:rFonts w:hint="eastAsia" w:ascii="Times New Roman" w:hAnsi="Times New Roman" w:eastAsia="仿宋_GB2312"/>
          <w:sz w:val="32"/>
          <w:szCs w:val="24"/>
        </w:rPr>
        <w:t xml:space="preserve"> 年 </w:t>
      </w:r>
      <w:r>
        <w:rPr>
          <w:rFonts w:ascii="Times New Roman" w:hAnsi="Times New Roman" w:eastAsia="仿宋_GB2312"/>
          <w:sz w:val="32"/>
          <w:szCs w:val="24"/>
        </w:rPr>
        <w:t xml:space="preserve">06</w:t>
      </w:r>
      <w:r>
        <w:rPr>
          <w:rFonts w:hint="eastAsia" w:ascii="Times New Roman" w:hAnsi="Times New Roman" w:eastAsia="仿宋_GB2312"/>
          <w:sz w:val="32"/>
          <w:szCs w:val="24"/>
        </w:rPr>
        <w:t xml:space="preserve">  月 </w:t>
      </w:r>
      <w:r>
        <w:rPr>
          <w:rFonts w:ascii="Times New Roman" w:hAnsi="Times New Roman" w:eastAsia="仿宋_GB2312"/>
          <w:sz w:val="32"/>
          <w:szCs w:val="24"/>
        </w:rPr>
        <w:t xml:space="preserve">26</w:t>
      </w:r>
      <w:r>
        <w:rPr>
          <w:rFonts w:hint="eastAsia" w:ascii="Times New Roman" w:hAnsi="Times New Roman" w:eastAsia="仿宋_GB2312"/>
          <w:sz w:val="32"/>
          <w:szCs w:val="24"/>
        </w:rPr>
        <w:t xml:space="preserve">  日</w:t>
      </w:r>
      <w:r>
        <w:rPr>
          <w:rFonts w:hint="eastAsia" w:ascii="Times New Roman" w:hAnsi="Times New Roman" w:eastAsia="仿宋_GB2312"/>
          <w:sz w:val="32"/>
          <w:szCs w:val="24"/>
        </w:rPr>
      </w:r>
      <w:r/>
    </w:p>
    <w:p>
      <w:pPr>
        <w:pStyle w:val="636"/>
        <w:jc w:val="center"/>
        <w:rPr>
          <w:rFonts w:hint="eastAsia" w:ascii="Times New Roman" w:hAnsi="Times New Roman" w:eastAsia="仿宋_GB2312"/>
          <w:sz w:val="32"/>
          <w:szCs w:val="32"/>
        </w:rPr>
        <w:sectPr>
          <w:footerReference w:type="default" r:id="rId8"/>
          <w:footerReference w:type="even" r:id="rId9"/>
          <w:footnotePr/>
          <w:endnotePr/>
          <w:type w:val="nextPage"/>
          <w:pgSz w:w="11906" w:h="16838" w:orient="portrait"/>
          <w:pgMar w:top="1588" w:right="1588" w:bottom="1588" w:left="1588" w:header="851" w:footer="992" w:gutter="0"/>
          <w:pgNumType w:start="1"/>
          <w:cols w:num="1" w:sep="0" w:space="720" w:equalWidth="1"/>
          <w:docGrid w:linePitch="360"/>
        </w:sectPr>
      </w:pPr>
      <w:r>
        <w:rPr>
          <w:rFonts w:hint="eastAsia" w:ascii="Times New Roman" w:hAnsi="Times New Roman" w:eastAsia="仿宋_GB2312"/>
          <w:sz w:val="32"/>
          <w:szCs w:val="24"/>
        </w:rPr>
        <w:t xml:space="preserve">岳阳县财政</w:t>
      </w:r>
      <w:r>
        <w:rPr>
          <w:rFonts w:hint="eastAsia" w:ascii="Times New Roman" w:hAnsi="Times New Roman" w:eastAsia="仿宋_GB2312"/>
          <w:sz w:val="32"/>
          <w:szCs w:val="32"/>
        </w:rPr>
        <w:t xml:space="preserve">局（制）</w:t>
      </w:r>
      <w:r>
        <w:rPr>
          <w:rFonts w:hint="eastAsia" w:ascii="Times New Roman" w:hAnsi="Times New Roman" w:eastAsia="仿宋_GB2312"/>
          <w:sz w:val="32"/>
          <w:szCs w:val="32"/>
        </w:rPr>
      </w:r>
      <w:r/>
    </w:p>
    <w:tbl>
      <w:tblPr>
        <w:tblW w:w="98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5" w:type="dxa"/>
          <w:top w:w="0" w:type="dxa"/>
          <w:right w:w="15" w:type="dxa"/>
          <w:bottom w:w="0" w:type="dxa"/>
        </w:tblCellMar>
        <w:tblLook w:val="04A0" w:firstRow="1" w:lastRow="0" w:firstColumn="1" w:lastColumn="0" w:noHBand="0" w:noVBand="1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rPr>
          <w:trHeight w:val="567"/>
        </w:trPr>
        <w:tc>
          <w:tcPr>
            <w:gridSpan w:val="17"/>
            <w:tcW w:w="9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一、部门（单位）基本概况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2"/>
            <w:tcW w:w="165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356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敖丽红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联络电话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8"/>
            <w:tcW w:w="3106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307668637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2"/>
            <w:tcW w:w="165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人员编制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356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实有人数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8"/>
            <w:tcW w:w="3106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964"/>
        </w:trPr>
        <w:tc>
          <w:tcPr>
            <w:gridSpan w:val="2"/>
            <w:tcW w:w="165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职能职责概述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15"/>
            <w:tcW w:w="8146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负责全县林业及生态建设的监督管理，组织、协调、指导和监督全县造林绿化工作，承担森林资源保护发展监督管理的责任，组织、协调指导和监督全县湿地保护工作，组织、指导陆生野生动植物资源的保护和合理开发利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2464"/>
        </w:trPr>
        <w:tc>
          <w:tcPr>
            <w:gridSpan w:val="2"/>
            <w:tcW w:w="165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年度主要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工作内容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15"/>
            <w:tcW w:w="8146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组织实施和监督全民义务植树和国土绿化情况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指导林业产业发展，</w:t>
            </w:r>
            <w:r>
              <w:rPr>
                <w:rFonts w:hint="eastAsia" w:ascii="仿宋_GB2312" w:hAnsi="仿宋_GB2312" w:eastAsia="仿宋_GB2312" w:cs="楷体"/>
                <w:sz w:val="24"/>
              </w:rPr>
              <w:t xml:space="preserve">助力富农兴民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加强森林资源管护，完善绿色保障体系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400" w:lineRule="exact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任务4：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以林长制为抓手，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积极争先创优，全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推进生态保护、生态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提质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、生态惠民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任务5：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做好脱贫攻坚与乡村振兴的有效衔接，组建了乡村振兴驻村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工作队，全面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完成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乡村振兴驻村帮扶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年度各项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2260"/>
        </w:trPr>
        <w:tc>
          <w:tcPr>
            <w:gridSpan w:val="2"/>
            <w:tcW w:w="165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 xml:space="preserve">年度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 xml:space="preserve">部门（单位）总体运行情况及取得的成绩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</w:r>
            <w:r/>
          </w:p>
        </w:tc>
        <w:tc>
          <w:tcPr>
            <w:gridSpan w:val="15"/>
            <w:tcW w:w="8146" w:type="dxa"/>
            <w:vAlign w:val="center"/>
            <w:textDirection w:val="lrTb"/>
            <w:noWrap w:val="false"/>
          </w:tcPr>
          <w:p>
            <w:pPr>
              <w:pStyle w:val="636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完成国土绿化造林适宜性评估调查，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完成率100%；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重点工程营造林任务3.26万亩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生态廊道建设1750亩，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 xml:space="preserve">任务完成率100%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；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年度造林任务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 xml:space="preserve">上图率100%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 xml:space="preserve">；投入财政资金50万元，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完成547株古树名木数据库纠编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及挂牌保护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，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县乡村林长认养古树名木保护率100%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；完成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义务植树140余万株，尽责率达80%以上；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乡镇村庄绿化提质改造52个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。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省级以上公益林和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天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然林管护责任协议书签订率100%，补偿补助资金发率100%。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完成2022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年森林督查问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题疑似图斑核实工作，核实率100%，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违法图斑发生同比下降36.9%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，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违法违规面积下降78.5%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 xml:space="preserve"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创新建立“一长四员一队”管护网格体系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；推行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“党建+林长制、智慧+林长制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监督+林长制”工作模式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推进乡镇林长办规范化建设、林政行政综合执法一体化建设等，以“新”的模式，拓展改革成效，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形成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独具特色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的“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岳阳县模式”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先后两次代表市林业局迎检省级考核评估，获第一名成绩。林长制入选国务院督查激励表彰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17"/>
            <w:tcW w:w="9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二、部门（单位）收支情况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17"/>
            <w:tcW w:w="9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年度收入情况（万元）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567"/>
        </w:trPr>
        <w:tc>
          <w:tcPr>
            <w:gridSpan w:val="3"/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机构名称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收入合计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13"/>
            <w:tcBorders>
              <w:left w:val="single" w:color="000000" w:sz="4" w:space="0"/>
            </w:tcBorders>
            <w:tcW w:w="702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其中：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1014"/>
        </w:trPr>
        <w:tc>
          <w:tcPr>
            <w:gridSpan w:val="3"/>
            <w:tcW w:w="170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上年结转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公共财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政拨款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70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政府基金拨款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1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纳入专户管理的非税收入拨款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收入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772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林业局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95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89.78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2.25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7387.25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705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2.34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1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2157.94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705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1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705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1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705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1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4"/>
        </w:trPr>
        <w:tc>
          <w:tcPr>
            <w:gridSpan w:val="17"/>
            <w:tcW w:w="9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部门（单位）年度支出和结余情况（万元）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624"/>
        </w:trPr>
        <w:tc>
          <w:tcPr>
            <w:gridSpan w:val="3"/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机构名称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支出合计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其中：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结余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624"/>
        </w:trPr>
        <w:tc>
          <w:tcPr>
            <w:gridSpan w:val="3"/>
            <w:tcW w:w="170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</w:tcBorders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基本支出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</w:tcBorders>
            <w:tcW w:w="324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其中：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项目支出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20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当年结余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625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累计结余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624"/>
        </w:trPr>
        <w:tc>
          <w:tcPr>
            <w:gridSpan w:val="3"/>
            <w:tcW w:w="170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人员支出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1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公用支出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72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625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877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林业局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9286.03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5501.5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3288.55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1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2212.94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784.5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right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03.74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62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4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1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right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62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4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1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right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62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4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1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tcBorders>
              <w:right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62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624"/>
        </w:trPr>
        <w:tc>
          <w:tcPr>
            <w:gridSpan w:val="3"/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三公经费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合计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13"/>
            <w:tcBorders>
              <w:left w:val="single" w:color="000000" w:sz="4" w:space="0"/>
            </w:tcBorders>
            <w:tcW w:w="702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其中：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624"/>
        </w:trPr>
        <w:tc>
          <w:tcPr>
            <w:gridSpan w:val="3"/>
            <w:tcW w:w="170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公务接待费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公务用车运维费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1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公务用车购置费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5"/>
            <w:tcW w:w="242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因公出国费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858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林业局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.65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.06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.59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1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5"/>
            <w:tcW w:w="242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4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1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5"/>
            <w:tcW w:w="242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4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1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5"/>
            <w:tcW w:w="242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4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16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5"/>
            <w:tcW w:w="242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624"/>
        </w:trPr>
        <w:tc>
          <w:tcPr>
            <w:gridSpan w:val="3"/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机构名称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固定资产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合计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11"/>
            <w:tcBorders>
              <w:left w:val="single" w:color="000000" w:sz="4" w:space="0"/>
              <w:right w:val="single" w:color="000000" w:sz="4" w:space="0"/>
            </w:tcBorders>
            <w:tcW w:w="6079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其中：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941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624"/>
        </w:trPr>
        <w:tc>
          <w:tcPr>
            <w:gridSpan w:val="3"/>
            <w:tcW w:w="170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</w:tcBorders>
            <w:tcW w:w="243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在用固定资产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7"/>
            <w:tcBorders>
              <w:right w:val="single" w:color="000000" w:sz="4" w:space="0"/>
            </w:tcBorders>
            <w:tcW w:w="364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出租固定资产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</w:tcBorders>
            <w:tcW w:w="9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855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林业局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778.94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</w:tcBorders>
            <w:tcW w:w="243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778.94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7"/>
            <w:tcW w:w="364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94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4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</w:tcBorders>
            <w:tcW w:w="243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7"/>
            <w:tcW w:w="364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94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4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</w:tcBorders>
            <w:tcW w:w="243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7"/>
            <w:tcW w:w="364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94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4"/>
        </w:trPr>
        <w:tc>
          <w:tcPr>
            <w:gridSpan w:val="3"/>
            <w:tcW w:w="17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</w:tcBorders>
            <w:tcW w:w="243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7"/>
            <w:tcW w:w="364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94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17"/>
            <w:tcW w:w="9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三、部门（单位）整体支出绩效自评情况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567"/>
        </w:trPr>
        <w:tc>
          <w:tcPr>
            <w:tcW w:w="1441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整体支出绩效定性目标及实施计划完成情况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7"/>
            <w:tcW w:w="377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预期目标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9"/>
            <w:tcW w:w="458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实际完成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1172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7"/>
            <w:tcW w:w="3774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组织实施和监督全民义务植树和国土绿化情况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指导林业产业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发展，</w:t>
            </w:r>
            <w:r>
              <w:rPr>
                <w:rFonts w:hint="eastAsia" w:ascii="仿宋_GB2312" w:hAnsi="仿宋_GB2312" w:eastAsia="仿宋_GB2312" w:cs="楷体"/>
                <w:sz w:val="24"/>
              </w:rPr>
              <w:t xml:space="preserve">助力富农兴民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加强森林资源管护，完善绿色保障体系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400" w:lineRule="exact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任务4：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以林长制为抓手，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积极争先创优，全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推进生态保护、生态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提质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、生态惠民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任务5：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做好脱贫攻坚与乡村振兴的有效衔接，组建了乡村振兴驻村工作队，全面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完成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乡村振兴驻村帮扶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年度各项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9"/>
            <w:tcW w:w="4585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（1）</w:t>
            </w:r>
            <w:r>
              <w:rPr>
                <w:rFonts w:hint="eastAsia" w:ascii="仿宋" w:hAnsi="仿宋" w:eastAsia="仿宋"/>
                <w:szCs w:val="21"/>
              </w:rPr>
              <w:t xml:space="preserve">今年来完成</w:t>
            </w:r>
            <w:r>
              <w:rPr>
                <w:rFonts w:hint="eastAsia" w:ascii="仿宋" w:hAnsi="仿宋" w:eastAsia="仿宋"/>
                <w:szCs w:val="21"/>
              </w:rPr>
              <w:t xml:space="preserve">新</w:t>
            </w:r>
            <w:r>
              <w:rPr>
                <w:rFonts w:hint="eastAsia" w:ascii="仿宋" w:hAnsi="仿宋" w:eastAsia="仿宋"/>
                <w:szCs w:val="21"/>
              </w:rPr>
              <w:t xml:space="preserve">造林</w:t>
            </w:r>
            <w:r>
              <w:rPr>
                <w:rFonts w:ascii="仿宋" w:hAnsi="仿宋" w:eastAsia="仿宋"/>
                <w:szCs w:val="21"/>
              </w:rPr>
              <w:t xml:space="preserve">3.26</w:t>
            </w:r>
            <w:r>
              <w:rPr>
                <w:rFonts w:hint="eastAsia" w:ascii="仿宋" w:hAnsi="仿宋" w:eastAsia="仿宋"/>
                <w:szCs w:val="21"/>
              </w:rPr>
              <w:t xml:space="preserve">万</w:t>
            </w:r>
            <w:r>
              <w:rPr>
                <w:rFonts w:hint="eastAsia" w:ascii="仿宋" w:hAnsi="仿宋" w:eastAsia="仿宋"/>
                <w:szCs w:val="21"/>
              </w:rPr>
              <w:t xml:space="preserve">亩，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完成省级生态廊道建设1750亩；</w:t>
            </w:r>
            <w:r>
              <w:rPr>
                <w:rFonts w:hint="eastAsia" w:ascii="仿宋" w:hAnsi="仿宋" w:eastAsia="仿宋"/>
                <w:szCs w:val="21"/>
              </w:rPr>
              <w:t xml:space="preserve">（</w:t>
            </w:r>
            <w:r>
              <w:rPr>
                <w:rFonts w:hint="eastAsia" w:ascii="仿宋" w:hAnsi="仿宋" w:eastAsia="仿宋"/>
                <w:szCs w:val="21"/>
              </w:rPr>
              <w:t xml:space="preserve">2）</w:t>
            </w:r>
            <w:r>
              <w:rPr>
                <w:rFonts w:hint="eastAsia" w:ascii="仿宋" w:hAnsi="仿宋" w:eastAsia="仿宋"/>
                <w:szCs w:val="21"/>
              </w:rPr>
              <w:t xml:space="preserve">深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入开展3.12义务植树活动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，全县共完成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义务植树140余万株，尽责率达80%以上。</w:t>
            </w:r>
            <w:r>
              <w:rPr>
                <w:rFonts w:hint="eastAsia" w:ascii="仿宋" w:hAnsi="仿宋" w:eastAsia="仿宋"/>
                <w:szCs w:val="21"/>
              </w:rPr>
              <w:t xml:space="preserve">（3）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坚守林地生态红线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林地保有量143万亩，森林覆盖率达39%，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村庄绿化覆盖率达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45.8%，绿化村庄占比达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90%；活立木总蓄积量35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6.9万立方米，年增长率稳定在3.5%；湿地保护率稳定在76.2%。</w:t>
            </w:r>
            <w:r>
              <w:rPr>
                <w:rFonts w:hint="eastAsia" w:ascii="仿宋" w:hAnsi="仿宋" w:eastAsia="仿宋"/>
                <w:szCs w:val="21"/>
              </w:rPr>
              <w:t xml:space="preserve">（4）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在全县范围内组织开展打击盗伐、滥伐、破坏捕猎野生动物等犯罪专项行动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1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6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次，办理各类涉林案件1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70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起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，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全县实现无重大森林火灾和无人员伤亡事故目标，林业有害生物防治科学有效，累计预防和除治林业有害生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物面积61.5万亩，挽回直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接经济损失2000余万元；</w:t>
            </w:r>
            <w:r>
              <w:rPr>
                <w:rFonts w:hint="eastAsia" w:ascii="仿宋" w:hAnsi="仿宋" w:eastAsia="仿宋"/>
                <w:szCs w:val="21"/>
              </w:rPr>
              <w:t xml:space="preserve">（5）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创新建立“一长四员一队”管护网格体系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；推行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“党建+林长制、智慧+林长制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、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监督+林长制”工作模式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，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推进乡镇林长办规范化建设、林政行政综合执法一体化建设等，以“新”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的模式，拓展改革成效，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形成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了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独具特色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的“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岳阳县模式”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。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 xml:space="preserve">先后两次代表市林业局迎检省级考核评估，获第一名成绩。林长制入选国务院督查激励表彰</w:t>
            </w:r>
            <w:r>
              <w:rPr>
                <w:rFonts w:hint="eastAsia" w:ascii="仿宋" w:hAnsi="仿宋" w:eastAsia="仿宋" w:cs="仿宋_GB2312"/>
                <w:szCs w:val="21"/>
              </w:rPr>
              <w:t xml:space="preserve">。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</w:r>
            <w:r/>
          </w:p>
        </w:tc>
      </w:tr>
      <w:tr>
        <w:trPr>
          <w:cantSplit/>
          <w:trHeight w:val="567"/>
        </w:trPr>
        <w:tc>
          <w:tcPr>
            <w:tcW w:w="1441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整体支出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绩效定量目标及实施计划完成情况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966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评价内容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绩效目标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完成情况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产出目标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（部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门工作实绩，包含上级部门和市委市政府布置的重点工作、实事任务等，根据部门实际进行调整细化）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质量指标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固定资产利用率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00%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三公经费控制率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00%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政府采购执行率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00%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数量指标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财政供养人员控制率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%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61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三公经费变动率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＜0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61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……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时效指标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营造林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00%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森林防火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仿宋" w:hAnsi="仿宋" w:eastAsia="仿宋" w:cs="仿宋_GB2312"/>
                <w:bCs/>
                <w:color w:val="000000"/>
                <w:sz w:val="24"/>
                <w:szCs w:val="24"/>
              </w:rPr>
              <w:t xml:space="preserve">00%</w:t>
            </w:r>
            <w:r>
              <w:rPr>
                <w:rFonts w:hint="eastAsia" w:ascii="仿宋" w:hAnsi="仿宋" w:eastAsia="仿宋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……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成本指标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财政支出绩效目标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00%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……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restart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效益目标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（预期实现的效益）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社会效益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绿化面积增加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林农经济状况改善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……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完成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经济效益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林业总产值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指标2：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林农经济收入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……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完成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生态效益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绿化面积增长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生态环境明显好转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……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完成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454"/>
        </w:trPr>
        <w:tc>
          <w:tcPr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4"/>
            <w:tcW w:w="1549" w:type="dxa"/>
            <w:vAlign w:val="center"/>
            <w:vMerge w:val="continue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</w:r>
            <w:r/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社会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公众或服务对象满意度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tcW w:w="2709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社会公众满意度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……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268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8%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5"/>
            <w:tcW w:w="299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绩效自评综合得分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12"/>
            <w:tcW w:w="681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5"/>
            <w:tcW w:w="299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评价等次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12"/>
            <w:tcW w:w="681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优秀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80"/>
        </w:trPr>
        <w:tc>
          <w:tcPr>
            <w:gridSpan w:val="17"/>
            <w:tcW w:w="9800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四、评价人员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gridSpan w:val="2"/>
            <w:tcW w:w="165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姓  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356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职务/职称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单  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8"/>
            <w:tcW w:w="3106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签  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80"/>
        </w:trPr>
        <w:tc>
          <w:tcPr>
            <w:gridSpan w:val="2"/>
            <w:tcW w:w="165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刘君保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356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副局长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林业局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8"/>
            <w:tcW w:w="3106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80"/>
        </w:trPr>
        <w:tc>
          <w:tcPr>
            <w:gridSpan w:val="2"/>
            <w:tcW w:w="165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尹虹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356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计财股长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林业局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8"/>
            <w:tcW w:w="3106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80"/>
        </w:trPr>
        <w:tc>
          <w:tcPr>
            <w:gridSpan w:val="2"/>
            <w:tcW w:w="165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敖丽红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3561" w:type="dxa"/>
            <w:vAlign w:val="center"/>
            <w:textDirection w:val="lrTb"/>
            <w:noWrap w:val="false"/>
          </w:tcPr>
          <w:p>
            <w:pPr>
              <w:pStyle w:val="636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高级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会计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林业局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8"/>
            <w:tcW w:w="3106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80"/>
        </w:trPr>
        <w:tc>
          <w:tcPr>
            <w:gridSpan w:val="2"/>
            <w:tcW w:w="1654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陈岑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6"/>
            <w:tcW w:w="3561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高级工程师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tcW w:w="1479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林业局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  <w:tc>
          <w:tcPr>
            <w:gridSpan w:val="8"/>
            <w:tcW w:w="3106" w:type="dxa"/>
            <w:vAlign w:val="center"/>
            <w:textDirection w:val="lrTb"/>
            <w:noWrap w:val="false"/>
          </w:tcPr>
          <w:p>
            <w:pPr>
              <w:pStyle w:val="636"/>
              <w:jc w:val="center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058"/>
        </w:trPr>
        <w:tc>
          <w:tcPr>
            <w:gridSpan w:val="17"/>
            <w:tcW w:w="98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评价组组长（签字）：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         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952"/>
        </w:trPr>
        <w:tc>
          <w:tcPr>
            <w:gridSpan w:val="17"/>
            <w:tcW w:w="9800" w:type="dxa"/>
            <w:vAlign w:val="center"/>
            <w:textDirection w:val="lrTb"/>
            <w:noWrap w:val="false"/>
          </w:tcPr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部门（单位）意见：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部门（单位）负责人（签章）：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  <w:p>
            <w:pPr>
              <w:pStyle w:val="636"/>
              <w:jc w:val="left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         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636"/>
        <w:rPr>
          <w:rFonts w:hint="eastAsia"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 xml:space="preserve">填报人（签名）：  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 xml:space="preserve">敖丽红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 xml:space="preserve">               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 xml:space="preserve"> 联系电话：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 xml:space="preserve">0</w:t>
      </w:r>
      <w:r>
        <w:rPr>
          <w:rFonts w:ascii="Times New Roman" w:hAnsi="Times New Roman" w:eastAsia="仿宋_GB2312" w:cs="仿宋_GB2312"/>
          <w:bCs/>
          <w:sz w:val="28"/>
          <w:szCs w:val="28"/>
        </w:rPr>
        <w:t xml:space="preserve">7307668637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58"/>
      </w:tblGrid>
      <w:tr>
        <w:trPr>
          <w:trHeight w:val="12998"/>
        </w:trPr>
        <w:tc>
          <w:tcPr>
            <w:tcW w:w="9558" w:type="dxa"/>
            <w:vAlign w:val="top"/>
            <w:textDirection w:val="lrTb"/>
            <w:noWrap w:val="false"/>
          </w:tcPr>
          <w:p>
            <w:pPr>
              <w:pStyle w:val="636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五、评价报告综述（文字部分）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1247"/>
              <w:rPr>
                <w:rFonts w:hint="eastAsia"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岳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阳县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林业局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202</w:t>
            </w:r>
            <w:r>
              <w:rPr>
                <w:rFonts w:ascii="宋体" w:hAnsi="宋体" w:eastAsia="宋体"/>
                <w:b/>
                <w:sz w:val="36"/>
                <w:szCs w:val="36"/>
              </w:rPr>
              <w:t xml:space="preserve">2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年度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整体财政支出绩效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</w:r>
            <w:r/>
          </w:p>
          <w:p>
            <w:pPr>
              <w:pStyle w:val="636"/>
              <w:ind w:firstLine="3415"/>
              <w:rPr>
                <w:rFonts w:hint="eastAsia" w:ascii="宋体" w:hAnsi="宋体" w:eastAsia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自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评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报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  <w:t xml:space="preserve">告</w:t>
            </w:r>
            <w:r>
              <w:rPr>
                <w:rFonts w:hint="eastAsia" w:ascii="宋体" w:hAnsi="宋体" w:eastAsia="宋体"/>
                <w:b/>
                <w:sz w:val="36"/>
                <w:szCs w:val="36"/>
              </w:rPr>
            </w:r>
            <w:r/>
          </w:p>
          <w:p>
            <w:pPr>
              <w:pStyle w:val="636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　　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　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　　　　　　　　　　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　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　　　　　　　　　　　　　　　　　　　　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　　　</w:t>
            </w:r>
            <w:r>
              <w:rPr>
                <w:rFonts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40"/>
              <w:spacing w:line="640" w:lineRule="exact"/>
              <w:rPr>
                <w:rFonts w:hint="eastAsia" w:ascii="宋体" w:hAnsi="宋体" w:eastAsia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岳阳县林业局根据</w:t>
            </w: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 xml:space="preserve">财政部《财政支出绩效评价管理暂行办法》（财</w:t>
            </w: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 xml:space="preserve">预</w:t>
            </w: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 xml:space="preserve">〔2011〕285号）和岳阳县人民政府办公室《关于贯彻落实省政府全面推进预算绩效管理意见的通知》（岳政发〔2014〕6号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文件精神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按</w:t>
            </w: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 xml:space="preserve">照《</w:t>
            </w:r>
            <w:r>
              <w:rPr>
                <w:rFonts w:hint="eastAsia" w:ascii="宋体" w:hAnsi="宋体" w:eastAsia="宋体"/>
                <w:bCs/>
                <w:color w:val="000000"/>
                <w:sz w:val="32"/>
                <w:szCs w:val="32"/>
              </w:rPr>
              <w:t xml:space="preserve">岳阳县财政局关于全</w:t>
            </w:r>
            <w:r>
              <w:rPr>
                <w:rFonts w:hint="eastAsia" w:ascii="宋体" w:hAnsi="宋体" w:eastAsia="宋体"/>
                <w:bCs/>
                <w:color w:val="000000"/>
                <w:sz w:val="32"/>
                <w:szCs w:val="32"/>
              </w:rPr>
              <w:t xml:space="preserve">面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开展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202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年财政支出绩效自评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工作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的通知</w:t>
            </w: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 xml:space="preserve">》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（岳县财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发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【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202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3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】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5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8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号文件要求，强化绩效理念，提高财政资金使用效益，现就开展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202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年部门整体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支出绩效自评。</w:t>
            </w:r>
            <w:r>
              <w:rPr>
                <w:rFonts w:hint="eastAsia" w:ascii="宋体" w:hAnsi="宋体" w:eastAsia="宋体"/>
                <w:bCs/>
                <w:color w:val="000000"/>
                <w:sz w:val="32"/>
                <w:szCs w:val="32"/>
              </w:rPr>
            </w:r>
            <w:r/>
          </w:p>
          <w:p>
            <w:pPr>
              <w:pStyle w:val="636"/>
              <w:jc w:val="center"/>
              <w:spacing w:line="640" w:lineRule="exact"/>
              <w:rPr>
                <w:rFonts w:hint="eastAsia" w:ascii="宋体" w:hAnsi="宋体" w:eastAsia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32"/>
                <w:szCs w:val="32"/>
              </w:rPr>
            </w:r>
            <w:r/>
          </w:p>
          <w:p>
            <w:pPr>
              <w:pStyle w:val="636"/>
              <w:ind w:firstLine="630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一、单位概况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</w:r>
            <w:r/>
          </w:p>
          <w:p>
            <w:pPr>
              <w:pStyle w:val="636"/>
              <w:ind w:firstLine="600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202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年，县林业局机关实有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4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人含：实有公务员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1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3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人,岳阳县森林病虫害防治检役所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5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人，岳阳县林业行政综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合执法大队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8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人，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相思山国有林场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4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人，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其他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事业人员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1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9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4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人；局机关内设机构：办公室（县绿化委员会办公室）；人事股；计财股（财务核算中心）；法规股（行政审批办公室）；资源管理股（林业产业发展股）。二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级机构：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岳阳县森林病虫害防治检疫所；岳阳县营林基地工作站；岳阳县林业技术推广中心；岳阳县林权管理办公室；岳阳县林权流转交易服务中心；岳阳县林业行政综合执法大队；岳阳县公益林管理站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。主要负责全县林业及其生态建设的监督管理；组织、协调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、指导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和监督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全县造林绿化工作；承担森林资源保护发展监督管理的责任；组织、协调指导和监督全县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湿地保护工作，拟订区域性湿地保护规划；组织实施建立湿地保护小区、湿地公园等保护管理工作。组织、指导陆生野生动植物资源的保护和合理开发利用。负责林业系统自然保护区的监督管理；承担推进林业改革，维护农民经营林业的合法权益责任；拟订集体林权制度等重大林业改革意见并指导监督实施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;14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个乡镇林业工作站，实行县乡镇共管、县管为主的管理体制。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43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二、单位资金使用及管理情况　　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</w:r>
            <w:r/>
          </w:p>
          <w:p>
            <w:pPr>
              <w:pStyle w:val="636"/>
              <w:ind w:firstLine="645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202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年，县林业局严格按照中央八项规定和省、市、县有关文件精神，坚持“依章办事、服务大局、围绕中心、突出重点、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求真务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实”的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工作方针，压缩非生产开支，进一步规范会计核算行为，成立了财务管理工作领导小组，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制定了一系列财务管理制度，实行会计出纳分工管理。在资金使用上,我们一直按照国家财经法规和机关财务管理制度规定，以及有关专项资金管理办法的规定开支。资金结付有完整的审批程序和手续，按照财经制度的有关要求，做到专款专用，专人保管，单位分管领导对资金的使用进行全程监督，保证资金使用的合规性。资金使用无截留、挤占、挪用、虚列支出等情况。相关发票由财务室审核后，报分管财务领导签字，再由主要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负责人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签字同意报帐后方可结算。加强预算管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理和执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行力度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，确保资金安全，有效运行，积极服务本单位发展，实现了年度收支平衡。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40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一是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202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年基本支出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5501.5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万元。其中：工资福利支出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32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12.97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万元；一般商品和服务支出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201.16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万元；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项目支出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3784.5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3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万元，主要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是生态林规划，森林保险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，森林抚育，森林防火及病虫害防治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，林长制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工作经费等。二是严格控制“三公经费”管理，公务接待费用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3.06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，严格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实行公务卡消费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；公务用车运行维护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费用为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6.59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万元；无因公出国境费用支出。三是厉行节约，提高思想认识，树立节约观念，通过召开厉行节约、杜绝浪费会议，引导和规范全体工作人员从自身做起，从身边小事做起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，倡导网络办公，促进办公低碳化，充分利用现在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网络技术，通过林业内网方式传送文件资料，实行无纸化办公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。同时注重节俭，养成节约习惯，做到“人走灯灭”，下班及时关闭空调、电脑等用电设备。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30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三、绩效分析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</w:r>
            <w:r/>
          </w:p>
          <w:p>
            <w:pPr>
              <w:pStyle w:val="636"/>
              <w:ind w:firstLine="640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1、预算执行。（1）在职人员控制率，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202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年初林业局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机关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编制人数为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4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人。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年末实有人数为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4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人，控制率为100%，没有超编现象。（2）预算完成率100%，年初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财政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预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算收支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3400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万元，实际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财政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收支为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7409.59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，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022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年度将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上级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财政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专项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决算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收支纳入整体支出绩效评价，本级财政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收支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实现了年度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平衡。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40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2、预算管理。（1）控制日常公用经费开支，年日常公用经费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683.62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万元，主要用于办公电脑及耗材、办公室日常用品、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房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屋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设备维修及保养等开支。（2）“三公”经费控制率100%，“三公”经费支出年初预算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1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万元，本年度“三公”经费实际支出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9.65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万元，是严控缩减所有公务接待的结果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（3）管理制度健全，按照县财政有关文件，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202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年我们制定了财务管理制度和会计核算等管理制度，严格按照制度执行。（4）预决算信息公开性，按照规定的内容、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时间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在政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府网站公开预决算信息，做到基础数据信息和会计资料真实、完整、准确。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00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3、职责履行。（1）按照县委县政府要求，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制定全县造林绿化的指导性计划；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（2）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组织监督林业资源保护管理；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（3）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组织编制并监督执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行全县森林采伐限额，监督检查林木凭证采伐、运输，组织、指导林地、林权管理；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（4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）组织、协调、指导专业森林扑火队伍开展防扑火工作；承担县森林防火指挥部的具体工作；（５）指导林业有害生物的防治、检疫工作。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通过一年的努力工作，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县林业局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系统干部切实转变工作作风，提高办事效率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，使全县的生态经济效益得到有效提高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43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四、存在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的主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要问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题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</w:r>
            <w:r/>
          </w:p>
          <w:p>
            <w:pPr>
              <w:pStyle w:val="636"/>
              <w:ind w:firstLine="640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（1）日常公用经费开支中用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于林业生产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方面支出所占比重偏低。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40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（2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）日常无纸化办公控制不够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43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五、改进措施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</w:r>
            <w:r/>
          </w:p>
          <w:p>
            <w:pPr>
              <w:pStyle w:val="636"/>
              <w:ind w:firstLine="640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（1）进一步完善财务制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度，规范财经纪律，严格控制非生产性开支，进一步提高无纸化办公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40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（2）充实财务人员，加强财务人员培训，不断提高财务人员素质。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43"/>
              <w:rPr>
                <w:rFonts w:hint="eastAsia"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 xml:space="preserve">六、评分结论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</w:r>
            <w:r/>
          </w:p>
          <w:p>
            <w:pPr>
              <w:pStyle w:val="636"/>
              <w:ind w:firstLine="645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综合以上各项指标，财务管理健全规范，没有发生违法违规现象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，林业局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202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2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年的部门整体支出绩效自我评价得到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9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8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分，自评结果：优秀。我们将在以后的工作中加强预算管理，严格控制各项经费的开支，提高经费的使用效率。</w:t>
            </w: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</w:r>
            <w:r/>
          </w:p>
          <w:p>
            <w:pPr>
              <w:pStyle w:val="636"/>
              <w:ind w:firstLine="640"/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一、部门（单位）概况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（一）部门（单位）基本情况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（二）部门（单位）整体支出规模、使用方向和主要内容、涉及范围等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二、部门（单位）整体支出管理及使用情况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（一）基本支出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（二）专项支出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1、专项资金安排落实、总投入等情况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分析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2、专项资金实际使用情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况分析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3、专项资金管理情况分析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三、部门（单位）专项组织实施情况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（一）专项组织情况分析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（二）专项管理情况分析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四、部门（单位）整体支出绩效情况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五、存在的主要问题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</w:r>
            <w:r/>
          </w:p>
          <w:p>
            <w:pPr>
              <w:pStyle w:val="636"/>
              <w:ind w:firstLine="560"/>
              <w:spacing w:line="560" w:lineRule="exac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六、改进措施和有关建议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</w:r>
            <w:r/>
          </w:p>
          <w:p>
            <w:pPr>
              <w:pStyle w:val="636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</w:r>
            <w:r/>
          </w:p>
        </w:tc>
      </w:tr>
    </w:tbl>
    <w:p>
      <w:pPr>
        <w:pStyle w:val="636"/>
        <w:spacing w:line="348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</w:r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panose1 w:val="02010609060101010101"/>
  </w:font>
  <w:font w:name="楷体">
    <w:panose1 w:val="02010609060101010101"/>
  </w:font>
  <w:font w:name="方正小标宋简体">
    <w:panose1 w:val="020B0304020202020204"/>
  </w:font>
  <w:font w:name="仿宋_GB2312">
    <w:panose1 w:val="02010609060101010101"/>
  </w:font>
  <w:font w:name="黑体">
    <w:panose1 w:val="02010609060101010101"/>
  </w:font>
  <w:font w:name="宋体">
    <w:panose1 w:val="02010600030101010101"/>
  </w:font>
  <w:font w:name="Arial">
    <w:panose1 w:val="020B0604020202020204"/>
  </w:font>
  <w:font w:name="Times New Roman">
    <w:panose1 w:val="02020603050405020304"/>
  </w:font>
  <w:font w:name="仿宋">
    <w:panose1 w:val="02010609060101010101"/>
  </w:font>
  <w:font w:name="等线">
    <w:panose1 w:val="020B03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0"/>
      <w:rPr>
        <w:rStyle w:val="642"/>
        <w:sz w:val="24"/>
        <w:szCs w:val="24"/>
      </w:rPr>
      <w:framePr w:wrap="around" w:vAnchor="text" w:hAnchor="margin" w:xAlign="outside" w:y="1"/>
    </w:pPr>
    <w:r>
      <w:rPr>
        <w:rStyle w:val="642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4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42"/>
        <w:sz w:val="24"/>
        <w:szCs w:val="24"/>
      </w:rPr>
      <w:t xml:space="preserve">1</w:t>
    </w:r>
    <w:r>
      <w:rPr>
        <w:sz w:val="24"/>
        <w:szCs w:val="24"/>
      </w:rPr>
      <w:fldChar w:fldCharType="end"/>
    </w:r>
    <w:r>
      <w:rPr>
        <w:rStyle w:val="642"/>
        <w:rFonts w:hint="eastAsia"/>
        <w:sz w:val="24"/>
        <w:szCs w:val="24"/>
      </w:rPr>
      <w:t xml:space="preserve"> —</w:t>
    </w:r>
    <w:r>
      <w:rPr>
        <w:rStyle w:val="642"/>
        <w:sz w:val="24"/>
        <w:szCs w:val="24"/>
      </w:rPr>
    </w:r>
    <w:r/>
  </w:p>
  <w:p>
    <w:pPr>
      <w:pStyle w:val="636"/>
      <w:ind w:right="360" w:firstLine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6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 xml:space="preserve">- 15 -</w:t>
    </w:r>
    <w:r>
      <w:fldChar w:fldCharType="end"/>
    </w:r>
    <w:r/>
  </w:p>
  <w:p>
    <w:pPr>
      <w:pStyle w:val="636"/>
      <w:ind w:right="360" w:firstLine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等线" w:hAnsi="等线" w:eastAsia="等线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6"/>
    <w:next w:val="636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6"/>
    <w:next w:val="63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6"/>
    <w:next w:val="636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6"/>
    <w:next w:val="63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6"/>
    <w:next w:val="63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6"/>
    <w:next w:val="63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6"/>
    <w:next w:val="63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6"/>
    <w:next w:val="63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6"/>
    <w:next w:val="63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6"/>
    <w:next w:val="63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36"/>
    <w:next w:val="63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36"/>
    <w:next w:val="63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6"/>
    <w:next w:val="63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36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3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3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3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5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next w:val="636"/>
    <w:link w:val="636"/>
    <w:qFormat/>
    <w:pPr>
      <w:jc w:val="both"/>
      <w:widowControl w:val="off"/>
    </w:pPr>
    <w:rPr>
      <w:sz w:val="21"/>
      <w:szCs w:val="22"/>
      <w:lang w:val="en-US" w:eastAsia="zh-CN" w:bidi="ar-SA"/>
    </w:rPr>
  </w:style>
  <w:style w:type="character" w:styleId="637">
    <w:name w:val="默认段落字体"/>
    <w:next w:val="637"/>
    <w:link w:val="636"/>
    <w:uiPriority w:val="1"/>
    <w:semiHidden/>
    <w:unhideWhenUsed/>
  </w:style>
  <w:style w:type="table" w:styleId="638">
    <w:name w:val="普通表格"/>
    <w:next w:val="638"/>
    <w:link w:val="636"/>
    <w:uiPriority w:val="99"/>
    <w:semiHidden/>
    <w:unhideWhenUsed/>
    <w:tblPr/>
  </w:style>
  <w:style w:type="numbering" w:styleId="639">
    <w:name w:val="无列表"/>
    <w:next w:val="639"/>
    <w:link w:val="636"/>
    <w:uiPriority w:val="99"/>
    <w:semiHidden/>
    <w:unhideWhenUsed/>
  </w:style>
  <w:style w:type="paragraph" w:styleId="640">
    <w:name w:val="页脚"/>
    <w:basedOn w:val="636"/>
    <w:next w:val="640"/>
    <w:link w:val="641"/>
    <w:uiPriority w:val="99"/>
    <w:semiHidden/>
    <w:unhideWhenUsed/>
    <w:pPr>
      <w:jc w:val="left"/>
      <w:tabs>
        <w:tab w:val="center" w:pos="4153" w:leader="none"/>
        <w:tab w:val="right" w:pos="8306" w:leader="none"/>
      </w:tabs>
    </w:pPr>
    <w:rPr>
      <w:sz w:val="18"/>
      <w:szCs w:val="18"/>
    </w:rPr>
  </w:style>
  <w:style w:type="character" w:styleId="641">
    <w:name w:val="页脚 字符"/>
    <w:next w:val="641"/>
    <w:link w:val="640"/>
    <w:uiPriority w:val="99"/>
    <w:semiHidden/>
    <w:rPr>
      <w:sz w:val="18"/>
      <w:szCs w:val="18"/>
    </w:rPr>
  </w:style>
  <w:style w:type="character" w:styleId="642">
    <w:name w:val="页码"/>
    <w:next w:val="642"/>
    <w:link w:val="636"/>
  </w:style>
  <w:style w:type="paragraph" w:styleId="643">
    <w:name w:val="toc 5"/>
    <w:basedOn w:val="636"/>
    <w:next w:val="636"/>
    <w:link w:val="636"/>
    <w:qFormat/>
    <w:pPr>
      <w:ind w:left="1680"/>
      <w:spacing w:before="100" w:beforeAutospacing="1" w:after="100" w:afterAutospacing="1"/>
    </w:pPr>
    <w:rPr>
      <w:rFonts w:ascii="Times New Roman" w:hAnsi="Times New Roman" w:eastAsia="宋体"/>
      <w:szCs w:val="21"/>
    </w:rPr>
  </w:style>
  <w:style w:type="character" w:styleId="4578" w:default="1">
    <w:name w:val="Default Paragraph Font"/>
    <w:uiPriority w:val="1"/>
    <w:semiHidden/>
    <w:unhideWhenUsed/>
  </w:style>
  <w:style w:type="numbering" w:styleId="4579" w:default="1">
    <w:name w:val="No List"/>
    <w:uiPriority w:val="99"/>
    <w:semiHidden/>
    <w:unhideWhenUsed/>
  </w:style>
  <w:style w:type="table" w:styleId="45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JisuOffice/1.0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尹虹</dc:creator>
  <cp:revision>5</cp:revision>
  <dcterms:created xsi:type="dcterms:W3CDTF">2023-06-26T07:29:00Z</dcterms:created>
  <dcterms:modified xsi:type="dcterms:W3CDTF">2024-08-16T13:13:59Z</dcterms:modified>
  <cp:version>1048576</cp:version>
</cp:coreProperties>
</file>