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FD09C">
      <w:pPr>
        <w:pStyle w:val="9"/>
        <w:jc w:val="center"/>
        <w:rPr>
          <w:sz w:val="56"/>
          <w:szCs w:val="56"/>
        </w:rPr>
      </w:pPr>
    </w:p>
    <w:p w14:paraId="0DCABC58">
      <w:pPr>
        <w:pStyle w:val="9"/>
        <w:jc w:val="center"/>
        <w:rPr>
          <w:sz w:val="56"/>
          <w:szCs w:val="56"/>
        </w:rPr>
      </w:pPr>
    </w:p>
    <w:p w14:paraId="367C2E6B">
      <w:pPr>
        <w:pStyle w:val="9"/>
        <w:jc w:val="center"/>
        <w:rPr>
          <w:sz w:val="84"/>
          <w:szCs w:val="84"/>
        </w:rPr>
      </w:pPr>
    </w:p>
    <w:p w14:paraId="7F6D9A87">
      <w:pPr>
        <w:pStyle w:val="9"/>
        <w:jc w:val="center"/>
        <w:rPr>
          <w:sz w:val="84"/>
          <w:szCs w:val="84"/>
        </w:rPr>
      </w:pPr>
    </w:p>
    <w:p w14:paraId="2E171B64">
      <w:pPr>
        <w:pStyle w:val="9"/>
        <w:jc w:val="center"/>
        <w:rPr>
          <w:sz w:val="84"/>
          <w:szCs w:val="84"/>
        </w:rPr>
      </w:pPr>
      <w:r>
        <w:rPr>
          <w:rFonts w:hint="eastAsia"/>
          <w:sz w:val="84"/>
          <w:szCs w:val="84"/>
        </w:rPr>
        <w:t>2021年度</w:t>
      </w:r>
    </w:p>
    <w:p w14:paraId="13326A85">
      <w:pPr>
        <w:pStyle w:val="9"/>
        <w:jc w:val="center"/>
        <w:rPr>
          <w:sz w:val="84"/>
          <w:szCs w:val="84"/>
        </w:rPr>
      </w:pPr>
      <w:r>
        <w:rPr>
          <w:rFonts w:hint="eastAsia"/>
          <w:sz w:val="84"/>
          <w:szCs w:val="84"/>
        </w:rPr>
        <w:t>社会保险服务中心部门决算</w:t>
      </w:r>
    </w:p>
    <w:p w14:paraId="10724AF4">
      <w:pPr>
        <w:pStyle w:val="9"/>
        <w:jc w:val="center"/>
        <w:rPr>
          <w:sz w:val="56"/>
          <w:szCs w:val="56"/>
        </w:rPr>
      </w:pPr>
    </w:p>
    <w:p w14:paraId="0BE0388E">
      <w:pPr>
        <w:pStyle w:val="9"/>
        <w:jc w:val="center"/>
        <w:rPr>
          <w:sz w:val="56"/>
          <w:szCs w:val="56"/>
        </w:rPr>
      </w:pPr>
    </w:p>
    <w:p w14:paraId="6F07FA86">
      <w:pPr>
        <w:pStyle w:val="9"/>
        <w:jc w:val="center"/>
        <w:rPr>
          <w:sz w:val="56"/>
          <w:szCs w:val="56"/>
        </w:rPr>
      </w:pPr>
    </w:p>
    <w:p w14:paraId="71B86300">
      <w:pPr>
        <w:pStyle w:val="9"/>
        <w:jc w:val="center"/>
        <w:rPr>
          <w:sz w:val="56"/>
          <w:szCs w:val="56"/>
        </w:rPr>
      </w:pPr>
    </w:p>
    <w:p w14:paraId="71B7BDC4">
      <w:pPr>
        <w:pStyle w:val="9"/>
        <w:jc w:val="center"/>
        <w:rPr>
          <w:sz w:val="32"/>
          <w:szCs w:val="32"/>
        </w:rPr>
      </w:pPr>
    </w:p>
    <w:p w14:paraId="1696DF4D">
      <w:pPr>
        <w:pStyle w:val="9"/>
        <w:jc w:val="center"/>
        <w:rPr>
          <w:sz w:val="32"/>
          <w:szCs w:val="32"/>
        </w:rPr>
      </w:pPr>
    </w:p>
    <w:p w14:paraId="6E2839F6">
      <w:pPr>
        <w:pStyle w:val="9"/>
        <w:jc w:val="center"/>
        <w:rPr>
          <w:sz w:val="32"/>
          <w:szCs w:val="32"/>
        </w:rPr>
      </w:pPr>
    </w:p>
    <w:p w14:paraId="63C07605">
      <w:pPr>
        <w:pStyle w:val="9"/>
        <w:jc w:val="center"/>
        <w:rPr>
          <w:sz w:val="32"/>
          <w:szCs w:val="32"/>
        </w:rPr>
      </w:pPr>
    </w:p>
    <w:p w14:paraId="011F62C9">
      <w:pPr>
        <w:pStyle w:val="9"/>
        <w:jc w:val="center"/>
        <w:rPr>
          <w:sz w:val="32"/>
          <w:szCs w:val="32"/>
        </w:rPr>
      </w:pPr>
    </w:p>
    <w:p w14:paraId="123129AC">
      <w:pPr>
        <w:pStyle w:val="9"/>
        <w:spacing w:line="540" w:lineRule="exact"/>
        <w:jc w:val="center"/>
        <w:rPr>
          <w:sz w:val="56"/>
          <w:szCs w:val="56"/>
        </w:rPr>
      </w:pPr>
    </w:p>
    <w:p w14:paraId="11606374">
      <w:pPr>
        <w:pStyle w:val="9"/>
        <w:spacing w:line="500" w:lineRule="exact"/>
        <w:jc w:val="center"/>
        <w:rPr>
          <w:b/>
          <w:sz w:val="36"/>
          <w:szCs w:val="28"/>
        </w:rPr>
      </w:pPr>
    </w:p>
    <w:p w14:paraId="43EBE1F1">
      <w:pPr>
        <w:pStyle w:val="9"/>
        <w:spacing w:line="500" w:lineRule="exact"/>
        <w:jc w:val="center"/>
        <w:rPr>
          <w:b/>
          <w:sz w:val="36"/>
          <w:szCs w:val="28"/>
        </w:rPr>
      </w:pPr>
    </w:p>
    <w:p w14:paraId="08E440F0">
      <w:pPr>
        <w:pStyle w:val="9"/>
        <w:spacing w:line="500" w:lineRule="exact"/>
        <w:jc w:val="center"/>
        <w:rPr>
          <w:b/>
          <w:sz w:val="36"/>
          <w:szCs w:val="28"/>
        </w:rPr>
      </w:pPr>
      <w:r>
        <w:rPr>
          <w:rFonts w:hint="eastAsia"/>
          <w:b/>
          <w:sz w:val="36"/>
          <w:szCs w:val="28"/>
        </w:rPr>
        <w:t>目录</w:t>
      </w:r>
    </w:p>
    <w:p w14:paraId="63CCDC41">
      <w:pPr>
        <w:pStyle w:val="9"/>
        <w:spacing w:line="500" w:lineRule="exact"/>
        <w:outlineLvl w:val="0"/>
        <w:rPr>
          <w:rFonts w:ascii="仿宋_GB2312" w:hAnsi="仿宋_GB2312" w:cs="仿宋_GB2312"/>
          <w:b/>
          <w:sz w:val="28"/>
          <w:szCs w:val="28"/>
        </w:rPr>
      </w:pPr>
      <w:r>
        <w:rPr>
          <w:rFonts w:hint="eastAsia"/>
          <w:b/>
          <w:sz w:val="28"/>
          <w:szCs w:val="28"/>
        </w:rPr>
        <w:t>第一部分社会保险服务中心单位概况</w:t>
      </w:r>
    </w:p>
    <w:p w14:paraId="4BE098D6">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00D5AD35">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r>
        <w:rPr>
          <w:rFonts w:hint="eastAsia" w:cs="仿宋_GB2312" w:asciiTheme="minorEastAsia" w:hAnsiTheme="minorEastAsia" w:eastAsiaTheme="minorEastAsia"/>
          <w:sz w:val="28"/>
          <w:szCs w:val="28"/>
        </w:rPr>
        <w:t>决算单位构成</w:t>
      </w:r>
    </w:p>
    <w:p w14:paraId="49699F40">
      <w:pPr>
        <w:pStyle w:val="9"/>
        <w:spacing w:line="500" w:lineRule="exact"/>
        <w:outlineLvl w:val="0"/>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14:paraId="36AECC7B">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27922F70">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126C4F01">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58DC6FB1">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589E521F">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0342BC47">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667D06D2">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6649CE7F">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4C6369C1">
      <w:pPr>
        <w:pStyle w:val="9"/>
        <w:spacing w:line="500" w:lineRule="exact"/>
        <w:outlineLvl w:val="0"/>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14:paraId="18023374">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1A061756">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5EF9F4C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2CDEF45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2CE7DA3F">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5B7271AA">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2E970172">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66A5EC89">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32684D57">
      <w:pPr>
        <w:pStyle w:val="9"/>
        <w:spacing w:line="500" w:lineRule="exact"/>
        <w:ind w:firstLine="700" w:firstLineChars="250"/>
        <w:rPr>
          <w:rFonts w:hint="eastAsia" w:ascii="仿宋_GB2312" w:hAnsi="仿宋_GB2312" w:cs="仿宋_GB2312" w:eastAsiaTheme="minorEastAsia"/>
          <w:sz w:val="28"/>
          <w:szCs w:val="28"/>
        </w:rPr>
      </w:pPr>
      <w:r>
        <w:rPr>
          <w:rFonts w:hint="eastAsia" w:ascii="仿宋_GB2312" w:hAnsi="仿宋_GB2312" w:cs="仿宋_GB2312" w:eastAsiaTheme="minorEastAsia"/>
          <w:color w:val="000000"/>
          <w:kern w:val="0"/>
          <w:sz w:val="28"/>
          <w:szCs w:val="28"/>
          <w:lang w:val="en-US" w:eastAsia="zh-CN"/>
        </w:rPr>
        <w:t>九、</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748D7761">
      <w:pPr>
        <w:pStyle w:val="9"/>
        <w:numPr>
          <w:ilvl w:val="0"/>
          <w:numId w:val="1"/>
        </w:numPr>
        <w:spacing w:line="500" w:lineRule="exact"/>
        <w:ind w:firstLine="700" w:firstLineChars="250"/>
        <w:rPr>
          <w:rFonts w:hint="default" w:ascii="仿宋_GB2312" w:hAnsi="仿宋_GB2312" w:cs="仿宋_GB2312" w:eastAsiaTheme="minorEastAsia"/>
          <w:sz w:val="28"/>
          <w:szCs w:val="28"/>
          <w:lang w:val="en-US" w:eastAsia="zh-CN"/>
        </w:rPr>
      </w:pPr>
      <w:r>
        <w:rPr>
          <w:rFonts w:hint="eastAsia" w:ascii="仿宋_GB2312" w:hAnsi="仿宋_GB2312" w:cs="仿宋_GB2312" w:eastAsiaTheme="minorEastAsia"/>
          <w:sz w:val="28"/>
          <w:szCs w:val="28"/>
          <w:lang w:val="en-US" w:eastAsia="zh-CN"/>
        </w:rPr>
        <w:t>其他重要事项情况说明</w:t>
      </w:r>
    </w:p>
    <w:p w14:paraId="6090BD63">
      <w:pPr>
        <w:autoSpaceDE w:val="0"/>
        <w:autoSpaceDN w:val="0"/>
        <w:adjustRightInd w:val="0"/>
        <w:spacing w:line="500" w:lineRule="exact"/>
        <w:jc w:val="left"/>
        <w:outlineLvl w:val="0"/>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7107BF10">
      <w:pPr>
        <w:autoSpaceDE w:val="0"/>
        <w:autoSpaceDN w:val="0"/>
        <w:adjustRightInd w:val="0"/>
        <w:spacing w:line="500" w:lineRule="exact"/>
        <w:jc w:val="left"/>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51F3A221">
      <w:pPr>
        <w:jc w:val="center"/>
        <w:rPr>
          <w:sz w:val="72"/>
          <w:szCs w:val="72"/>
        </w:rPr>
      </w:pPr>
    </w:p>
    <w:p w14:paraId="715EE00B">
      <w:pPr>
        <w:jc w:val="center"/>
        <w:rPr>
          <w:sz w:val="72"/>
          <w:szCs w:val="72"/>
        </w:rPr>
      </w:pPr>
    </w:p>
    <w:p w14:paraId="2263DCB1">
      <w:pPr>
        <w:jc w:val="center"/>
        <w:rPr>
          <w:sz w:val="72"/>
          <w:szCs w:val="72"/>
        </w:rPr>
      </w:pPr>
    </w:p>
    <w:p w14:paraId="785DDCBA">
      <w:pPr>
        <w:jc w:val="center"/>
        <w:rPr>
          <w:sz w:val="72"/>
          <w:szCs w:val="72"/>
        </w:rPr>
      </w:pPr>
    </w:p>
    <w:p w14:paraId="1A27611B">
      <w:pPr>
        <w:rPr>
          <w:sz w:val="72"/>
          <w:szCs w:val="72"/>
        </w:rPr>
      </w:pPr>
    </w:p>
    <w:p w14:paraId="498550AC">
      <w:pPr>
        <w:pStyle w:val="9"/>
        <w:jc w:val="center"/>
        <w:rPr>
          <w:sz w:val="84"/>
          <w:szCs w:val="84"/>
        </w:rPr>
      </w:pPr>
      <w:r>
        <w:rPr>
          <w:rFonts w:hint="eastAsia"/>
          <w:sz w:val="84"/>
          <w:szCs w:val="84"/>
        </w:rPr>
        <w:t>第一部分</w:t>
      </w:r>
    </w:p>
    <w:p w14:paraId="0FB11C05">
      <w:pPr>
        <w:pStyle w:val="9"/>
        <w:jc w:val="center"/>
        <w:rPr>
          <w:sz w:val="84"/>
          <w:szCs w:val="84"/>
        </w:rPr>
      </w:pPr>
    </w:p>
    <w:p w14:paraId="4D5A0ED3">
      <w:pPr>
        <w:pStyle w:val="9"/>
        <w:jc w:val="center"/>
        <w:outlineLvl w:val="0"/>
        <w:rPr>
          <w:sz w:val="84"/>
          <w:szCs w:val="84"/>
        </w:rPr>
      </w:pPr>
      <w:r>
        <w:rPr>
          <w:rFonts w:hint="eastAsia"/>
          <w:sz w:val="84"/>
          <w:szCs w:val="84"/>
        </w:rPr>
        <w:t>社会保险服务中心单位概况</w:t>
      </w:r>
    </w:p>
    <w:p w14:paraId="4742B797">
      <w:pPr>
        <w:jc w:val="center"/>
        <w:rPr>
          <w:sz w:val="72"/>
          <w:szCs w:val="72"/>
        </w:rPr>
      </w:pPr>
    </w:p>
    <w:p w14:paraId="5EE094A0">
      <w:pPr>
        <w:jc w:val="center"/>
        <w:rPr>
          <w:sz w:val="72"/>
          <w:szCs w:val="72"/>
        </w:rPr>
      </w:pPr>
    </w:p>
    <w:p w14:paraId="56843A57">
      <w:pPr>
        <w:jc w:val="center"/>
        <w:rPr>
          <w:sz w:val="72"/>
          <w:szCs w:val="72"/>
        </w:rPr>
      </w:pPr>
    </w:p>
    <w:p w14:paraId="28581BA9">
      <w:pPr>
        <w:jc w:val="center"/>
        <w:rPr>
          <w:sz w:val="72"/>
          <w:szCs w:val="72"/>
        </w:rPr>
      </w:pPr>
    </w:p>
    <w:p w14:paraId="09C5C9DB">
      <w:pPr>
        <w:jc w:val="center"/>
        <w:rPr>
          <w:sz w:val="72"/>
          <w:szCs w:val="72"/>
        </w:rPr>
      </w:pPr>
    </w:p>
    <w:p w14:paraId="221BCE00">
      <w:pPr>
        <w:pStyle w:val="10"/>
        <w:ind w:left="720" w:firstLine="0" w:firstLineChars="0"/>
        <w:jc w:val="left"/>
        <w:rPr>
          <w:rFonts w:ascii="黑体" w:hAnsi="黑体" w:eastAsia="黑体"/>
          <w:sz w:val="32"/>
          <w:szCs w:val="32"/>
        </w:rPr>
      </w:pPr>
    </w:p>
    <w:p w14:paraId="18EF82EC">
      <w:pPr>
        <w:pStyle w:val="10"/>
        <w:ind w:left="720" w:firstLine="0" w:firstLineChars="0"/>
        <w:jc w:val="left"/>
        <w:rPr>
          <w:rFonts w:ascii="黑体" w:hAnsi="黑体" w:eastAsia="黑体"/>
          <w:sz w:val="32"/>
          <w:szCs w:val="32"/>
        </w:rPr>
      </w:pPr>
    </w:p>
    <w:p w14:paraId="4D773F4F">
      <w:pPr>
        <w:pStyle w:val="10"/>
        <w:ind w:left="720" w:firstLine="0" w:firstLineChars="0"/>
        <w:jc w:val="left"/>
        <w:rPr>
          <w:rFonts w:ascii="黑体" w:hAnsi="黑体" w:eastAsia="黑体"/>
          <w:sz w:val="32"/>
          <w:szCs w:val="32"/>
        </w:rPr>
      </w:pPr>
    </w:p>
    <w:p w14:paraId="468A1B00">
      <w:pPr>
        <w:pStyle w:val="10"/>
        <w:numPr>
          <w:ilvl w:val="0"/>
          <w:numId w:val="2"/>
        </w:numPr>
        <w:ind w:firstLineChars="0"/>
        <w:jc w:val="left"/>
        <w:outlineLvl w:val="0"/>
        <w:rPr>
          <w:rFonts w:ascii="黑体" w:hAnsi="黑体" w:eastAsia="黑体"/>
          <w:sz w:val="32"/>
          <w:szCs w:val="32"/>
        </w:rPr>
      </w:pPr>
      <w:r>
        <w:rPr>
          <w:rFonts w:ascii="黑体" w:hAnsi="黑体" w:eastAsia="黑体"/>
          <w:sz w:val="32"/>
          <w:szCs w:val="32"/>
        </w:rPr>
        <w:t>部门职责</w:t>
      </w:r>
    </w:p>
    <w:p w14:paraId="417A4089">
      <w:pPr>
        <w:widowControl/>
        <w:spacing w:line="600" w:lineRule="exact"/>
        <w:ind w:firstLine="640" w:firstLineChars="200"/>
        <w:rPr>
          <w:rFonts w:asciiTheme="minorEastAsia" w:hAnsiTheme="minorEastAsia"/>
          <w:bCs/>
          <w:kern w:val="0"/>
          <w:sz w:val="32"/>
          <w:szCs w:val="32"/>
          <w:lang w:val="zh-CN"/>
        </w:rPr>
      </w:pPr>
      <w:r>
        <w:rPr>
          <w:rFonts w:hint="eastAsia" w:asciiTheme="minorEastAsia" w:hAnsiTheme="minorEastAsia"/>
          <w:bCs/>
          <w:kern w:val="0"/>
          <w:sz w:val="32"/>
          <w:szCs w:val="32"/>
          <w:lang w:val="zh-CN"/>
        </w:rPr>
        <w:t>（一）承担全县企业基本养老保险、城乡居民养老保险业务经办事务。</w:t>
      </w:r>
    </w:p>
    <w:p w14:paraId="1CA4DBDF">
      <w:pPr>
        <w:widowControl/>
        <w:spacing w:line="600" w:lineRule="exact"/>
        <w:ind w:firstLine="640" w:firstLineChars="200"/>
        <w:rPr>
          <w:rFonts w:asciiTheme="minorEastAsia" w:hAnsiTheme="minorEastAsia"/>
          <w:bCs/>
          <w:kern w:val="0"/>
          <w:sz w:val="32"/>
          <w:szCs w:val="32"/>
          <w:lang w:val="zh-CN"/>
        </w:rPr>
      </w:pPr>
      <w:r>
        <w:rPr>
          <w:rFonts w:hint="eastAsia" w:asciiTheme="minorEastAsia" w:hAnsiTheme="minorEastAsia"/>
          <w:bCs/>
          <w:kern w:val="0"/>
          <w:sz w:val="32"/>
          <w:szCs w:val="32"/>
          <w:lang w:val="zh-CN"/>
        </w:rPr>
        <w:t>（二）拟订全县企业基本养老保险、全县城乡居民养老保险关系建立、中断、转移、接续、终止的操作规程并组织实施。</w:t>
      </w:r>
    </w:p>
    <w:p w14:paraId="1B67E6DE">
      <w:pPr>
        <w:widowControl/>
        <w:spacing w:line="600" w:lineRule="exact"/>
        <w:ind w:firstLine="640" w:firstLineChars="200"/>
        <w:rPr>
          <w:rFonts w:asciiTheme="minorEastAsia" w:hAnsiTheme="minorEastAsia"/>
          <w:bCs/>
          <w:kern w:val="0"/>
          <w:sz w:val="32"/>
          <w:szCs w:val="32"/>
          <w:lang w:val="zh-CN"/>
        </w:rPr>
      </w:pPr>
      <w:r>
        <w:rPr>
          <w:rFonts w:hint="eastAsia" w:asciiTheme="minorEastAsia" w:hAnsiTheme="minorEastAsia"/>
          <w:bCs/>
          <w:kern w:val="0"/>
          <w:sz w:val="32"/>
          <w:szCs w:val="32"/>
          <w:lang w:val="zh-CN"/>
        </w:rPr>
        <w:t>（三）拟订全县企业养老保险、城乡居民养老保险离退休人员基本养老金社会化发放、领取基本养老金资格认证和管理服务规范。</w:t>
      </w:r>
    </w:p>
    <w:p w14:paraId="7D947C08">
      <w:pPr>
        <w:widowControl/>
        <w:spacing w:line="600" w:lineRule="exact"/>
        <w:ind w:firstLine="640" w:firstLineChars="200"/>
        <w:rPr>
          <w:rFonts w:asciiTheme="minorEastAsia" w:hAnsiTheme="minorEastAsia"/>
          <w:bCs/>
          <w:kern w:val="0"/>
          <w:sz w:val="32"/>
          <w:szCs w:val="32"/>
          <w:lang w:val="zh-CN"/>
        </w:rPr>
      </w:pPr>
      <w:r>
        <w:rPr>
          <w:rFonts w:hint="eastAsia" w:asciiTheme="minorEastAsia" w:hAnsiTheme="minorEastAsia"/>
          <w:bCs/>
          <w:kern w:val="0"/>
          <w:sz w:val="32"/>
          <w:szCs w:val="32"/>
          <w:lang w:val="zh-CN"/>
        </w:rPr>
        <w:t>（四）指导全县企业基本养老保险、城乡居民养老保险稽核催缴工作。</w:t>
      </w:r>
    </w:p>
    <w:p w14:paraId="63FA84A5">
      <w:pPr>
        <w:widowControl/>
        <w:spacing w:line="600" w:lineRule="exact"/>
        <w:ind w:firstLine="640" w:firstLineChars="200"/>
        <w:rPr>
          <w:rFonts w:asciiTheme="minorEastAsia" w:hAnsiTheme="minorEastAsia"/>
          <w:bCs/>
          <w:kern w:val="0"/>
          <w:sz w:val="32"/>
          <w:szCs w:val="32"/>
          <w:lang w:val="zh-CN"/>
        </w:rPr>
      </w:pPr>
      <w:r>
        <w:rPr>
          <w:rFonts w:hint="eastAsia" w:asciiTheme="minorEastAsia" w:hAnsiTheme="minorEastAsia"/>
          <w:bCs/>
          <w:kern w:val="0"/>
          <w:sz w:val="32"/>
          <w:szCs w:val="32"/>
          <w:lang w:val="zh-CN"/>
        </w:rPr>
        <w:t>（五）承担基本养老保险信息统计汇总、上报工作。</w:t>
      </w:r>
    </w:p>
    <w:p w14:paraId="5FD52970">
      <w:pPr>
        <w:widowControl/>
        <w:spacing w:line="600" w:lineRule="exact"/>
        <w:ind w:firstLine="640" w:firstLineChars="200"/>
        <w:rPr>
          <w:rFonts w:asciiTheme="minorEastAsia" w:hAnsiTheme="minorEastAsia"/>
          <w:bCs/>
          <w:kern w:val="0"/>
          <w:sz w:val="32"/>
          <w:szCs w:val="32"/>
          <w:lang w:val="zh-CN"/>
        </w:rPr>
      </w:pPr>
      <w:r>
        <w:rPr>
          <w:rFonts w:hint="eastAsia" w:asciiTheme="minorEastAsia" w:hAnsiTheme="minorEastAsia"/>
          <w:bCs/>
          <w:kern w:val="0"/>
          <w:sz w:val="32"/>
          <w:szCs w:val="32"/>
          <w:lang w:val="zh-CN"/>
        </w:rPr>
        <w:t>（六）负责组织指导和监督考核全县各级社保经办机构开展养老保险政策宣传、经办人员培训等工作。</w:t>
      </w:r>
    </w:p>
    <w:p w14:paraId="62439E91">
      <w:pPr>
        <w:widowControl/>
        <w:spacing w:line="600" w:lineRule="exact"/>
        <w:ind w:firstLine="640" w:firstLineChars="200"/>
        <w:rPr>
          <w:rFonts w:asciiTheme="minorEastAsia" w:hAnsiTheme="minorEastAsia"/>
          <w:bCs/>
          <w:kern w:val="0"/>
          <w:sz w:val="32"/>
          <w:szCs w:val="32"/>
          <w:lang w:val="zh-CN"/>
        </w:rPr>
      </w:pPr>
      <w:r>
        <w:rPr>
          <w:rFonts w:hint="eastAsia" w:asciiTheme="minorEastAsia" w:hAnsiTheme="minorEastAsia"/>
          <w:bCs/>
          <w:kern w:val="0"/>
          <w:sz w:val="32"/>
          <w:szCs w:val="32"/>
          <w:lang w:val="zh-CN"/>
        </w:rPr>
        <w:t>（七）制定全县企业养老保险、城乡居民养老保险内控和稽核制度，并组织开展内控和稽核工作。</w:t>
      </w:r>
    </w:p>
    <w:p w14:paraId="49DEF794">
      <w:pPr>
        <w:widowControl/>
        <w:spacing w:line="600" w:lineRule="exact"/>
        <w:ind w:firstLine="640" w:firstLineChars="200"/>
        <w:rPr>
          <w:rFonts w:asciiTheme="minorEastAsia" w:hAnsiTheme="minorEastAsia"/>
          <w:bCs/>
          <w:kern w:val="0"/>
          <w:sz w:val="32"/>
          <w:szCs w:val="32"/>
          <w:lang w:val="zh-CN"/>
        </w:rPr>
      </w:pPr>
      <w:r>
        <w:rPr>
          <w:rFonts w:hint="eastAsia" w:asciiTheme="minorEastAsia" w:hAnsiTheme="minorEastAsia"/>
          <w:bCs/>
          <w:kern w:val="0"/>
          <w:sz w:val="32"/>
          <w:szCs w:val="32"/>
          <w:lang w:val="zh-CN"/>
        </w:rPr>
        <w:t>（八）规范、督导保险费收缴、业务档案管理和社会化管理服务工作。</w:t>
      </w:r>
    </w:p>
    <w:p w14:paraId="6E6A25AA">
      <w:pPr>
        <w:widowControl/>
        <w:spacing w:line="600" w:lineRule="exact"/>
        <w:ind w:firstLine="640" w:firstLineChars="200"/>
        <w:rPr>
          <w:rFonts w:asciiTheme="minorEastAsia" w:hAnsiTheme="minorEastAsia"/>
          <w:bCs/>
          <w:kern w:val="0"/>
          <w:sz w:val="32"/>
          <w:szCs w:val="32"/>
          <w:lang w:val="zh-CN"/>
        </w:rPr>
      </w:pPr>
      <w:r>
        <w:rPr>
          <w:rFonts w:hint="eastAsia" w:asciiTheme="minorEastAsia" w:hAnsiTheme="minorEastAsia"/>
          <w:bCs/>
          <w:kern w:val="0"/>
          <w:sz w:val="32"/>
          <w:szCs w:val="32"/>
          <w:lang w:val="zh-CN"/>
        </w:rPr>
        <w:t>（九）参与制定和分解中央及省级财政对全县城乡居民养老保险的补助资金计划，制定全县城多居民养老保险个人账户结余资金上解计划，配合财政部门做好财政补助资金的结算和划拨工作。</w:t>
      </w:r>
    </w:p>
    <w:p w14:paraId="2EC7B979">
      <w:pPr>
        <w:widowControl/>
        <w:spacing w:line="600" w:lineRule="exact"/>
        <w:ind w:firstLine="640" w:firstLineChars="200"/>
        <w:rPr>
          <w:rFonts w:asciiTheme="minorEastAsia" w:hAnsiTheme="minorEastAsia"/>
          <w:bCs/>
          <w:kern w:val="0"/>
          <w:sz w:val="32"/>
          <w:szCs w:val="32"/>
          <w:lang w:val="zh-CN"/>
        </w:rPr>
      </w:pPr>
      <w:r>
        <w:rPr>
          <w:rFonts w:hint="eastAsia" w:asciiTheme="minorEastAsia" w:hAnsiTheme="minorEastAsia"/>
          <w:bCs/>
          <w:kern w:val="0"/>
          <w:sz w:val="32"/>
          <w:szCs w:val="32"/>
          <w:lang w:val="zh-CN"/>
        </w:rPr>
        <w:t>（十） 承办上级主管部门交办的其他事项。</w:t>
      </w:r>
    </w:p>
    <w:p w14:paraId="58FC36B3">
      <w:pPr>
        <w:widowControl/>
        <w:spacing w:line="600" w:lineRule="exact"/>
        <w:outlineLvl w:val="0"/>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481AB955">
      <w:pPr>
        <w:widowControl/>
        <w:spacing w:line="600" w:lineRule="exact"/>
        <w:ind w:firstLine="640" w:firstLineChars="200"/>
        <w:rPr>
          <w:rFonts w:asciiTheme="minorEastAsia" w:hAnsiTheme="minorEastAsia"/>
          <w:bCs/>
          <w:kern w:val="0"/>
          <w:sz w:val="32"/>
          <w:szCs w:val="32"/>
          <w:lang w:val="zh-CN"/>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val="zh-CN"/>
        </w:rPr>
        <w:t>岳阳县社会保险服务中心下列办公室（统计信息室）、财务室（审计稽查室）、稽核股、征缴股、退管股、城乡居民养保险综合股、6个内设机构。</w:t>
      </w:r>
    </w:p>
    <w:p w14:paraId="0369EAEA">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（二）决算单位构成。本单位没有所属二级机构，因此本年度部门决算仅为本级部门决算。</w:t>
      </w:r>
    </w:p>
    <w:p w14:paraId="2ED763EF">
      <w:pPr>
        <w:widowControl/>
        <w:spacing w:line="600" w:lineRule="exact"/>
        <w:rPr>
          <w:rFonts w:asciiTheme="minorEastAsia" w:hAnsiTheme="minorEastAsia"/>
          <w:bCs/>
          <w:kern w:val="0"/>
          <w:sz w:val="32"/>
          <w:szCs w:val="32"/>
        </w:rPr>
      </w:pPr>
    </w:p>
    <w:p w14:paraId="2E6CD0FF">
      <w:pPr>
        <w:jc w:val="center"/>
        <w:rPr>
          <w:sz w:val="72"/>
          <w:szCs w:val="72"/>
        </w:rPr>
      </w:pPr>
    </w:p>
    <w:p w14:paraId="15B35C4E">
      <w:pPr>
        <w:jc w:val="center"/>
        <w:rPr>
          <w:sz w:val="72"/>
          <w:szCs w:val="72"/>
        </w:rPr>
      </w:pPr>
    </w:p>
    <w:p w14:paraId="255F06B7">
      <w:pPr>
        <w:jc w:val="center"/>
        <w:rPr>
          <w:sz w:val="72"/>
          <w:szCs w:val="72"/>
        </w:rPr>
      </w:pPr>
      <w:r>
        <w:rPr>
          <w:rFonts w:hint="eastAsia"/>
          <w:sz w:val="72"/>
          <w:szCs w:val="72"/>
        </w:rPr>
        <w:t>第二部分</w:t>
      </w:r>
    </w:p>
    <w:p w14:paraId="737BA755">
      <w:pPr>
        <w:jc w:val="center"/>
        <w:rPr>
          <w:sz w:val="72"/>
          <w:szCs w:val="72"/>
        </w:rPr>
      </w:pPr>
    </w:p>
    <w:p w14:paraId="75D9BA3A">
      <w:pPr>
        <w:jc w:val="center"/>
        <w:outlineLvl w:val="0"/>
        <w:rPr>
          <w:sz w:val="72"/>
          <w:szCs w:val="72"/>
        </w:rPr>
      </w:pPr>
      <w:r>
        <w:rPr>
          <w:rFonts w:hint="eastAsia"/>
          <w:sz w:val="72"/>
          <w:szCs w:val="72"/>
        </w:rPr>
        <w:t>部门决算表</w:t>
      </w:r>
    </w:p>
    <w:p w14:paraId="4806A706">
      <w:pPr>
        <w:jc w:val="center"/>
        <w:rPr>
          <w:sz w:val="72"/>
          <w:szCs w:val="72"/>
        </w:rPr>
      </w:pPr>
      <w:r>
        <w:rPr>
          <w:rFonts w:hint="eastAsia"/>
          <w:sz w:val="72"/>
          <w:szCs w:val="72"/>
        </w:rPr>
        <w:t>（见附件）</w:t>
      </w:r>
    </w:p>
    <w:p w14:paraId="2B43965B">
      <w:pPr>
        <w:jc w:val="center"/>
        <w:rPr>
          <w:sz w:val="72"/>
          <w:szCs w:val="72"/>
        </w:rPr>
      </w:pPr>
    </w:p>
    <w:p w14:paraId="49C25545">
      <w:pPr>
        <w:jc w:val="center"/>
        <w:rPr>
          <w:sz w:val="72"/>
          <w:szCs w:val="72"/>
        </w:rPr>
      </w:pPr>
    </w:p>
    <w:p w14:paraId="419EF74A">
      <w:pPr>
        <w:jc w:val="center"/>
        <w:rPr>
          <w:sz w:val="72"/>
          <w:szCs w:val="72"/>
        </w:rPr>
      </w:pPr>
    </w:p>
    <w:p w14:paraId="5586FAA5">
      <w:pPr>
        <w:jc w:val="center"/>
        <w:rPr>
          <w:sz w:val="72"/>
          <w:szCs w:val="72"/>
        </w:rPr>
      </w:pPr>
    </w:p>
    <w:p w14:paraId="1C6B3698">
      <w:pPr>
        <w:jc w:val="center"/>
        <w:rPr>
          <w:sz w:val="72"/>
          <w:szCs w:val="72"/>
        </w:rPr>
      </w:pPr>
    </w:p>
    <w:p w14:paraId="574BBAA4">
      <w:pPr>
        <w:jc w:val="left"/>
        <w:rPr>
          <w:sz w:val="32"/>
          <w:szCs w:val="32"/>
        </w:rPr>
      </w:pPr>
    </w:p>
    <w:p w14:paraId="6B054FE6">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2465CAF4">
      <w:pPr>
        <w:pStyle w:val="9"/>
        <w:jc w:val="center"/>
        <w:rPr>
          <w:sz w:val="72"/>
          <w:szCs w:val="72"/>
        </w:rPr>
      </w:pPr>
    </w:p>
    <w:p w14:paraId="4370EF57">
      <w:pPr>
        <w:pStyle w:val="9"/>
        <w:jc w:val="center"/>
        <w:rPr>
          <w:sz w:val="72"/>
          <w:szCs w:val="72"/>
        </w:rPr>
      </w:pPr>
    </w:p>
    <w:p w14:paraId="4E61A979">
      <w:pPr>
        <w:pStyle w:val="9"/>
        <w:jc w:val="center"/>
        <w:rPr>
          <w:sz w:val="72"/>
          <w:szCs w:val="72"/>
        </w:rPr>
      </w:pPr>
    </w:p>
    <w:p w14:paraId="1C781F15">
      <w:pPr>
        <w:pStyle w:val="9"/>
        <w:jc w:val="center"/>
        <w:rPr>
          <w:sz w:val="72"/>
          <w:szCs w:val="72"/>
        </w:rPr>
      </w:pPr>
    </w:p>
    <w:p w14:paraId="2B892EEA">
      <w:pPr>
        <w:pStyle w:val="9"/>
        <w:jc w:val="center"/>
        <w:rPr>
          <w:sz w:val="72"/>
          <w:szCs w:val="72"/>
        </w:rPr>
      </w:pPr>
    </w:p>
    <w:p w14:paraId="484C5008">
      <w:pPr>
        <w:pStyle w:val="9"/>
        <w:jc w:val="center"/>
        <w:rPr>
          <w:sz w:val="72"/>
          <w:szCs w:val="72"/>
        </w:rPr>
      </w:pPr>
    </w:p>
    <w:p w14:paraId="46482DD1">
      <w:pPr>
        <w:pStyle w:val="9"/>
        <w:jc w:val="center"/>
        <w:rPr>
          <w:sz w:val="72"/>
          <w:szCs w:val="72"/>
        </w:rPr>
      </w:pPr>
      <w:r>
        <w:rPr>
          <w:rFonts w:hint="eastAsia"/>
          <w:sz w:val="72"/>
          <w:szCs w:val="72"/>
        </w:rPr>
        <w:t>第三部分</w:t>
      </w:r>
    </w:p>
    <w:p w14:paraId="5D5AFEE8">
      <w:pPr>
        <w:pStyle w:val="9"/>
        <w:jc w:val="center"/>
        <w:rPr>
          <w:sz w:val="70"/>
          <w:szCs w:val="70"/>
        </w:rPr>
      </w:pPr>
    </w:p>
    <w:p w14:paraId="24C13654">
      <w:pPr>
        <w:pStyle w:val="9"/>
        <w:jc w:val="center"/>
        <w:outlineLvl w:val="0"/>
        <w:rPr>
          <w:sz w:val="70"/>
          <w:szCs w:val="70"/>
        </w:rPr>
      </w:pPr>
      <w:r>
        <w:rPr>
          <w:sz w:val="70"/>
          <w:szCs w:val="70"/>
        </w:rPr>
        <w:t>20</w:t>
      </w:r>
      <w:r>
        <w:rPr>
          <w:rFonts w:hint="eastAsia"/>
          <w:sz w:val="70"/>
          <w:szCs w:val="70"/>
        </w:rPr>
        <w:t>21年度部门决算情况说明</w:t>
      </w:r>
    </w:p>
    <w:p w14:paraId="308A3F66">
      <w:pPr>
        <w:widowControl/>
        <w:jc w:val="left"/>
        <w:rPr>
          <w:rFonts w:ascii="黑体" w:eastAsia="黑体" w:cs="黑体"/>
          <w:color w:val="000000"/>
          <w:kern w:val="0"/>
          <w:sz w:val="70"/>
          <w:szCs w:val="70"/>
        </w:rPr>
      </w:pPr>
      <w:r>
        <w:rPr>
          <w:sz w:val="70"/>
          <w:szCs w:val="70"/>
        </w:rPr>
        <w:br w:type="page"/>
      </w:r>
    </w:p>
    <w:p w14:paraId="0B31B2C3">
      <w:pPr>
        <w:pStyle w:val="9"/>
        <w:rPr>
          <w:rFonts w:asciiTheme="minorEastAsia" w:hAnsiTheme="minorEastAsia" w:eastAsiaTheme="minorEastAsia"/>
          <w:sz w:val="32"/>
          <w:szCs w:val="32"/>
        </w:rPr>
      </w:pPr>
    </w:p>
    <w:p w14:paraId="2E94B0EC">
      <w:pPr>
        <w:pStyle w:val="9"/>
        <w:outlineLvl w:val="0"/>
        <w:rPr>
          <w:rFonts w:hAnsi="黑体"/>
          <w:b/>
          <w:sz w:val="32"/>
          <w:szCs w:val="32"/>
        </w:rPr>
      </w:pPr>
      <w:r>
        <w:rPr>
          <w:rFonts w:hint="eastAsia" w:hAnsi="黑体"/>
          <w:b/>
          <w:sz w:val="32"/>
          <w:szCs w:val="32"/>
        </w:rPr>
        <w:t>一、收入支出决算总体情况说明</w:t>
      </w:r>
    </w:p>
    <w:p w14:paraId="7991C0CB">
      <w:pPr>
        <w:pStyle w:val="9"/>
        <w:ind w:firstLine="640" w:firstLineChars="200"/>
        <w:rPr>
          <w:rFonts w:asciiTheme="minorEastAsia" w:hAnsiTheme="minorEastAsia" w:eastAsiaTheme="minorEastAsia"/>
          <w:sz w:val="32"/>
          <w:szCs w:val="32"/>
        </w:rPr>
      </w:pPr>
      <w:r>
        <w:rPr>
          <w:rFonts w:hint="eastAsia" w:ascii="宋体" w:hAnsi="宋体" w:eastAsia="宋体"/>
          <w:sz w:val="32"/>
          <w:szCs w:val="32"/>
        </w:rPr>
        <w:t>2021年度收入总计348.49万元（含年初结转和结余资金145.48万元），与上年相比，减少173.77万元，减少33.27%，</w:t>
      </w:r>
      <w:r>
        <w:rPr>
          <w:rFonts w:hint="eastAsia" w:asciiTheme="minorEastAsia" w:hAnsiTheme="minorEastAsia" w:eastAsiaTheme="minorEastAsia"/>
          <w:sz w:val="32"/>
          <w:szCs w:val="32"/>
        </w:rPr>
        <w:t>主要是因为专项资金减少。</w:t>
      </w:r>
    </w:p>
    <w:p w14:paraId="6E82780C">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2021年度支出总计348.49万元（含年末结转和结余资金0万元），与上年相比，减少173.77万元，减少33.27%，主要是因为专项资金减少。</w:t>
      </w:r>
    </w:p>
    <w:p w14:paraId="14363D8F">
      <w:pPr>
        <w:pStyle w:val="9"/>
        <w:outlineLvl w:val="0"/>
        <w:rPr>
          <w:rFonts w:hAnsi="黑体"/>
          <w:b/>
          <w:sz w:val="32"/>
          <w:szCs w:val="32"/>
        </w:rPr>
      </w:pPr>
      <w:r>
        <w:rPr>
          <w:rFonts w:hint="eastAsia" w:hAnsi="黑体"/>
          <w:b/>
          <w:sz w:val="32"/>
          <w:szCs w:val="32"/>
        </w:rPr>
        <w:t>二、收入决算情况说明</w:t>
      </w:r>
    </w:p>
    <w:p w14:paraId="1AA7C506">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2021年度收入合计203.01万元</w:t>
      </w:r>
      <w:r>
        <w:rPr>
          <w:rFonts w:hint="eastAsia" w:ascii="宋体" w:hAnsi="宋体" w:eastAsia="宋体"/>
          <w:b/>
          <w:bCs/>
          <w:color w:val="auto"/>
          <w:sz w:val="28"/>
          <w:szCs w:val="28"/>
        </w:rPr>
        <w:t>（不含年初结转和结余资金）</w:t>
      </w:r>
      <w:r>
        <w:rPr>
          <w:rFonts w:hint="eastAsia" w:asciiTheme="minorEastAsia" w:hAnsiTheme="minorEastAsia" w:eastAsiaTheme="minorEastAsia"/>
          <w:sz w:val="32"/>
          <w:szCs w:val="32"/>
        </w:rPr>
        <w:t>，其中：财政拨款收入203.01万元，占100%；上级补助收入0万元，占0%；事业收入0万元，占0%；经营收入0万元，占0%；附属单位上缴收入0万元，占0%；其他收入0万元，占0%。</w:t>
      </w:r>
    </w:p>
    <w:p w14:paraId="7E4B09FB">
      <w:pPr>
        <w:pStyle w:val="9"/>
        <w:outlineLvl w:val="0"/>
        <w:rPr>
          <w:rFonts w:hAnsi="黑体"/>
          <w:b/>
          <w:sz w:val="32"/>
          <w:szCs w:val="32"/>
        </w:rPr>
      </w:pPr>
      <w:r>
        <w:rPr>
          <w:rFonts w:hint="eastAsia" w:hAnsi="黑体"/>
          <w:b/>
          <w:sz w:val="32"/>
          <w:szCs w:val="32"/>
        </w:rPr>
        <w:t>三、支出决算情况说明</w:t>
      </w:r>
    </w:p>
    <w:p w14:paraId="36AFBC99">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2021年度支出合计348.49万元</w:t>
      </w:r>
      <w:r>
        <w:rPr>
          <w:rFonts w:hint="eastAsia" w:ascii="宋体" w:hAnsi="宋体" w:eastAsia="宋体"/>
          <w:b/>
          <w:bCs/>
          <w:color w:val="auto"/>
          <w:sz w:val="28"/>
          <w:szCs w:val="28"/>
        </w:rPr>
        <w:t>（不含年末结转和结余资金）</w:t>
      </w:r>
      <w:r>
        <w:rPr>
          <w:rFonts w:hint="eastAsia" w:asciiTheme="minorEastAsia" w:hAnsiTheme="minorEastAsia" w:eastAsiaTheme="minorEastAsia"/>
          <w:sz w:val="32"/>
          <w:szCs w:val="32"/>
        </w:rPr>
        <w:t>，其中：基本支出348.49万元，占100%；项目支出0万元，占0%；上缴上级支出0万元，占0%；经营支出0万元，占0%；对附属单位补助支出0万元，占0%。</w:t>
      </w:r>
    </w:p>
    <w:p w14:paraId="13BAA2BD">
      <w:pPr>
        <w:pStyle w:val="9"/>
        <w:ind w:firstLine="640" w:firstLineChars="200"/>
        <w:rPr>
          <w:rFonts w:hAnsi="黑体"/>
          <w:b/>
          <w:sz w:val="32"/>
          <w:szCs w:val="32"/>
        </w:rPr>
      </w:pPr>
      <w:r>
        <w:rPr>
          <w:rFonts w:hint="eastAsia" w:hAnsi="黑体"/>
          <w:b/>
          <w:sz w:val="32"/>
          <w:szCs w:val="32"/>
        </w:rPr>
        <w:t>四、财政拨款收入支出决算总体情况说明</w:t>
      </w:r>
    </w:p>
    <w:p w14:paraId="7937C928">
      <w:pPr>
        <w:pStyle w:val="9"/>
        <w:ind w:firstLine="640"/>
        <w:rPr>
          <w:rFonts w:ascii="宋体" w:hAnsi="宋体" w:eastAsia="宋体"/>
          <w:color w:val="auto"/>
          <w:sz w:val="32"/>
          <w:szCs w:val="32"/>
        </w:rPr>
      </w:pPr>
      <w:r>
        <w:rPr>
          <w:rFonts w:hint="eastAsia" w:ascii="宋体" w:hAnsi="宋体" w:eastAsia="宋体"/>
          <w:sz w:val="32"/>
          <w:szCs w:val="32"/>
        </w:rPr>
        <w:t>2021年度财政拨款收入合计203.01万元（不含年初财政拨款结转和结余资金），与上年相比，减少319.25万元,减少61.13%，</w:t>
      </w:r>
      <w:r>
        <w:rPr>
          <w:rFonts w:hint="eastAsia" w:ascii="宋体" w:hAnsi="宋体" w:eastAsia="宋体"/>
          <w:color w:val="auto"/>
          <w:sz w:val="32"/>
          <w:szCs w:val="32"/>
        </w:rPr>
        <w:t>主要是因为专项资金减少。</w:t>
      </w:r>
    </w:p>
    <w:p w14:paraId="0FB135AB">
      <w:pPr>
        <w:pStyle w:val="9"/>
        <w:ind w:firstLine="640"/>
        <w:rPr>
          <w:rFonts w:ascii="宋体" w:hAnsi="宋体" w:eastAsia="宋体"/>
          <w:b/>
          <w:bCs/>
          <w:color w:val="FF0000"/>
          <w:sz w:val="28"/>
          <w:szCs w:val="28"/>
        </w:rPr>
      </w:pPr>
      <w:r>
        <w:rPr>
          <w:rFonts w:hint="eastAsia" w:ascii="宋体" w:hAnsi="宋体" w:eastAsia="宋体"/>
          <w:sz w:val="32"/>
          <w:szCs w:val="32"/>
        </w:rPr>
        <w:t>2021年度财政拨款支出合计348.49万元（不含年末财政拨款结转和结余资金），与上年相比，减少23.27万元,减少6.26%，</w:t>
      </w:r>
      <w:r>
        <w:rPr>
          <w:rFonts w:hint="eastAsia" w:ascii="宋体" w:hAnsi="宋体" w:eastAsia="宋体"/>
          <w:color w:val="auto"/>
          <w:sz w:val="32"/>
          <w:szCs w:val="32"/>
        </w:rPr>
        <w:t>主要是因为</w:t>
      </w:r>
      <w:r>
        <w:rPr>
          <w:rFonts w:hint="eastAsia" w:asciiTheme="minorEastAsia" w:hAnsiTheme="minorEastAsia" w:eastAsiaTheme="minorEastAsia"/>
          <w:sz w:val="32"/>
          <w:szCs w:val="32"/>
          <w:lang w:val="zh-CN"/>
        </w:rPr>
        <w:t>认真贯彻落实中央八项规定精神和厉行节约要求，从严控制“三公”经费开支，全年支出比上年有所压减</w:t>
      </w:r>
      <w:r>
        <w:rPr>
          <w:rFonts w:hint="eastAsia" w:ascii="宋体" w:hAnsi="宋体" w:eastAsia="宋体"/>
          <w:color w:val="FF0000"/>
          <w:sz w:val="32"/>
          <w:szCs w:val="32"/>
        </w:rPr>
        <w:t>。</w:t>
      </w:r>
    </w:p>
    <w:p w14:paraId="53CF8647">
      <w:pPr>
        <w:pStyle w:val="9"/>
        <w:outlineLvl w:val="0"/>
        <w:rPr>
          <w:rFonts w:hAnsi="黑体"/>
          <w:b/>
          <w:sz w:val="32"/>
          <w:szCs w:val="32"/>
        </w:rPr>
      </w:pPr>
      <w:r>
        <w:rPr>
          <w:rFonts w:hint="eastAsia" w:hAnsi="黑体"/>
          <w:b/>
          <w:sz w:val="32"/>
          <w:szCs w:val="32"/>
        </w:rPr>
        <w:t>五、一般公共预算财政拨款支出决算情况说明</w:t>
      </w:r>
    </w:p>
    <w:p w14:paraId="5442DB80">
      <w:pPr>
        <w:pStyle w:val="9"/>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4483AE13">
      <w:pPr>
        <w:pStyle w:val="9"/>
        <w:ind w:firstLine="800" w:firstLineChars="250"/>
        <w:rPr>
          <w:rFonts w:asciiTheme="minorEastAsia" w:hAnsiTheme="minorEastAsia" w:eastAsiaTheme="minorEastAsia"/>
          <w:color w:val="FF0000"/>
          <w:sz w:val="32"/>
          <w:szCs w:val="32"/>
        </w:rPr>
      </w:pPr>
      <w:r>
        <w:rPr>
          <w:rFonts w:hint="eastAsia" w:asciiTheme="minorEastAsia" w:hAnsiTheme="minorEastAsia" w:eastAsiaTheme="minorEastAsia"/>
          <w:sz w:val="32"/>
          <w:szCs w:val="32"/>
        </w:rPr>
        <w:t>2021年度财政拨款支出348.49万元，占本年支出合计的100%，与上年相比，财政拨款支出减少23.27万元，减少6.26%，</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sz w:val="32"/>
          <w:szCs w:val="32"/>
          <w:lang w:val="zh-CN"/>
        </w:rPr>
        <w:t>认真贯彻落实</w:t>
      </w:r>
      <w:bookmarkStart w:id="0" w:name="_GoBack"/>
      <w:bookmarkEnd w:id="0"/>
      <w:r>
        <w:rPr>
          <w:rFonts w:hint="eastAsia" w:asciiTheme="minorEastAsia" w:hAnsiTheme="minorEastAsia" w:eastAsiaTheme="minorEastAsia"/>
          <w:sz w:val="32"/>
          <w:szCs w:val="32"/>
          <w:lang w:val="zh-CN"/>
        </w:rPr>
        <w:t>中央八项规定精神和厉行节约要求，从严控制“三公”经费开支，全年支出比上年有所压减</w:t>
      </w:r>
      <w:r>
        <w:rPr>
          <w:rFonts w:hint="eastAsia" w:asciiTheme="minorEastAsia" w:hAnsiTheme="minorEastAsia" w:eastAsiaTheme="minorEastAsia"/>
          <w:color w:val="auto"/>
          <w:sz w:val="32"/>
          <w:szCs w:val="32"/>
        </w:rPr>
        <w:t>。</w:t>
      </w:r>
    </w:p>
    <w:p w14:paraId="3110F494">
      <w:pPr>
        <w:pStyle w:val="9"/>
        <w:ind w:firstLine="480" w:firstLineChars="1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6F0B250C">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2021年度财政拨款支出348.49万元，主要用于以下方面：社会保障和就业（类）支出348.49万元，占100%</w:t>
      </w:r>
    </w:p>
    <w:p w14:paraId="58A066F7">
      <w:pPr>
        <w:pStyle w:val="9"/>
        <w:ind w:firstLine="800" w:firstLineChars="2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35BA6285">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2021年度财政拨款支出年初预算数为239.13万元，支出决算数为348.49万元，完成年初预算的145.73%，其中：</w:t>
      </w:r>
    </w:p>
    <w:p w14:paraId="0D3B25DA">
      <w:pPr>
        <w:pStyle w:val="9"/>
        <w:ind w:firstLine="800" w:firstLineChars="250"/>
        <w:outlineLvl w:val="2"/>
        <w:rPr>
          <w:rFonts w:asciiTheme="minorEastAsia" w:hAnsiTheme="minorEastAsia" w:eastAsiaTheme="minorEastAsia"/>
          <w:color w:val="FF0000"/>
          <w:sz w:val="32"/>
          <w:szCs w:val="32"/>
        </w:rPr>
      </w:pPr>
      <w:r>
        <w:rPr>
          <w:rFonts w:hint="eastAsia" w:asciiTheme="minorEastAsia" w:hAnsiTheme="minorEastAsia" w:eastAsiaTheme="minorEastAsia"/>
          <w:color w:val="auto"/>
          <w:sz w:val="32"/>
          <w:szCs w:val="32"/>
        </w:rPr>
        <w:t>1、社</w:t>
      </w:r>
      <w:r>
        <w:rPr>
          <w:rFonts w:hint="eastAsia" w:asciiTheme="minorEastAsia" w:hAnsiTheme="minorEastAsia" w:eastAsiaTheme="minorEastAsia"/>
          <w:sz w:val="32"/>
          <w:szCs w:val="32"/>
        </w:rPr>
        <w:t>会保障和就业支出（类）人力资源和社会保障管理事务（款）行政运行（项）。</w:t>
      </w:r>
    </w:p>
    <w:p w14:paraId="7A2B1BCA">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年初预算为25万元，支出决算为26.5万元，完成年初预算的106%，决算数大于年初预算数的主要原因是：人员工资增加。</w:t>
      </w:r>
    </w:p>
    <w:p w14:paraId="23E6C783">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2、社会保障和就业支出（类）人力资源和社会保障管理事务（款）社会保险业务管理事务（项）。</w:t>
      </w:r>
    </w:p>
    <w:p w14:paraId="67541809">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年初预算为13万元，支出决算为14.13万元，完成年初预算的108.69%，决算数大于年初预算数的主要原因是：人员工资调整。</w:t>
      </w:r>
    </w:p>
    <w:p w14:paraId="099A2DDB">
      <w:pPr>
        <w:pStyle w:val="9"/>
        <w:numPr>
          <w:ilvl w:val="0"/>
          <w:numId w:val="3"/>
        </w:numPr>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社会保障和就业支出（类）人力资源和社会保障管理事务（款）社会保险经办机构（项）。</w:t>
      </w:r>
    </w:p>
    <w:p w14:paraId="4387AB0D">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年初预算为201.13万元，支出决算为307.86万元，完成年初预算的153.07%，决算数大于年初预算数的主要原因是：年终追加专项经费支出。</w:t>
      </w:r>
    </w:p>
    <w:p w14:paraId="05785531">
      <w:pPr>
        <w:pStyle w:val="9"/>
        <w:numPr>
          <w:ilvl w:val="0"/>
          <w:numId w:val="4"/>
        </w:numPr>
        <w:outlineLvl w:val="0"/>
        <w:rPr>
          <w:rFonts w:hAnsi="黑体"/>
          <w:b/>
          <w:sz w:val="32"/>
          <w:szCs w:val="32"/>
        </w:rPr>
      </w:pPr>
      <w:r>
        <w:rPr>
          <w:rFonts w:hint="eastAsia" w:hAnsi="黑体"/>
          <w:b/>
          <w:sz w:val="32"/>
          <w:szCs w:val="32"/>
        </w:rPr>
        <w:t>一般公共预算财政拨款基本支出决算情况说明</w:t>
      </w:r>
    </w:p>
    <w:p w14:paraId="16CEB875">
      <w:pPr>
        <w:pStyle w:val="9"/>
        <w:ind w:firstLine="800" w:firstLineChars="250"/>
        <w:rPr>
          <w:rFonts w:asciiTheme="minorEastAsia" w:hAnsiTheme="minorEastAsia" w:eastAsiaTheme="minorEastAsia"/>
          <w:color w:val="auto"/>
          <w:sz w:val="32"/>
          <w:szCs w:val="32"/>
          <w:lang w:val="zh-CN"/>
        </w:rPr>
      </w:pPr>
      <w:r>
        <w:rPr>
          <w:rFonts w:hint="eastAsia" w:asciiTheme="minorEastAsia" w:hAnsiTheme="minorEastAsia" w:eastAsiaTheme="minorEastAsia"/>
          <w:sz w:val="32"/>
          <w:szCs w:val="32"/>
        </w:rPr>
        <w:t>2021年度财政拨款基本支出348.49万元，</w:t>
      </w:r>
      <w:r>
        <w:rPr>
          <w:rFonts w:hint="eastAsia" w:asciiTheme="minorEastAsia" w:hAnsiTheme="minorEastAsia" w:eastAsiaTheme="minorEastAsia"/>
          <w:color w:val="auto"/>
          <w:sz w:val="32"/>
          <w:szCs w:val="32"/>
        </w:rPr>
        <w:t>人员经费168.94万元，</w:t>
      </w:r>
      <w:r>
        <w:rPr>
          <w:rFonts w:hint="eastAsia" w:asciiTheme="minorEastAsia" w:hAnsiTheme="minorEastAsia" w:eastAsiaTheme="minorEastAsia"/>
          <w:color w:val="auto"/>
          <w:sz w:val="32"/>
          <w:szCs w:val="32"/>
          <w:lang w:val="zh-CN"/>
        </w:rPr>
        <w:t>占基本支出的</w:t>
      </w:r>
      <w:r>
        <w:rPr>
          <w:rFonts w:hint="eastAsia" w:asciiTheme="minorEastAsia" w:hAnsiTheme="minorEastAsia" w:eastAsiaTheme="minorEastAsia"/>
          <w:color w:val="auto"/>
          <w:sz w:val="32"/>
          <w:szCs w:val="32"/>
        </w:rPr>
        <w:t>48.48%，主要包括基本工资、津贴补贴、</w:t>
      </w:r>
      <w:r>
        <w:rPr>
          <w:rFonts w:hint="eastAsia" w:asciiTheme="minorEastAsia" w:hAnsiTheme="minorEastAsia" w:eastAsiaTheme="minorEastAsia"/>
          <w:color w:val="auto"/>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03D23786">
      <w:pPr>
        <w:pStyle w:val="9"/>
        <w:ind w:firstLine="800" w:firstLineChars="250"/>
        <w:rPr>
          <w:rFonts w:asciiTheme="minorEastAsia" w:hAnsiTheme="minorEastAsia" w:eastAsiaTheme="minorEastAsia"/>
          <w:color w:val="auto"/>
          <w:sz w:val="32"/>
          <w:szCs w:val="32"/>
          <w:lang w:val="zh-CN"/>
        </w:rPr>
      </w:pPr>
      <w:r>
        <w:rPr>
          <w:rFonts w:hint="eastAsia" w:asciiTheme="minorEastAsia" w:hAnsiTheme="minorEastAsia" w:eastAsiaTheme="minorEastAsia"/>
          <w:color w:val="auto"/>
          <w:sz w:val="32"/>
          <w:szCs w:val="32"/>
        </w:rPr>
        <w:t>公用经费179.55万元，</w:t>
      </w:r>
      <w:r>
        <w:rPr>
          <w:rFonts w:hint="eastAsia" w:asciiTheme="minorEastAsia" w:hAnsiTheme="minorEastAsia" w:eastAsiaTheme="minorEastAsia"/>
          <w:color w:val="auto"/>
          <w:sz w:val="32"/>
          <w:szCs w:val="32"/>
          <w:lang w:val="zh-CN"/>
        </w:rPr>
        <w:t>占基本支出的</w:t>
      </w:r>
      <w:r>
        <w:rPr>
          <w:rFonts w:hint="eastAsia" w:asciiTheme="minorEastAsia" w:hAnsiTheme="minorEastAsia" w:eastAsiaTheme="minorEastAsia"/>
          <w:color w:val="auto"/>
          <w:sz w:val="32"/>
          <w:szCs w:val="32"/>
        </w:rPr>
        <w:t>51.52%，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7A4EAF75">
      <w:pPr>
        <w:pStyle w:val="9"/>
        <w:outlineLvl w:val="0"/>
        <w:rPr>
          <w:rFonts w:hAnsi="黑体"/>
          <w:b/>
          <w:sz w:val="32"/>
          <w:szCs w:val="32"/>
        </w:rPr>
      </w:pPr>
      <w:r>
        <w:rPr>
          <w:rFonts w:hint="eastAsia" w:hAnsi="黑体"/>
          <w:b/>
          <w:sz w:val="32"/>
          <w:szCs w:val="32"/>
        </w:rPr>
        <w:t>七、一般公共预算财政拨款“三公”经费支出决算情况说明</w:t>
      </w:r>
    </w:p>
    <w:p w14:paraId="4125E3ED">
      <w:pPr>
        <w:pStyle w:val="9"/>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4FAED4C0">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2021年度“三公”经费财政拨款支出预算为4万元，支出决算为0万元，完成预算的0%，其中：</w:t>
      </w:r>
    </w:p>
    <w:p w14:paraId="7C785B3B">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w:t>
      </w:r>
      <w:r>
        <w:rPr>
          <w:rFonts w:hint="eastAsia" w:ascii="宋体" w:hAnsi="Times New Roman" w:eastAsia="宋体" w:cs="宋体"/>
          <w:color w:val="auto"/>
          <w:sz w:val="32"/>
          <w:szCs w:val="32"/>
          <w:highlight w:val="white"/>
        </w:rPr>
        <w:t>决算数等于预算数的主要原因是本年度未安排出国（境）计划，与上年相比无变化，主要原因是本年度未安排出国（境）计划。</w:t>
      </w:r>
    </w:p>
    <w:p w14:paraId="4CCC5B28">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4万元，支出决算为0万元，完成预算的0%，决算数小于预算数的主要原因是因疫情影响，未发生的接待支出，与上年相比减少0.15万元，减少100%,减少的主要原因是因疫情影响，未发生接待支出。</w:t>
      </w:r>
    </w:p>
    <w:p w14:paraId="6E41354F">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公务用车购置费支出预算为0万元，支出决算为0万元，完成预算的0%。</w:t>
      </w:r>
      <w:r>
        <w:rPr>
          <w:rFonts w:hint="eastAsia" w:ascii="宋体" w:hAnsi="Times New Roman" w:eastAsia="宋体" w:cs="宋体"/>
          <w:color w:val="auto"/>
          <w:sz w:val="32"/>
          <w:szCs w:val="32"/>
          <w:highlight w:val="white"/>
        </w:rPr>
        <w:t>决算数等于预算数的主要原因是本年度无公务用车购置计划，与上年度相比无变化，主要原因是本年度无公务用车购置计划。</w:t>
      </w:r>
    </w:p>
    <w:p w14:paraId="08787B38">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公务用车运行维护费支出预算为0万元，支出决算为0万元，0%，与上年相比减少3.88万元，减少100%,减少的主要原因是进行了车改，本单位已无公务用车。</w:t>
      </w:r>
    </w:p>
    <w:p w14:paraId="577E9BC2">
      <w:pPr>
        <w:pStyle w:val="9"/>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3913F36F">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2021年度“三公”经费财政拨款支出决算中，公务接待费支出决算0万元，占0%,因公出国（境）费支出决算0万元，占0%,公务用车购置费及运行维护费支出决算0万元，占0%。其中：</w:t>
      </w:r>
    </w:p>
    <w:p w14:paraId="7D609E25">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w:t>
      </w:r>
    </w:p>
    <w:p w14:paraId="4D7027A8">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2、公务接待费支出决算为0万元，全年共接待来访团组0个、来宾0人次，主要是因疫情影响，未发生接待支出。</w:t>
      </w:r>
    </w:p>
    <w:p w14:paraId="212FFC51">
      <w:pPr>
        <w:ind w:firstLine="800" w:firstLineChars="250"/>
        <w:rPr>
          <w:rFonts w:cs="黑体" w:asciiTheme="minorEastAsia" w:hAnsiTheme="minorEastAsia"/>
          <w:i/>
          <w:kern w:val="0"/>
          <w:sz w:val="32"/>
          <w:szCs w:val="32"/>
        </w:rPr>
      </w:pPr>
      <w:r>
        <w:rPr>
          <w:rFonts w:hint="eastAsia" w:asciiTheme="minorEastAsia" w:hAnsiTheme="minorEastAsia"/>
          <w:sz w:val="32"/>
          <w:szCs w:val="32"/>
        </w:rPr>
        <w:t>3、公务用车购置费及运行维护费支出决算为0万元，其中：公务用车购置费0万元，更新公务用车0辆，公务用车运行维护费0万元，截止2021年12月31日，我单位开支财政拨款的公务用车保有量为0辆。</w:t>
      </w:r>
    </w:p>
    <w:p w14:paraId="78EEA792">
      <w:pPr>
        <w:pStyle w:val="9"/>
        <w:outlineLvl w:val="0"/>
        <w:rPr>
          <w:rFonts w:hAnsi="黑体"/>
          <w:b/>
          <w:sz w:val="32"/>
          <w:szCs w:val="32"/>
        </w:rPr>
      </w:pPr>
      <w:r>
        <w:rPr>
          <w:rFonts w:hint="eastAsia" w:hAnsi="黑体"/>
          <w:b/>
          <w:sz w:val="32"/>
          <w:szCs w:val="32"/>
        </w:rPr>
        <w:t>八、政府性基金预算收入支出决算情况</w:t>
      </w:r>
    </w:p>
    <w:p w14:paraId="6F49B872">
      <w:pPr>
        <w:ind w:firstLine="640"/>
        <w:rPr>
          <w:rFonts w:asciiTheme="minorEastAsia" w:hAnsiTheme="minorEastAsia"/>
          <w:i/>
          <w:color w:val="FF0000"/>
          <w:sz w:val="32"/>
          <w:szCs w:val="32"/>
        </w:rPr>
      </w:pPr>
      <w:r>
        <w:rPr>
          <w:rFonts w:hint="eastAsia" w:ascii="宋体" w:hAnsi="宋体"/>
          <w:sz w:val="32"/>
          <w:szCs w:val="24"/>
          <w:highlight w:val="white"/>
          <w:lang w:val="zh-CN"/>
        </w:rPr>
        <w:t>2021年本单位没有使用政府性基金预算财政拨款安排的收支。</w:t>
      </w:r>
    </w:p>
    <w:p w14:paraId="68E45756">
      <w:pPr>
        <w:pStyle w:val="9"/>
        <w:outlineLvl w:val="0"/>
        <w:rPr>
          <w:rFonts w:hAnsi="黑体"/>
          <w:b/>
          <w:sz w:val="32"/>
          <w:szCs w:val="32"/>
        </w:rPr>
      </w:pPr>
      <w:r>
        <w:rPr>
          <w:rFonts w:hint="eastAsia" w:hAnsi="黑体"/>
          <w:b/>
          <w:sz w:val="32"/>
          <w:szCs w:val="32"/>
          <w:lang w:val="en-US" w:eastAsia="zh-CN"/>
        </w:rPr>
        <w:t>九、202</w:t>
      </w:r>
      <w:r>
        <w:rPr>
          <w:rFonts w:hint="eastAsia" w:hAnsi="黑体"/>
          <w:b/>
          <w:sz w:val="32"/>
          <w:szCs w:val="32"/>
        </w:rPr>
        <w:t>年度预算绩效情况说明</w:t>
      </w:r>
    </w:p>
    <w:p w14:paraId="0DAB837E">
      <w:pPr>
        <w:pStyle w:val="9"/>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sz w:val="32"/>
          <w:szCs w:val="32"/>
        </w:rPr>
        <w:t>根据财政部《财政支出绩效评价管理暂行办法》（财预〔2011〕285号）和岳阳县人民政府办公室《关于贯彻落实省政府全面推进预算绩效管理意见的通知》（岳政发〔2014〕6号）文件精神要求，为进一步规范财政资金管理，强化绩效和责任意识，切实提高财政资金使用效益，我单位对</w:t>
      </w:r>
      <w:r>
        <w:rPr>
          <w:rFonts w:hint="eastAsia" w:ascii="宋体" w:hAnsi="宋体" w:eastAsia="宋体"/>
          <w:color w:val="000000" w:themeColor="text1"/>
          <w:sz w:val="32"/>
          <w:szCs w:val="32"/>
          <w14:textFill>
            <w14:solidFill>
              <w14:schemeClr w14:val="tx1"/>
            </w14:solidFill>
          </w14:textFill>
        </w:rPr>
        <w:t>2021年度部门整体支出进行了绩效自评。</w:t>
      </w:r>
    </w:p>
    <w:p w14:paraId="67045117">
      <w:pPr>
        <w:pStyle w:val="9"/>
        <w:ind w:firstLine="640" w:firstLineChars="200"/>
        <w:rPr>
          <w:rFonts w:ascii="宋体" w:hAnsi="宋体" w:eastAsia="宋体"/>
          <w:sz w:val="32"/>
          <w:szCs w:val="32"/>
        </w:rPr>
      </w:pPr>
      <w:r>
        <w:rPr>
          <w:rFonts w:hint="eastAsia" w:ascii="宋体" w:hAnsi="宋体" w:eastAsia="宋体"/>
          <w:sz w:val="32"/>
          <w:szCs w:val="32"/>
        </w:rPr>
        <w:t>部门整体支出绩效自评得分98，评价等级为“优秀”；</w:t>
      </w:r>
    </w:p>
    <w:p w14:paraId="564BB136">
      <w:pPr>
        <w:pStyle w:val="9"/>
        <w:outlineLvl w:val="0"/>
        <w:rPr>
          <w:rFonts w:hint="default" w:hAnsi="黑体" w:eastAsia="黑体"/>
          <w:b/>
          <w:sz w:val="32"/>
          <w:szCs w:val="32"/>
          <w:lang w:val="en-US" w:eastAsia="zh-CN"/>
        </w:rPr>
      </w:pPr>
      <w:r>
        <w:rPr>
          <w:rFonts w:hint="eastAsia" w:ascii="宋体" w:hAnsi="宋体" w:eastAsia="宋体"/>
          <w:sz w:val="32"/>
          <w:szCs w:val="32"/>
        </w:rPr>
        <w:t>已按县财政局统一要求</w:t>
      </w:r>
      <w:r>
        <w:rPr>
          <w:rFonts w:hint="eastAsia" w:asciiTheme="minorEastAsia" w:hAnsiTheme="minorEastAsia" w:eastAsiaTheme="minorEastAsia"/>
          <w:sz w:val="32"/>
          <w:szCs w:val="32"/>
        </w:rPr>
        <w:t>随同部门决算作为附件</w:t>
      </w:r>
      <w:r>
        <w:rPr>
          <w:rFonts w:hint="eastAsia" w:ascii="宋体" w:hAnsi="宋体" w:eastAsia="宋体"/>
          <w:sz w:val="32"/>
          <w:szCs w:val="32"/>
        </w:rPr>
        <w:t>公开。</w:t>
      </w:r>
    </w:p>
    <w:p w14:paraId="5F28F161">
      <w:pPr>
        <w:pStyle w:val="9"/>
        <w:outlineLvl w:val="0"/>
        <w:rPr>
          <w:rFonts w:hint="default" w:hAnsi="黑体" w:eastAsia="黑体"/>
          <w:b/>
          <w:sz w:val="32"/>
          <w:szCs w:val="32"/>
          <w:lang w:val="en-US" w:eastAsia="zh-CN"/>
        </w:rPr>
      </w:pPr>
      <w:r>
        <w:rPr>
          <w:rFonts w:hint="eastAsia" w:hAnsi="黑体"/>
          <w:b/>
          <w:sz w:val="32"/>
          <w:szCs w:val="32"/>
        </w:rPr>
        <w:t>十、</w:t>
      </w:r>
      <w:r>
        <w:rPr>
          <w:rFonts w:hint="eastAsia" w:hAnsi="黑体"/>
          <w:b/>
          <w:sz w:val="32"/>
          <w:szCs w:val="32"/>
          <w:lang w:val="en-US" w:eastAsia="zh-CN"/>
        </w:rPr>
        <w:t>其他重要事项情况说明</w:t>
      </w:r>
    </w:p>
    <w:p w14:paraId="6D200E28">
      <w:pPr>
        <w:pStyle w:val="9"/>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一</w:t>
      </w:r>
      <w:r>
        <w:rPr>
          <w:rFonts w:hint="eastAsia" w:hAnsi="黑体"/>
          <w:b/>
          <w:sz w:val="32"/>
          <w:szCs w:val="32"/>
          <w:lang w:eastAsia="zh-CN"/>
        </w:rPr>
        <w:t>）</w:t>
      </w:r>
      <w:r>
        <w:rPr>
          <w:rFonts w:hint="eastAsia" w:hAnsi="黑体"/>
          <w:b/>
          <w:sz w:val="32"/>
          <w:szCs w:val="32"/>
        </w:rPr>
        <w:t>机关运行经费支出说明</w:t>
      </w:r>
    </w:p>
    <w:p w14:paraId="2C653AFC">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本部门2021年度机关运行经费支出179.55万元，比上年决算数增加10.18万元，增长6%。主要原因是：进行了车改，开始发放公车补贴。</w:t>
      </w:r>
    </w:p>
    <w:p w14:paraId="16179360">
      <w:pPr>
        <w:pStyle w:val="9"/>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二</w:t>
      </w:r>
      <w:r>
        <w:rPr>
          <w:rFonts w:hint="eastAsia" w:hAnsi="黑体"/>
          <w:b/>
          <w:sz w:val="32"/>
          <w:szCs w:val="32"/>
          <w:lang w:eastAsia="zh-CN"/>
        </w:rPr>
        <w:t>）</w:t>
      </w:r>
      <w:r>
        <w:rPr>
          <w:rFonts w:hint="eastAsia" w:hAnsi="黑体"/>
          <w:b/>
          <w:sz w:val="32"/>
          <w:szCs w:val="32"/>
        </w:rPr>
        <w:t>一般性支出情况说明</w:t>
      </w:r>
    </w:p>
    <w:p w14:paraId="16DD9308">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2021年本部门开支会议费0万元，人数0人；开支培训费0.21万元，用于开展事业单位工作人员培训，人数7人，内容为线上的相关业务知识学习；举办节庆、晚会、论坛、赛事等活动，开支0万元。</w:t>
      </w:r>
    </w:p>
    <w:p w14:paraId="37B27F12">
      <w:pPr>
        <w:pStyle w:val="9"/>
        <w:outlineLvl w:val="0"/>
        <w:rPr>
          <w:rFonts w:hAnsi="黑体"/>
          <w:b/>
          <w:sz w:val="32"/>
          <w:szCs w:val="32"/>
        </w:rPr>
      </w:pPr>
      <w:r>
        <w:rPr>
          <w:rFonts w:hint="eastAsia" w:hAnsi="黑体"/>
          <w:b/>
          <w:sz w:val="32"/>
          <w:szCs w:val="32"/>
          <w:lang w:val="en-US" w:eastAsia="zh-CN"/>
        </w:rPr>
        <w:t>（三）</w:t>
      </w:r>
      <w:r>
        <w:rPr>
          <w:rFonts w:hint="eastAsia" w:hAnsi="黑体"/>
          <w:b/>
          <w:sz w:val="32"/>
          <w:szCs w:val="32"/>
        </w:rPr>
        <w:t>政府采购支出说明</w:t>
      </w:r>
    </w:p>
    <w:p w14:paraId="0F7AE134">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本部门2021年度政府采购支出总额0万元，其中：政府采购货物支出0 万元、政府采购工程支出0万元、政府采购服务支出0万元。授予中小企业合同金额0万元，占政府采购支出总额的0%，其中：授予小微企业合同金额0万元，占授予中小企业合同金额</w:t>
      </w:r>
      <w:r>
        <w:rPr>
          <w:rFonts w:hint="eastAsia" w:asciiTheme="minorEastAsia" w:hAnsiTheme="minorEastAsia" w:eastAsiaTheme="minorEastAsia"/>
          <w:color w:val="auto"/>
          <w:sz w:val="32"/>
          <w:szCs w:val="32"/>
        </w:rPr>
        <w:t>(政府采购支出总额)</w:t>
      </w:r>
      <w:r>
        <w:rPr>
          <w:rFonts w:hint="eastAsia" w:asciiTheme="minorEastAsia" w:hAnsiTheme="minorEastAsia" w:eastAsiaTheme="minorEastAsia"/>
          <w:sz w:val="32"/>
          <w:szCs w:val="32"/>
        </w:rPr>
        <w:t>的0%；</w:t>
      </w:r>
    </w:p>
    <w:p w14:paraId="011718AC">
      <w:pPr>
        <w:pStyle w:val="9"/>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四</w:t>
      </w:r>
      <w:r>
        <w:rPr>
          <w:rFonts w:hint="eastAsia" w:hAnsi="黑体"/>
          <w:b/>
          <w:sz w:val="32"/>
          <w:szCs w:val="32"/>
          <w:lang w:eastAsia="zh-CN"/>
        </w:rPr>
        <w:t>）</w:t>
      </w:r>
      <w:r>
        <w:rPr>
          <w:rFonts w:hint="eastAsia" w:hAnsi="黑体"/>
          <w:b/>
          <w:sz w:val="32"/>
          <w:szCs w:val="32"/>
        </w:rPr>
        <w:t>国有资产占用情况说明</w:t>
      </w:r>
    </w:p>
    <w:p w14:paraId="5818C672">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14:paraId="5EE779C2">
      <w:pPr>
        <w:pStyle w:val="9"/>
        <w:jc w:val="center"/>
        <w:rPr>
          <w:color w:val="FF0000"/>
          <w:sz w:val="72"/>
          <w:szCs w:val="72"/>
        </w:rPr>
      </w:pPr>
    </w:p>
    <w:p w14:paraId="545184DD">
      <w:pPr>
        <w:pStyle w:val="9"/>
        <w:jc w:val="center"/>
        <w:rPr>
          <w:sz w:val="72"/>
          <w:szCs w:val="72"/>
        </w:rPr>
      </w:pPr>
    </w:p>
    <w:p w14:paraId="0425FF43">
      <w:pPr>
        <w:pStyle w:val="9"/>
        <w:jc w:val="center"/>
        <w:rPr>
          <w:sz w:val="72"/>
          <w:szCs w:val="72"/>
        </w:rPr>
      </w:pPr>
    </w:p>
    <w:p w14:paraId="493A26A1">
      <w:pPr>
        <w:pStyle w:val="9"/>
        <w:jc w:val="center"/>
        <w:rPr>
          <w:sz w:val="72"/>
          <w:szCs w:val="72"/>
        </w:rPr>
      </w:pPr>
    </w:p>
    <w:p w14:paraId="4B93B341">
      <w:pPr>
        <w:pStyle w:val="9"/>
        <w:jc w:val="center"/>
        <w:rPr>
          <w:sz w:val="72"/>
          <w:szCs w:val="72"/>
        </w:rPr>
      </w:pPr>
    </w:p>
    <w:p w14:paraId="6A05638A">
      <w:pPr>
        <w:pStyle w:val="9"/>
        <w:jc w:val="center"/>
        <w:rPr>
          <w:sz w:val="72"/>
          <w:szCs w:val="72"/>
        </w:rPr>
      </w:pPr>
    </w:p>
    <w:p w14:paraId="2FE2928F">
      <w:pPr>
        <w:pStyle w:val="9"/>
        <w:rPr>
          <w:sz w:val="72"/>
          <w:szCs w:val="72"/>
        </w:rPr>
      </w:pPr>
    </w:p>
    <w:p w14:paraId="0F8B41F1">
      <w:pPr>
        <w:pStyle w:val="9"/>
        <w:rPr>
          <w:sz w:val="72"/>
          <w:szCs w:val="72"/>
        </w:rPr>
      </w:pPr>
    </w:p>
    <w:p w14:paraId="38E3893A">
      <w:pPr>
        <w:pStyle w:val="9"/>
        <w:jc w:val="center"/>
        <w:rPr>
          <w:sz w:val="72"/>
          <w:szCs w:val="72"/>
        </w:rPr>
      </w:pPr>
    </w:p>
    <w:p w14:paraId="2B7392DB">
      <w:pPr>
        <w:pStyle w:val="9"/>
        <w:jc w:val="center"/>
        <w:rPr>
          <w:sz w:val="72"/>
          <w:szCs w:val="72"/>
        </w:rPr>
      </w:pPr>
    </w:p>
    <w:p w14:paraId="74E6E0D0">
      <w:pPr>
        <w:pStyle w:val="9"/>
        <w:jc w:val="center"/>
        <w:rPr>
          <w:sz w:val="72"/>
          <w:szCs w:val="72"/>
        </w:rPr>
      </w:pPr>
    </w:p>
    <w:p w14:paraId="6FE5562A">
      <w:pPr>
        <w:pStyle w:val="9"/>
        <w:jc w:val="center"/>
        <w:rPr>
          <w:sz w:val="72"/>
          <w:szCs w:val="72"/>
        </w:rPr>
      </w:pPr>
      <w:r>
        <w:rPr>
          <w:rFonts w:hint="eastAsia"/>
          <w:sz w:val="72"/>
          <w:szCs w:val="72"/>
        </w:rPr>
        <w:t>第四部分</w:t>
      </w:r>
    </w:p>
    <w:p w14:paraId="0C1C71FE">
      <w:pPr>
        <w:jc w:val="center"/>
        <w:rPr>
          <w:rFonts w:ascii="黑体" w:eastAsia="黑体" w:cs="黑体"/>
          <w:color w:val="000000"/>
          <w:kern w:val="0"/>
          <w:sz w:val="70"/>
          <w:szCs w:val="70"/>
        </w:rPr>
      </w:pPr>
    </w:p>
    <w:p w14:paraId="49923327">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6C569F0B">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10383F4D">
      <w:pPr>
        <w:ind w:firstLine="640" w:firstLineChars="200"/>
        <w:jc w:val="left"/>
        <w:rPr>
          <w:rFonts w:cs="黑体" w:asciiTheme="minorEastAsia" w:hAnsiTheme="minorEastAsia"/>
          <w:color w:val="000000"/>
          <w:kern w:val="0"/>
          <w:sz w:val="32"/>
          <w:szCs w:val="32"/>
        </w:rPr>
      </w:pPr>
    </w:p>
    <w:p w14:paraId="77F01E12">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财政拨款收入：指本级财政当年拨付的资金。</w:t>
      </w:r>
    </w:p>
    <w:p w14:paraId="7E1A0FB2">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其他收入：指除上述“财政拨款收入”、“上级补助收入”、“事业收入”、“经营收入”、“附属单位上缴收入”等以外的收入。</w:t>
      </w:r>
    </w:p>
    <w:p w14:paraId="2143494D">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上年结转和结余：指以前年度尚未完成、结转到本年按有关规定继续使用的资金。</w:t>
      </w:r>
    </w:p>
    <w:p w14:paraId="3DD6D38D">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年末结转和结余资金：指本年度或以前年度预算安排、因客观条件发生变化无法按原计划实施，需要延迟到以后年度按有关规定继续使用的资金。</w:t>
      </w:r>
    </w:p>
    <w:p w14:paraId="1364093D">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2B927C15">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其他支出（类）：是指用于反映除上述项目以外其他不能划分到具体功能科目中的支出项目，包括保障机构正常运转、完成日常和特定的工作任务或事业发展目标的支出。</w:t>
      </w:r>
    </w:p>
    <w:p w14:paraId="3661EF00">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基本支出：指保障机构正常运转、完成支日常工作任务而发生的人员支出和公用支出。</w:t>
      </w:r>
    </w:p>
    <w:p w14:paraId="6CB95A3E">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项目支出：指在基本支出之外为完成特定行政任务和事业发展目标所发生的支出。</w:t>
      </w:r>
    </w:p>
    <w:p w14:paraId="3A0DE7B1">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411400E">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政府采购：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4A6180AB">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工资福利支出：反映单位开支的在职职工和编制外长期聘用人员的各类劳动报酬，以及为上述人员缴纳的各项社会保险费等。</w:t>
      </w:r>
    </w:p>
    <w:p w14:paraId="06732141">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5F1685B9">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津贴补贴：反映经国家批准建立的机关事业单位艰苦边远地区津贴、机关工作人员地区附加津贴、机关工作人员岗位津贴、事业单位工作人员特殊岗位津贴补贴等。</w:t>
      </w:r>
    </w:p>
    <w:p w14:paraId="357A718C">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奖金：反映机关工作人员年终一次性奖金。</w:t>
      </w:r>
    </w:p>
    <w:p w14:paraId="004442FA">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伙食补助费：反映单位发给职工的伙食补助费，如误餐补助等。</w:t>
      </w:r>
    </w:p>
    <w:p w14:paraId="2EBC7706">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机关事业单位基本养老保险缴费：反映机关事业单位缴纳的基本养老保险费。由单位代扣的工作人员基本养老保险缴费，不在此科目反映。</w:t>
      </w:r>
    </w:p>
    <w:p w14:paraId="5A54EF18">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职业年金缴费：反映机关事业单位实际缴纳的职业年金支出。由单位代扣的工作人员职业年金缴费，不在此科目反映。</w:t>
      </w:r>
    </w:p>
    <w:p w14:paraId="53894283">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职工基本医疗保险缴费：反映单位为职工缴纳的基本医疗保险费。</w:t>
      </w:r>
    </w:p>
    <w:p w14:paraId="2FDC1AF4">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公务员医疗补助缴费：反映按规定可享受公务员医疗补助单位为职工缴纳的公务员医疗补助费。</w:t>
      </w:r>
    </w:p>
    <w:p w14:paraId="178A8FA5">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其他社会保障缴费：反映单位为职工缴纳的基本医疗、失业、工伤、生育等社会保险费，残疾人就业保障金，军队（含武警）为军人缴纳的伤亡、退役医疗等社会保险费。</w:t>
      </w:r>
    </w:p>
    <w:p w14:paraId="5B43FD1B">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住房公积金：反映行政事业单位按人力资源和社会保障部、财政部规定的基本工资和津贴补贴以及规定比例为职工缴纳的住房公积金。</w:t>
      </w:r>
    </w:p>
    <w:p w14:paraId="22D73F79">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5C3F761E">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商品和服务支出：反映单位购买商品和服务的支出（不包括用于购置固定资产的支出、战略性和应急储备支出）。</w:t>
      </w:r>
    </w:p>
    <w:p w14:paraId="26196EA5">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办公费：反映单位购买按财务会计制度规定不符合固定资产确认标准的日常办公用品、书报杂志等支出。</w:t>
      </w:r>
    </w:p>
    <w:p w14:paraId="22987904">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印刷费：反映单位的印刷费支出。</w:t>
      </w:r>
    </w:p>
    <w:p w14:paraId="0C78C9E0">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水费：反映单位支付的水费、污水处理费等支出。</w:t>
      </w:r>
    </w:p>
    <w:p w14:paraId="6210D55D">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电费：反映单位的电费支出。</w:t>
      </w:r>
    </w:p>
    <w:p w14:paraId="410B63FD">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邮电费：反映单位开支的信函、包裹、货物等物品的邮寄费及电话费、电报费、传真费、网络通讯费等。</w:t>
      </w:r>
    </w:p>
    <w:p w14:paraId="3E0C282C">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物业管理费：反映单位开支的办公用房以及未实行职工住宅物业服务改革的在职职工和离退休人员宿舍等的物业管理费，包括综合治理、绿化、卫生等方面的支出。</w:t>
      </w:r>
    </w:p>
    <w:p w14:paraId="43E1A182">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差旅费：反映单位工作人员出差发生的城市间交通费、住宿费、伙食补贴费和市内交通费。</w:t>
      </w:r>
    </w:p>
    <w:p w14:paraId="4CA585F6">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维修(护)费：反映单位日常开支的固定资产（不包括车船等交通工具）修理和维护费用，网络信息系统运行与维护费用，以及按规定提取的修购基金。</w:t>
      </w:r>
    </w:p>
    <w:p w14:paraId="7A532494">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培训费：反映除因公出国（境）培训费以外的各类培训支出。</w:t>
      </w:r>
    </w:p>
    <w:p w14:paraId="380DDD37">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公务接待费：反映单位按规定开支的各类公务接待（含外宾接待）费用。</w:t>
      </w:r>
    </w:p>
    <w:p w14:paraId="38CF912D">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劳务费：反映支付给单位和个人的劳务费用，如临时聘用人员、钟点工工资，稿费、翻译费，评审费等。</w:t>
      </w:r>
    </w:p>
    <w:p w14:paraId="6ECDC918">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委托业务费：反映因委托外单位办理业务而支付的委托业务费。</w:t>
      </w:r>
    </w:p>
    <w:p w14:paraId="46696D14">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工会经费：反映单位按规定提取的工会经费。</w:t>
      </w:r>
    </w:p>
    <w:p w14:paraId="0D351A5B">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公务用车运行维护费：反映单位按规定保留的公务用车燃料费、维修费、过桥过路费、保险费、安全奖励费用等支出。</w:t>
      </w:r>
    </w:p>
    <w:p w14:paraId="3A03EA29">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其他交通费用：反映单位除公务用车运行维护费以外的其他交通费用。如公务交通补贴，租车费用、出租车费用，飞机、船舶等的燃料费、维修费、保险费等。</w:t>
      </w:r>
    </w:p>
    <w:p w14:paraId="016A14BE">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其他商品和服务支出：反映上述科目未包括的日常公用支出。如行政赔偿费和诉讼费、国内组织的会员费、来访费、广告宣传、其他劳务费及离休人员特需费、公用经费等。</w:t>
      </w:r>
    </w:p>
    <w:p w14:paraId="23D301B4">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对个人和家庭的补助：反映政府用于对个人和家庭的补助支出。</w:t>
      </w:r>
    </w:p>
    <w:p w14:paraId="6F75606E">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退休费：反映行政事业单位和军队移交政府安置的退休人员的退休费和其他补贴。</w:t>
      </w:r>
    </w:p>
    <w:p w14:paraId="2D406684">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抚恤金：反映按规定开支的烈士遗属、牺牲病故人员遗属的一次性和定期抚恤金，伤残人员的抚恤金，离退休人员等其他人员的各项抚恤金。</w:t>
      </w:r>
    </w:p>
    <w:p w14:paraId="140B3E5B">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4E96799D">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办公设备购置：反映用于购置并按财务会计制度规定纳入固定资产核算范围的办公家具和办公设备的支出，以及按规定提取的修购基金。</w:t>
      </w:r>
    </w:p>
    <w:p w14:paraId="5778BB9F">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65CCBF41">
      <w:pPr>
        <w:widowControl/>
        <w:spacing w:line="60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其他资本性支出：反映上述科目中未包括的资本性支出。</w:t>
      </w:r>
    </w:p>
    <w:p w14:paraId="5E9F0803">
      <w:pPr>
        <w:pStyle w:val="9"/>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F64C048">
      <w:pPr>
        <w:pStyle w:val="9"/>
        <w:jc w:val="center"/>
        <w:rPr>
          <w:rFonts w:asciiTheme="minorEastAsia" w:hAnsiTheme="minorEastAsia" w:eastAsiaTheme="minorEastAsia"/>
          <w:sz w:val="32"/>
          <w:szCs w:val="32"/>
        </w:rPr>
      </w:pPr>
    </w:p>
    <w:p w14:paraId="0E5855E0">
      <w:pPr>
        <w:pStyle w:val="9"/>
        <w:jc w:val="center"/>
        <w:rPr>
          <w:rFonts w:asciiTheme="minorEastAsia" w:hAnsiTheme="minorEastAsia" w:eastAsiaTheme="minorEastAsia"/>
          <w:sz w:val="32"/>
          <w:szCs w:val="32"/>
        </w:rPr>
      </w:pPr>
    </w:p>
    <w:p w14:paraId="37DB8954">
      <w:pPr>
        <w:pStyle w:val="9"/>
        <w:jc w:val="center"/>
        <w:rPr>
          <w:rFonts w:asciiTheme="minorEastAsia" w:hAnsiTheme="minorEastAsia" w:eastAsiaTheme="minorEastAsia"/>
          <w:sz w:val="32"/>
          <w:szCs w:val="32"/>
        </w:rPr>
      </w:pPr>
    </w:p>
    <w:p w14:paraId="0E28D328">
      <w:pPr>
        <w:pStyle w:val="9"/>
        <w:jc w:val="center"/>
        <w:rPr>
          <w:sz w:val="72"/>
          <w:szCs w:val="72"/>
        </w:rPr>
      </w:pPr>
    </w:p>
    <w:p w14:paraId="1D7FAE7F">
      <w:pPr>
        <w:pStyle w:val="9"/>
        <w:jc w:val="center"/>
        <w:rPr>
          <w:sz w:val="72"/>
          <w:szCs w:val="72"/>
        </w:rPr>
      </w:pPr>
    </w:p>
    <w:p w14:paraId="458C5348">
      <w:pPr>
        <w:pStyle w:val="9"/>
        <w:jc w:val="center"/>
        <w:rPr>
          <w:sz w:val="72"/>
          <w:szCs w:val="72"/>
        </w:rPr>
      </w:pPr>
    </w:p>
    <w:p w14:paraId="0DDB30A1">
      <w:pPr>
        <w:pStyle w:val="9"/>
        <w:jc w:val="center"/>
        <w:rPr>
          <w:sz w:val="72"/>
          <w:szCs w:val="72"/>
        </w:rPr>
      </w:pPr>
    </w:p>
    <w:p w14:paraId="3D115A32">
      <w:pPr>
        <w:pStyle w:val="9"/>
        <w:jc w:val="center"/>
        <w:rPr>
          <w:sz w:val="72"/>
          <w:szCs w:val="72"/>
        </w:rPr>
      </w:pPr>
    </w:p>
    <w:p w14:paraId="12057F9B">
      <w:pPr>
        <w:pStyle w:val="9"/>
        <w:jc w:val="center"/>
        <w:rPr>
          <w:sz w:val="72"/>
          <w:szCs w:val="72"/>
        </w:rPr>
      </w:pPr>
    </w:p>
    <w:p w14:paraId="7A69D521">
      <w:pPr>
        <w:pStyle w:val="9"/>
        <w:jc w:val="center"/>
        <w:rPr>
          <w:sz w:val="72"/>
          <w:szCs w:val="72"/>
        </w:rPr>
      </w:pPr>
    </w:p>
    <w:p w14:paraId="248E5736">
      <w:pPr>
        <w:pStyle w:val="9"/>
        <w:jc w:val="center"/>
        <w:rPr>
          <w:sz w:val="72"/>
          <w:szCs w:val="72"/>
        </w:rPr>
      </w:pPr>
    </w:p>
    <w:p w14:paraId="28AFB423">
      <w:pPr>
        <w:pStyle w:val="9"/>
        <w:jc w:val="center"/>
        <w:rPr>
          <w:sz w:val="72"/>
          <w:szCs w:val="72"/>
        </w:rPr>
      </w:pPr>
    </w:p>
    <w:p w14:paraId="7CEAA7B0">
      <w:pPr>
        <w:pStyle w:val="9"/>
        <w:jc w:val="center"/>
        <w:rPr>
          <w:sz w:val="72"/>
          <w:szCs w:val="72"/>
        </w:rPr>
      </w:pPr>
    </w:p>
    <w:p w14:paraId="09B2E249">
      <w:pPr>
        <w:pStyle w:val="9"/>
        <w:jc w:val="center"/>
        <w:rPr>
          <w:sz w:val="72"/>
          <w:szCs w:val="72"/>
        </w:rPr>
      </w:pPr>
    </w:p>
    <w:p w14:paraId="6CF86071">
      <w:pPr>
        <w:pStyle w:val="9"/>
        <w:jc w:val="center"/>
        <w:rPr>
          <w:sz w:val="72"/>
          <w:szCs w:val="72"/>
        </w:rPr>
      </w:pPr>
    </w:p>
    <w:p w14:paraId="21E3174E">
      <w:pPr>
        <w:pStyle w:val="9"/>
        <w:jc w:val="center"/>
        <w:rPr>
          <w:sz w:val="72"/>
          <w:szCs w:val="72"/>
        </w:rPr>
      </w:pPr>
    </w:p>
    <w:p w14:paraId="4B65CFFE">
      <w:pPr>
        <w:pStyle w:val="9"/>
        <w:jc w:val="center"/>
        <w:rPr>
          <w:sz w:val="72"/>
          <w:szCs w:val="72"/>
        </w:rPr>
      </w:pPr>
    </w:p>
    <w:p w14:paraId="765FF5B4">
      <w:pPr>
        <w:pStyle w:val="9"/>
        <w:jc w:val="center"/>
        <w:rPr>
          <w:sz w:val="72"/>
          <w:szCs w:val="72"/>
        </w:rPr>
      </w:pPr>
      <w:r>
        <w:rPr>
          <w:rFonts w:hint="eastAsia"/>
          <w:sz w:val="72"/>
          <w:szCs w:val="72"/>
        </w:rPr>
        <w:t>第五部分</w:t>
      </w:r>
    </w:p>
    <w:p w14:paraId="3A0D1FFE">
      <w:pPr>
        <w:jc w:val="center"/>
        <w:rPr>
          <w:rFonts w:ascii="黑体" w:eastAsia="黑体" w:cs="黑体"/>
          <w:color w:val="000000"/>
          <w:kern w:val="0"/>
          <w:sz w:val="70"/>
          <w:szCs w:val="70"/>
        </w:rPr>
      </w:pPr>
    </w:p>
    <w:p w14:paraId="4F5EDE99">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附件</w:t>
      </w:r>
    </w:p>
    <w:p w14:paraId="37232F79">
      <w:pPr>
        <w:widowControl/>
        <w:ind w:firstLine="1920" w:firstLineChars="600"/>
        <w:jc w:val="left"/>
        <w:rPr>
          <w:rFonts w:cs="黑体" w:asciiTheme="minorEastAsia" w:hAnsiTheme="minorEastAsia"/>
          <w:b/>
          <w:color w:val="000000"/>
          <w:kern w:val="0"/>
          <w:sz w:val="32"/>
          <w:szCs w:val="32"/>
        </w:rPr>
      </w:pPr>
    </w:p>
    <w:p w14:paraId="05567705">
      <w:pPr>
        <w:ind w:firstLine="2560" w:firstLineChars="8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DECFA"/>
    <w:multiLevelType w:val="singleLevel"/>
    <w:tmpl w:val="FFCDECFA"/>
    <w:lvl w:ilvl="0" w:tentative="0">
      <w:start w:val="10"/>
      <w:numFmt w:val="chineseCounting"/>
      <w:suff w:val="nothing"/>
      <w:lvlText w:val="%1、"/>
      <w:lvlJc w:val="left"/>
      <w:rPr>
        <w:rFonts w:hint="eastAsia"/>
      </w:rPr>
    </w:lvl>
  </w:abstractNum>
  <w:abstractNum w:abstractNumId="1">
    <w:nsid w:val="27400F11"/>
    <w:multiLevelType w:val="singleLevel"/>
    <w:tmpl w:val="27400F11"/>
    <w:lvl w:ilvl="0" w:tentative="0">
      <w:start w:val="6"/>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3BEA5D"/>
    <w:multiLevelType w:val="singleLevel"/>
    <w:tmpl w:val="703BEA5D"/>
    <w:lvl w:ilvl="0" w:tentative="0">
      <w:start w:val="3"/>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ZTg4MGIzMzk5NWExMDBkZWU4N2U0NGYyZjhhMT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A4FBA"/>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C6B43"/>
    <w:rsid w:val="009E6817"/>
    <w:rsid w:val="009E6E9A"/>
    <w:rsid w:val="00A01D2B"/>
    <w:rsid w:val="00A42218"/>
    <w:rsid w:val="00A45897"/>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8A234FA"/>
    <w:rsid w:val="0B6947A3"/>
    <w:rsid w:val="0D4C345C"/>
    <w:rsid w:val="0E010CC3"/>
    <w:rsid w:val="0E2B4D86"/>
    <w:rsid w:val="0EF6634E"/>
    <w:rsid w:val="0F927BB6"/>
    <w:rsid w:val="108B113E"/>
    <w:rsid w:val="10F37481"/>
    <w:rsid w:val="115F7498"/>
    <w:rsid w:val="17190E2C"/>
    <w:rsid w:val="18335F1D"/>
    <w:rsid w:val="1A4B61EF"/>
    <w:rsid w:val="1AF916A0"/>
    <w:rsid w:val="1B7D018D"/>
    <w:rsid w:val="202645B9"/>
    <w:rsid w:val="28B135BA"/>
    <w:rsid w:val="2E245737"/>
    <w:rsid w:val="2FA86D99"/>
    <w:rsid w:val="309335A5"/>
    <w:rsid w:val="31F26913"/>
    <w:rsid w:val="35317C1B"/>
    <w:rsid w:val="354D536F"/>
    <w:rsid w:val="37E173B9"/>
    <w:rsid w:val="38FD77E2"/>
    <w:rsid w:val="40354679"/>
    <w:rsid w:val="45D65FB6"/>
    <w:rsid w:val="47094169"/>
    <w:rsid w:val="4F894099"/>
    <w:rsid w:val="50AA2519"/>
    <w:rsid w:val="52ED230C"/>
    <w:rsid w:val="543D36A4"/>
    <w:rsid w:val="55CF32DA"/>
    <w:rsid w:val="56F50266"/>
    <w:rsid w:val="5B6559BA"/>
    <w:rsid w:val="5BBE0207"/>
    <w:rsid w:val="5BD163CC"/>
    <w:rsid w:val="5F7E1979"/>
    <w:rsid w:val="6B176622"/>
    <w:rsid w:val="6F280D81"/>
    <w:rsid w:val="70344547"/>
    <w:rsid w:val="705C6F14"/>
    <w:rsid w:val="732868D3"/>
    <w:rsid w:val="744F54D2"/>
    <w:rsid w:val="753D7486"/>
    <w:rsid w:val="7957BB51"/>
    <w:rsid w:val="79B45159"/>
    <w:rsid w:val="7A690F69"/>
    <w:rsid w:val="7CD41A04"/>
    <w:rsid w:val="7E7F64E4"/>
    <w:rsid w:val="7EB7467A"/>
    <w:rsid w:val="FE7D2A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6648</Words>
  <Characters>6979</Characters>
  <Lines>52</Lines>
  <Paragraphs>14</Paragraphs>
  <TotalTime>2</TotalTime>
  <ScaleCrop>false</ScaleCrop>
  <LinksUpToDate>false</LinksUpToDate>
  <CharactersWithSpaces>6985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WPS_1703057366</cp:lastModifiedBy>
  <cp:lastPrinted>2022-07-27T20:55:00Z</cp:lastPrinted>
  <dcterms:modified xsi:type="dcterms:W3CDTF">2024-08-19T01:43:09Z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06C9EC641ABF4016728B04657133C357_43</vt:lpwstr>
  </property>
</Properties>
</file>