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ACFF4">
      <w:pPr>
        <w:pStyle w:val="9"/>
        <w:jc w:val="center"/>
        <w:rPr>
          <w:sz w:val="56"/>
          <w:szCs w:val="56"/>
        </w:rPr>
      </w:pPr>
    </w:p>
    <w:p w14:paraId="6AD74BC4">
      <w:pPr>
        <w:pStyle w:val="9"/>
        <w:jc w:val="center"/>
        <w:rPr>
          <w:sz w:val="56"/>
          <w:szCs w:val="56"/>
        </w:rPr>
      </w:pPr>
    </w:p>
    <w:p w14:paraId="75803A32">
      <w:pPr>
        <w:pStyle w:val="9"/>
        <w:jc w:val="center"/>
        <w:rPr>
          <w:rFonts w:hint="eastAsia" w:eastAsia="黑体"/>
          <w:sz w:val="84"/>
          <w:szCs w:val="84"/>
          <w:lang w:eastAsia="zh-CN"/>
        </w:rPr>
      </w:pPr>
    </w:p>
    <w:p w14:paraId="103F8DEA">
      <w:pPr>
        <w:pStyle w:val="9"/>
        <w:jc w:val="center"/>
        <w:rPr>
          <w:rFonts w:hint="eastAsia" w:eastAsia="黑体"/>
          <w:sz w:val="84"/>
          <w:szCs w:val="84"/>
          <w:lang w:eastAsia="zh-CN"/>
        </w:rPr>
      </w:pPr>
    </w:p>
    <w:p w14:paraId="0B5FD30A">
      <w:pPr>
        <w:pStyle w:val="9"/>
        <w:jc w:val="center"/>
        <w:rPr>
          <w:sz w:val="84"/>
          <w:szCs w:val="84"/>
        </w:rPr>
      </w:pPr>
    </w:p>
    <w:p w14:paraId="6DDAFB1D">
      <w:pPr>
        <w:pStyle w:val="9"/>
        <w:jc w:val="center"/>
        <w:rPr>
          <w:sz w:val="84"/>
          <w:szCs w:val="84"/>
        </w:rPr>
      </w:pPr>
      <w:r>
        <w:rPr>
          <w:rFonts w:hint="eastAsia"/>
          <w:sz w:val="84"/>
          <w:szCs w:val="84"/>
        </w:rPr>
        <w:t>2020年度</w:t>
      </w:r>
    </w:p>
    <w:p w14:paraId="0ABE4E90">
      <w:pPr>
        <w:pStyle w:val="9"/>
        <w:jc w:val="center"/>
        <w:rPr>
          <w:spacing w:val="-23"/>
          <w:sz w:val="84"/>
          <w:szCs w:val="84"/>
        </w:rPr>
      </w:pPr>
      <w:r>
        <w:rPr>
          <w:rFonts w:hint="eastAsia"/>
          <w:spacing w:val="-23"/>
          <w:sz w:val="84"/>
          <w:szCs w:val="84"/>
          <w:lang w:val="en-US" w:eastAsia="zh-CN"/>
        </w:rPr>
        <w:t>岳阳县旅游开发中心</w:t>
      </w:r>
      <w:r>
        <w:rPr>
          <w:rFonts w:hint="eastAsia"/>
          <w:spacing w:val="-23"/>
          <w:sz w:val="84"/>
          <w:szCs w:val="84"/>
        </w:rPr>
        <w:t>部门决算</w:t>
      </w:r>
    </w:p>
    <w:p w14:paraId="08B48186">
      <w:pPr>
        <w:pStyle w:val="9"/>
        <w:jc w:val="center"/>
        <w:rPr>
          <w:sz w:val="56"/>
          <w:szCs w:val="56"/>
        </w:rPr>
      </w:pPr>
    </w:p>
    <w:p w14:paraId="54453D83">
      <w:pPr>
        <w:pStyle w:val="9"/>
        <w:jc w:val="center"/>
        <w:rPr>
          <w:sz w:val="56"/>
          <w:szCs w:val="56"/>
        </w:rPr>
      </w:pPr>
    </w:p>
    <w:p w14:paraId="3FC7F9C6">
      <w:pPr>
        <w:pStyle w:val="9"/>
        <w:jc w:val="center"/>
        <w:rPr>
          <w:sz w:val="56"/>
          <w:szCs w:val="56"/>
        </w:rPr>
      </w:pPr>
    </w:p>
    <w:p w14:paraId="3B3082C7">
      <w:pPr>
        <w:pStyle w:val="9"/>
        <w:jc w:val="center"/>
        <w:rPr>
          <w:sz w:val="56"/>
          <w:szCs w:val="56"/>
        </w:rPr>
      </w:pPr>
    </w:p>
    <w:p w14:paraId="68BF2437">
      <w:pPr>
        <w:pStyle w:val="9"/>
        <w:jc w:val="center"/>
        <w:rPr>
          <w:sz w:val="32"/>
          <w:szCs w:val="32"/>
        </w:rPr>
      </w:pPr>
    </w:p>
    <w:p w14:paraId="40AA41CA">
      <w:pPr>
        <w:pStyle w:val="9"/>
        <w:jc w:val="center"/>
        <w:rPr>
          <w:sz w:val="32"/>
          <w:szCs w:val="32"/>
        </w:rPr>
      </w:pPr>
    </w:p>
    <w:p w14:paraId="28EEA19A">
      <w:pPr>
        <w:pStyle w:val="9"/>
        <w:jc w:val="center"/>
        <w:rPr>
          <w:sz w:val="32"/>
          <w:szCs w:val="32"/>
        </w:rPr>
      </w:pPr>
    </w:p>
    <w:p w14:paraId="276D830F">
      <w:pPr>
        <w:pStyle w:val="9"/>
        <w:spacing w:line="540" w:lineRule="exact"/>
        <w:jc w:val="center"/>
        <w:rPr>
          <w:sz w:val="56"/>
          <w:szCs w:val="56"/>
        </w:rPr>
      </w:pPr>
    </w:p>
    <w:p w14:paraId="79E347E5">
      <w:pPr>
        <w:pStyle w:val="9"/>
        <w:spacing w:line="500" w:lineRule="exact"/>
        <w:jc w:val="center"/>
        <w:rPr>
          <w:b/>
          <w:sz w:val="36"/>
          <w:szCs w:val="28"/>
        </w:rPr>
      </w:pPr>
    </w:p>
    <w:p w14:paraId="7F97F5ED">
      <w:pPr>
        <w:pStyle w:val="9"/>
        <w:spacing w:line="500" w:lineRule="exact"/>
        <w:jc w:val="center"/>
        <w:rPr>
          <w:b/>
          <w:sz w:val="36"/>
          <w:szCs w:val="28"/>
        </w:rPr>
      </w:pPr>
    </w:p>
    <w:p w14:paraId="2256773A">
      <w:pPr>
        <w:pStyle w:val="9"/>
        <w:spacing w:line="500" w:lineRule="exact"/>
        <w:jc w:val="center"/>
        <w:rPr>
          <w:b/>
          <w:sz w:val="36"/>
          <w:szCs w:val="28"/>
        </w:rPr>
      </w:pPr>
      <w:r>
        <w:rPr>
          <w:rFonts w:hint="eastAsia"/>
          <w:b/>
          <w:sz w:val="36"/>
          <w:szCs w:val="28"/>
        </w:rPr>
        <w:t>目录</w:t>
      </w:r>
    </w:p>
    <w:p w14:paraId="7D0535A5">
      <w:pPr>
        <w:pStyle w:val="9"/>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val="en-US" w:eastAsia="zh-CN"/>
        </w:rPr>
        <w:t xml:space="preserve">  岳阳县旅游开发中心</w:t>
      </w:r>
      <w:r>
        <w:rPr>
          <w:rFonts w:hint="eastAsia"/>
          <w:b/>
          <w:sz w:val="28"/>
          <w:szCs w:val="28"/>
        </w:rPr>
        <w:t>概况</w:t>
      </w:r>
    </w:p>
    <w:p w14:paraId="3F5DCEBF">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0360EA58">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6DB0B1B1">
      <w:pPr>
        <w:pStyle w:val="9"/>
        <w:spacing w:line="500" w:lineRule="exact"/>
        <w:rPr>
          <w:rFonts w:ascii="仿宋_GB2312" w:hAnsi="仿宋_GB2312" w:cs="仿宋_GB2312"/>
          <w:b/>
          <w:sz w:val="28"/>
          <w:szCs w:val="28"/>
        </w:rPr>
      </w:pPr>
      <w:r>
        <w:rPr>
          <w:rFonts w:hint="eastAsia" w:hAnsi="仿宋_GB2312"/>
          <w:b/>
          <w:sz w:val="28"/>
          <w:szCs w:val="28"/>
        </w:rPr>
        <w:t>第二部分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20年度部门决算表</w:t>
      </w:r>
    </w:p>
    <w:p w14:paraId="5EC3A990">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5C85DAA7">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21DEE21E">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2E662507">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136C0AA9">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FAB9FB5">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六、一般公共预算财政拨款基本支出决算表</w:t>
      </w:r>
    </w:p>
    <w:p w14:paraId="5FDAEDEF">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1F17CBBB">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6753F8BE">
      <w:pPr>
        <w:pStyle w:val="9"/>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24388330">
      <w:pPr>
        <w:pStyle w:val="9"/>
        <w:spacing w:line="500" w:lineRule="exact"/>
        <w:rPr>
          <w:rFonts w:ascii="仿宋_GB2312" w:hAnsi="仿宋_GB2312" w:cs="仿宋_GB2312"/>
          <w:b/>
          <w:sz w:val="28"/>
          <w:szCs w:val="28"/>
        </w:rPr>
      </w:pPr>
      <w:r>
        <w:rPr>
          <w:rFonts w:hint="eastAsia" w:hAnsi="仿宋_GB2312"/>
          <w:b/>
          <w:sz w:val="28"/>
          <w:szCs w:val="28"/>
        </w:rPr>
        <w:t>第三部分</w:t>
      </w:r>
      <w:r>
        <w:rPr>
          <w:rFonts w:hint="eastAsia" w:hAnsi="仿宋_GB2312"/>
          <w:b/>
          <w:sz w:val="28"/>
          <w:szCs w:val="28"/>
          <w:lang w:val="en-US" w:eastAsia="zh-CN"/>
        </w:rPr>
        <w:t xml:space="preserve">  </w:t>
      </w:r>
      <w:r>
        <w:rPr>
          <w:rFonts w:hAnsi="仿宋_GB2312"/>
          <w:b/>
          <w:sz w:val="28"/>
          <w:szCs w:val="28"/>
        </w:rPr>
        <w:t>20</w:t>
      </w:r>
      <w:r>
        <w:rPr>
          <w:rFonts w:hint="eastAsia" w:hAnsi="仿宋_GB2312"/>
          <w:b/>
          <w:sz w:val="28"/>
          <w:szCs w:val="28"/>
        </w:rPr>
        <w:t>20年度部门决算情况说明</w:t>
      </w:r>
    </w:p>
    <w:p w14:paraId="013D255A">
      <w:pPr>
        <w:pStyle w:val="9"/>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4C757BF9">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6DD3194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0E41ED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71C8CF3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6CCE30C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2212E7F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7D20FF0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39DB73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关于机关运行经费支出说明</w:t>
      </w:r>
    </w:p>
    <w:p w14:paraId="13B80BE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w:t>
      </w:r>
    </w:p>
    <w:p w14:paraId="3F2E8F4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十一、关于政府采购支出说明</w:t>
      </w:r>
    </w:p>
    <w:p w14:paraId="72E91608">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十二、关于国有资产占用情况说明</w:t>
      </w:r>
    </w:p>
    <w:p w14:paraId="0A473369">
      <w:pPr>
        <w:pStyle w:val="9"/>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十三、关</w:t>
      </w:r>
      <w:r>
        <w:rPr>
          <w:rFonts w:hint="eastAsia" w:cs="仿宋_GB2312" w:asciiTheme="minorEastAsia" w:hAnsiTheme="minorEastAsia" w:eastAsiaTheme="minorEastAsia"/>
          <w:sz w:val="28"/>
          <w:szCs w:val="28"/>
        </w:rPr>
        <w:t>于2020年</w:t>
      </w:r>
      <w:r>
        <w:rPr>
          <w:rFonts w:hint="eastAsia" w:ascii="仿宋_GB2312" w:hAnsi="仿宋_GB2312" w:cs="仿宋_GB2312" w:eastAsiaTheme="minorEastAsia"/>
          <w:sz w:val="28"/>
          <w:szCs w:val="28"/>
        </w:rPr>
        <w:t>度预算绩效情况的说明</w:t>
      </w:r>
    </w:p>
    <w:p w14:paraId="19488BDC">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w:t>
      </w:r>
      <w:r>
        <w:rPr>
          <w:rFonts w:hint="eastAsia" w:ascii="黑体" w:hAnsi="黑体" w:eastAsia="黑体" w:cs="黑体"/>
          <w:b/>
          <w:color w:val="000000"/>
          <w:kern w:val="0"/>
          <w:sz w:val="28"/>
          <w:szCs w:val="28"/>
          <w:lang w:val="en-US" w:eastAsia="zh-CN"/>
        </w:rPr>
        <w:t xml:space="preserve">  </w:t>
      </w:r>
      <w:r>
        <w:rPr>
          <w:rFonts w:ascii="黑体" w:hAnsi="黑体" w:eastAsia="黑体" w:cs="黑体"/>
          <w:b/>
          <w:color w:val="000000"/>
          <w:kern w:val="0"/>
          <w:sz w:val="28"/>
          <w:szCs w:val="28"/>
        </w:rPr>
        <w:t>名词解释</w:t>
      </w:r>
    </w:p>
    <w:p w14:paraId="144F94B2">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w:t>
      </w:r>
      <w:r>
        <w:rPr>
          <w:rFonts w:hint="eastAsia" w:ascii="黑体" w:hAnsi="黑体" w:eastAsia="黑体" w:cs="黑体"/>
          <w:b/>
          <w:color w:val="000000"/>
          <w:kern w:val="0"/>
          <w:sz w:val="28"/>
          <w:szCs w:val="28"/>
          <w:lang w:val="en-US" w:eastAsia="zh-CN"/>
        </w:rPr>
        <w:t xml:space="preserve">  </w:t>
      </w:r>
      <w:r>
        <w:rPr>
          <w:rFonts w:hint="eastAsia" w:ascii="黑体" w:hAnsi="黑体" w:eastAsia="黑体" w:cs="黑体"/>
          <w:b/>
          <w:color w:val="000000"/>
          <w:kern w:val="0"/>
          <w:sz w:val="28"/>
          <w:szCs w:val="28"/>
        </w:rPr>
        <w:t>附件</w:t>
      </w:r>
    </w:p>
    <w:p w14:paraId="7733D502">
      <w:pPr>
        <w:jc w:val="center"/>
        <w:rPr>
          <w:sz w:val="72"/>
          <w:szCs w:val="72"/>
        </w:rPr>
      </w:pPr>
    </w:p>
    <w:p w14:paraId="681F46EE">
      <w:pPr>
        <w:jc w:val="center"/>
        <w:rPr>
          <w:sz w:val="72"/>
          <w:szCs w:val="72"/>
        </w:rPr>
      </w:pPr>
    </w:p>
    <w:p w14:paraId="41B91896">
      <w:pPr>
        <w:jc w:val="center"/>
        <w:rPr>
          <w:sz w:val="72"/>
          <w:szCs w:val="72"/>
        </w:rPr>
      </w:pPr>
    </w:p>
    <w:p w14:paraId="124BBB7D">
      <w:pPr>
        <w:jc w:val="center"/>
        <w:rPr>
          <w:sz w:val="72"/>
          <w:szCs w:val="72"/>
        </w:rPr>
      </w:pPr>
    </w:p>
    <w:p w14:paraId="264CF19D">
      <w:pPr>
        <w:rPr>
          <w:sz w:val="72"/>
          <w:szCs w:val="72"/>
        </w:rPr>
      </w:pPr>
    </w:p>
    <w:p w14:paraId="34281DEF">
      <w:pPr>
        <w:pStyle w:val="9"/>
        <w:jc w:val="center"/>
        <w:rPr>
          <w:sz w:val="84"/>
          <w:szCs w:val="84"/>
        </w:rPr>
      </w:pPr>
      <w:r>
        <w:rPr>
          <w:rFonts w:hint="eastAsia"/>
          <w:sz w:val="84"/>
          <w:szCs w:val="84"/>
        </w:rPr>
        <w:t>第一部分</w:t>
      </w:r>
      <w:r>
        <w:rPr>
          <w:sz w:val="84"/>
          <w:szCs w:val="84"/>
        </w:rPr>
        <w:t xml:space="preserve"> </w:t>
      </w:r>
    </w:p>
    <w:p w14:paraId="2EC3B940">
      <w:pPr>
        <w:pStyle w:val="9"/>
        <w:jc w:val="center"/>
        <w:rPr>
          <w:sz w:val="84"/>
          <w:szCs w:val="84"/>
        </w:rPr>
      </w:pPr>
    </w:p>
    <w:p w14:paraId="3E5286E7">
      <w:pPr>
        <w:pStyle w:val="9"/>
        <w:jc w:val="center"/>
        <w:rPr>
          <w:sz w:val="84"/>
          <w:szCs w:val="84"/>
        </w:rPr>
      </w:pPr>
      <w:r>
        <w:rPr>
          <w:rFonts w:hint="eastAsia"/>
          <w:sz w:val="84"/>
          <w:szCs w:val="84"/>
          <w:lang w:val="en-US" w:eastAsia="zh-CN"/>
        </w:rPr>
        <w:t>岳阳县旅游开发中心</w:t>
      </w:r>
      <w:r>
        <w:rPr>
          <w:rFonts w:hint="eastAsia"/>
          <w:sz w:val="84"/>
          <w:szCs w:val="84"/>
        </w:rPr>
        <w:t>概况</w:t>
      </w:r>
    </w:p>
    <w:p w14:paraId="48711502">
      <w:pPr>
        <w:jc w:val="center"/>
        <w:rPr>
          <w:sz w:val="72"/>
          <w:szCs w:val="72"/>
        </w:rPr>
      </w:pPr>
    </w:p>
    <w:p w14:paraId="21404EAA">
      <w:pPr>
        <w:jc w:val="center"/>
        <w:rPr>
          <w:sz w:val="72"/>
          <w:szCs w:val="72"/>
        </w:rPr>
      </w:pPr>
    </w:p>
    <w:p w14:paraId="04C06BFE">
      <w:pPr>
        <w:jc w:val="center"/>
        <w:rPr>
          <w:sz w:val="72"/>
          <w:szCs w:val="72"/>
        </w:rPr>
      </w:pPr>
    </w:p>
    <w:p w14:paraId="5233C141">
      <w:pPr>
        <w:jc w:val="center"/>
        <w:rPr>
          <w:sz w:val="72"/>
          <w:szCs w:val="72"/>
        </w:rPr>
      </w:pPr>
    </w:p>
    <w:p w14:paraId="0C9308D1">
      <w:pPr>
        <w:jc w:val="center"/>
        <w:rPr>
          <w:sz w:val="72"/>
          <w:szCs w:val="72"/>
        </w:rPr>
      </w:pPr>
    </w:p>
    <w:p w14:paraId="45D1A29F">
      <w:pPr>
        <w:pStyle w:val="10"/>
        <w:ind w:left="720" w:firstLine="0" w:firstLineChars="0"/>
        <w:jc w:val="left"/>
        <w:rPr>
          <w:rFonts w:ascii="黑体" w:hAnsi="黑体" w:eastAsia="黑体"/>
          <w:sz w:val="32"/>
          <w:szCs w:val="32"/>
        </w:rPr>
      </w:pPr>
    </w:p>
    <w:p w14:paraId="36567C6E">
      <w:pPr>
        <w:pStyle w:val="10"/>
        <w:ind w:left="720" w:firstLine="0" w:firstLineChars="0"/>
        <w:jc w:val="left"/>
        <w:rPr>
          <w:rFonts w:ascii="黑体" w:hAnsi="黑体" w:eastAsia="黑体"/>
          <w:sz w:val="32"/>
          <w:szCs w:val="32"/>
        </w:rPr>
      </w:pPr>
    </w:p>
    <w:p w14:paraId="2DE6DFB8">
      <w:pPr>
        <w:pStyle w:val="10"/>
        <w:ind w:left="720" w:firstLine="0" w:firstLineChars="0"/>
        <w:jc w:val="left"/>
        <w:rPr>
          <w:rFonts w:ascii="黑体" w:hAnsi="黑体" w:eastAsia="黑体"/>
          <w:sz w:val="32"/>
          <w:szCs w:val="32"/>
        </w:rPr>
      </w:pPr>
    </w:p>
    <w:p w14:paraId="1451598B">
      <w:pPr>
        <w:pStyle w:val="10"/>
        <w:ind w:left="720" w:firstLine="0" w:firstLineChars="0"/>
        <w:jc w:val="left"/>
        <w:rPr>
          <w:rFonts w:ascii="黑体" w:hAnsi="黑体" w:eastAsia="黑体"/>
          <w:sz w:val="32"/>
          <w:szCs w:val="32"/>
        </w:rPr>
      </w:pPr>
    </w:p>
    <w:p w14:paraId="7396A469">
      <w:pPr>
        <w:pStyle w:val="10"/>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06E2F33A">
      <w:pPr>
        <w:widowControl/>
        <w:numPr>
          <w:ilvl w:val="0"/>
          <w:numId w:val="2"/>
        </w:numPr>
        <w:spacing w:line="600" w:lineRule="exact"/>
        <w:ind w:firstLine="640" w:firstLineChars="200"/>
        <w:rPr>
          <w:rFonts w:hint="eastAsia" w:ascii="仿宋" w:hAnsi="仿宋" w:eastAsia="仿宋" w:cs="仿宋"/>
          <w:color w:val="000000"/>
          <w:kern w:val="0"/>
          <w:sz w:val="32"/>
          <w:szCs w:val="32"/>
        </w:rPr>
      </w:pPr>
      <w:bookmarkStart w:id="0" w:name="OLE_LINK4"/>
      <w:r>
        <w:rPr>
          <w:rFonts w:hint="eastAsia" w:ascii="仿宋" w:hAnsi="仿宋" w:eastAsia="仿宋" w:cs="仿宋"/>
          <w:color w:val="000000"/>
          <w:kern w:val="0"/>
          <w:sz w:val="32"/>
          <w:szCs w:val="32"/>
        </w:rPr>
        <w:t xml:space="preserve">负责指导全县旅游资源合理开发与利用；指导全县旅游产品开发；负责培训和完善旅游市场，开拓国际国内市场；负责指导旅游教育、培训；负责全县旅游统计和行业信息发布等。  </w:t>
      </w:r>
    </w:p>
    <w:p w14:paraId="6316F9C8">
      <w:pPr>
        <w:widowControl/>
        <w:numPr>
          <w:ilvl w:val="0"/>
          <w:numId w:val="0"/>
        </w:numPr>
        <w:spacing w:line="600" w:lineRule="exact"/>
        <w:rPr>
          <w:rFonts w:hint="eastAsia" w:ascii="仿宋" w:hAnsi="仿宋" w:eastAsia="仿宋" w:cs="仿宋"/>
          <w:color w:val="000000"/>
          <w:kern w:val="0"/>
          <w:sz w:val="32"/>
          <w:szCs w:val="32"/>
        </w:rPr>
      </w:pPr>
    </w:p>
    <w:bookmarkEnd w:id="0"/>
    <w:p w14:paraId="7281AE85">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4A966309">
      <w:pPr>
        <w:widowControl/>
        <w:spacing w:line="600" w:lineRule="exact"/>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（一）内设机构设置。岳阳县</w:t>
      </w:r>
      <w:r>
        <w:rPr>
          <w:rFonts w:hint="eastAsia" w:ascii="仿宋" w:hAnsi="仿宋" w:eastAsia="仿宋" w:cs="仿宋"/>
          <w:color w:val="000000"/>
          <w:kern w:val="0"/>
          <w:sz w:val="32"/>
          <w:szCs w:val="32"/>
          <w:lang w:val="en-US" w:eastAsia="zh-CN"/>
        </w:rPr>
        <w:t>旅游开发中心</w:t>
      </w:r>
      <w:r>
        <w:rPr>
          <w:rFonts w:hint="eastAsia" w:ascii="仿宋" w:hAnsi="仿宋" w:eastAsia="仿宋" w:cs="仿宋"/>
          <w:color w:val="000000"/>
          <w:kern w:val="0"/>
          <w:sz w:val="32"/>
          <w:szCs w:val="32"/>
        </w:rPr>
        <w:t>属</w:t>
      </w:r>
      <w:r>
        <w:rPr>
          <w:rFonts w:hint="eastAsia" w:ascii="仿宋" w:hAnsi="仿宋" w:eastAsia="仿宋" w:cs="仿宋"/>
          <w:color w:val="000000"/>
          <w:kern w:val="0"/>
          <w:sz w:val="32"/>
          <w:szCs w:val="32"/>
          <w:lang w:val="en-US" w:eastAsia="zh-CN"/>
        </w:rPr>
        <w:t>副科级公益一类</w:t>
      </w:r>
      <w:r>
        <w:rPr>
          <w:rFonts w:hint="eastAsia" w:ascii="仿宋" w:hAnsi="仿宋" w:eastAsia="仿宋" w:cs="仿宋"/>
          <w:color w:val="000000"/>
          <w:kern w:val="0"/>
          <w:sz w:val="32"/>
          <w:szCs w:val="32"/>
        </w:rPr>
        <w:t>事业单位，在职在编人数</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val="en-US" w:eastAsia="zh-CN"/>
        </w:rPr>
        <w:t>无退休人员。</w:t>
      </w:r>
    </w:p>
    <w:p w14:paraId="4C72B40E">
      <w:pPr>
        <w:widowControl/>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（二）决算单位构成。本单位没有所属二级机构，因此</w:t>
      </w:r>
      <w:r>
        <w:rPr>
          <w:rFonts w:hint="eastAsia" w:ascii="仿宋" w:hAnsi="仿宋" w:eastAsia="仿宋" w:cs="仿宋"/>
          <w:color w:val="000000"/>
          <w:kern w:val="0"/>
          <w:sz w:val="32"/>
          <w:szCs w:val="32"/>
          <w:lang w:eastAsia="zh-CN"/>
        </w:rPr>
        <w:t>本</w:t>
      </w:r>
      <w:r>
        <w:rPr>
          <w:rFonts w:hint="eastAsia" w:ascii="仿宋" w:hAnsi="仿宋" w:eastAsia="仿宋" w:cs="仿宋"/>
          <w:color w:val="000000"/>
          <w:kern w:val="0"/>
          <w:sz w:val="32"/>
          <w:szCs w:val="32"/>
        </w:rPr>
        <w:t>年度部门预算仅为本级部门预算。</w:t>
      </w:r>
    </w:p>
    <w:p w14:paraId="6CFBA7A0">
      <w:pPr>
        <w:widowControl/>
        <w:spacing w:line="600" w:lineRule="exact"/>
        <w:rPr>
          <w:rFonts w:asciiTheme="minorEastAsia" w:hAnsiTheme="minorEastAsia"/>
          <w:bCs/>
          <w:kern w:val="0"/>
          <w:sz w:val="32"/>
          <w:szCs w:val="32"/>
        </w:rPr>
      </w:pPr>
    </w:p>
    <w:p w14:paraId="4F864F7F">
      <w:pPr>
        <w:jc w:val="left"/>
        <w:rPr>
          <w:rFonts w:ascii="仿宋_GB2312" w:eastAsia="仿宋_GB2312" w:hAnsiTheme="minorEastAsia"/>
          <w:sz w:val="28"/>
          <w:szCs w:val="32"/>
        </w:rPr>
      </w:pPr>
    </w:p>
    <w:p w14:paraId="17740F56">
      <w:pPr>
        <w:jc w:val="center"/>
        <w:rPr>
          <w:rFonts w:ascii="黑体" w:hAnsi="黑体" w:eastAsia="黑体"/>
          <w:sz w:val="28"/>
          <w:szCs w:val="28"/>
        </w:rPr>
      </w:pPr>
    </w:p>
    <w:p w14:paraId="27D97102">
      <w:pPr>
        <w:jc w:val="center"/>
        <w:rPr>
          <w:rFonts w:ascii="黑体" w:hAnsi="黑体" w:eastAsia="黑体"/>
          <w:sz w:val="28"/>
          <w:szCs w:val="28"/>
        </w:rPr>
      </w:pPr>
    </w:p>
    <w:p w14:paraId="627C53A7">
      <w:pPr>
        <w:jc w:val="center"/>
        <w:rPr>
          <w:rFonts w:ascii="黑体" w:hAnsi="黑体" w:eastAsia="黑体"/>
          <w:sz w:val="28"/>
          <w:szCs w:val="28"/>
        </w:rPr>
      </w:pPr>
    </w:p>
    <w:p w14:paraId="1ECC1F15">
      <w:pPr>
        <w:jc w:val="center"/>
        <w:rPr>
          <w:rFonts w:ascii="黑体" w:hAnsi="黑体" w:eastAsia="黑体"/>
          <w:sz w:val="28"/>
          <w:szCs w:val="28"/>
        </w:rPr>
      </w:pPr>
    </w:p>
    <w:p w14:paraId="76019E65">
      <w:pPr>
        <w:jc w:val="center"/>
        <w:rPr>
          <w:rFonts w:ascii="黑体" w:hAnsi="黑体" w:eastAsia="黑体"/>
          <w:sz w:val="28"/>
          <w:szCs w:val="28"/>
        </w:rPr>
      </w:pPr>
    </w:p>
    <w:p w14:paraId="7C1EF627">
      <w:pPr>
        <w:jc w:val="center"/>
        <w:rPr>
          <w:rFonts w:ascii="黑体" w:hAnsi="黑体" w:eastAsia="黑体"/>
          <w:sz w:val="28"/>
          <w:szCs w:val="28"/>
        </w:rPr>
      </w:pPr>
    </w:p>
    <w:p w14:paraId="4EC138A7">
      <w:pPr>
        <w:jc w:val="center"/>
        <w:rPr>
          <w:rFonts w:ascii="黑体" w:hAnsi="黑体" w:eastAsia="黑体"/>
          <w:sz w:val="28"/>
          <w:szCs w:val="28"/>
        </w:rPr>
      </w:pPr>
    </w:p>
    <w:p w14:paraId="03A0B601">
      <w:pPr>
        <w:jc w:val="center"/>
        <w:rPr>
          <w:rFonts w:ascii="黑体" w:hAnsi="黑体" w:eastAsia="黑体"/>
          <w:sz w:val="28"/>
          <w:szCs w:val="28"/>
        </w:rPr>
      </w:pPr>
    </w:p>
    <w:p w14:paraId="0D764B1D">
      <w:pPr>
        <w:jc w:val="center"/>
        <w:rPr>
          <w:rFonts w:ascii="黑体" w:hAnsi="黑体" w:eastAsia="黑体"/>
          <w:sz w:val="28"/>
          <w:szCs w:val="28"/>
        </w:rPr>
      </w:pPr>
    </w:p>
    <w:p w14:paraId="33E94A7E">
      <w:pPr>
        <w:jc w:val="center"/>
        <w:rPr>
          <w:rFonts w:ascii="黑体" w:hAnsi="黑体" w:eastAsia="黑体"/>
          <w:sz w:val="28"/>
          <w:szCs w:val="28"/>
        </w:rPr>
      </w:pPr>
    </w:p>
    <w:p w14:paraId="175EBA3F">
      <w:pPr>
        <w:jc w:val="center"/>
        <w:rPr>
          <w:rFonts w:ascii="黑体" w:hAnsi="黑体" w:eastAsia="黑体"/>
          <w:sz w:val="28"/>
          <w:szCs w:val="28"/>
        </w:rPr>
      </w:pPr>
    </w:p>
    <w:p w14:paraId="7044D258">
      <w:pPr>
        <w:jc w:val="center"/>
        <w:rPr>
          <w:rFonts w:ascii="黑体" w:hAnsi="黑体" w:eastAsia="黑体"/>
          <w:sz w:val="28"/>
          <w:szCs w:val="28"/>
        </w:rPr>
      </w:pPr>
    </w:p>
    <w:p w14:paraId="4C11B6C0">
      <w:pPr>
        <w:jc w:val="center"/>
        <w:rPr>
          <w:sz w:val="72"/>
          <w:szCs w:val="72"/>
        </w:rPr>
      </w:pPr>
    </w:p>
    <w:p w14:paraId="02197381">
      <w:pPr>
        <w:jc w:val="center"/>
        <w:rPr>
          <w:sz w:val="72"/>
          <w:szCs w:val="72"/>
        </w:rPr>
      </w:pPr>
    </w:p>
    <w:p w14:paraId="71432FDE">
      <w:pPr>
        <w:jc w:val="center"/>
        <w:rPr>
          <w:sz w:val="72"/>
          <w:szCs w:val="72"/>
        </w:rPr>
      </w:pPr>
    </w:p>
    <w:p w14:paraId="4340FE76">
      <w:pPr>
        <w:jc w:val="center"/>
        <w:rPr>
          <w:sz w:val="72"/>
          <w:szCs w:val="72"/>
        </w:rPr>
      </w:pPr>
    </w:p>
    <w:p w14:paraId="52C5F913">
      <w:pPr>
        <w:jc w:val="center"/>
        <w:rPr>
          <w:sz w:val="72"/>
          <w:szCs w:val="72"/>
        </w:rPr>
      </w:pPr>
    </w:p>
    <w:p w14:paraId="7A7EBB69">
      <w:pPr>
        <w:pStyle w:val="9"/>
        <w:jc w:val="center"/>
        <w:rPr>
          <w:rFonts w:hint="eastAsia"/>
          <w:sz w:val="72"/>
          <w:szCs w:val="72"/>
        </w:rPr>
      </w:pPr>
      <w:r>
        <w:rPr>
          <w:rFonts w:hint="eastAsia"/>
          <w:sz w:val="72"/>
          <w:szCs w:val="72"/>
        </w:rPr>
        <w:t>第二部分</w:t>
      </w:r>
    </w:p>
    <w:p w14:paraId="2B5D3639">
      <w:pPr>
        <w:jc w:val="center"/>
        <w:rPr>
          <w:sz w:val="72"/>
          <w:szCs w:val="72"/>
        </w:rPr>
      </w:pPr>
    </w:p>
    <w:p w14:paraId="0855288B">
      <w:pPr>
        <w:keepNext/>
        <w:keepLines/>
        <w:ind w:firstLine="1454" w:firstLineChars="404"/>
        <w:rPr>
          <w:rFonts w:hint="eastAsia" w:ascii="黑体" w:hAnsi="黑体" w:eastAsia="黑体"/>
          <w:color w:val="auto"/>
          <w:sz w:val="36"/>
          <w:szCs w:val="36"/>
          <w:highlight w:val="white"/>
          <w:lang w:val="en-US" w:eastAsia="zh-CN"/>
        </w:rPr>
      </w:pPr>
      <w:r>
        <w:rPr>
          <w:rFonts w:hint="eastAsia" w:ascii="黑体" w:hAnsi="黑体" w:eastAsia="黑体"/>
          <w:color w:val="auto"/>
          <w:sz w:val="36"/>
          <w:szCs w:val="36"/>
          <w:highlight w:val="white"/>
          <w:lang w:val="zh-CN"/>
        </w:rPr>
        <w:t>岳阳县</w:t>
      </w:r>
      <w:r>
        <w:rPr>
          <w:rFonts w:hint="eastAsia" w:ascii="黑体" w:hAnsi="黑体" w:eastAsia="黑体"/>
          <w:color w:val="auto"/>
          <w:sz w:val="36"/>
          <w:szCs w:val="36"/>
          <w:highlight w:val="white"/>
          <w:lang w:val="en-US" w:eastAsia="zh-CN"/>
        </w:rPr>
        <w:t>旅游开发中心</w:t>
      </w:r>
      <w:r>
        <w:rPr>
          <w:rFonts w:hint="eastAsia" w:ascii="黑体" w:hAnsi="黑体" w:eastAsia="黑体"/>
          <w:color w:val="auto"/>
          <w:sz w:val="36"/>
          <w:szCs w:val="36"/>
          <w:highlight w:val="white"/>
          <w:lang w:val="en-US"/>
        </w:rPr>
        <w:t>2020年度部门决算表（见附表）</w:t>
      </w:r>
    </w:p>
    <w:p w14:paraId="1F56F96B">
      <w:pPr>
        <w:jc w:val="center"/>
        <w:rPr>
          <w:sz w:val="72"/>
          <w:szCs w:val="72"/>
        </w:rPr>
      </w:pPr>
    </w:p>
    <w:p w14:paraId="5E4155D5">
      <w:pPr>
        <w:jc w:val="center"/>
        <w:rPr>
          <w:sz w:val="72"/>
          <w:szCs w:val="72"/>
        </w:rPr>
      </w:pPr>
    </w:p>
    <w:p w14:paraId="182CC5F8">
      <w:pPr>
        <w:jc w:val="center"/>
        <w:rPr>
          <w:sz w:val="72"/>
          <w:szCs w:val="72"/>
        </w:rPr>
      </w:pPr>
    </w:p>
    <w:p w14:paraId="6723E50A">
      <w:pPr>
        <w:jc w:val="center"/>
        <w:rPr>
          <w:sz w:val="72"/>
          <w:szCs w:val="72"/>
        </w:rPr>
      </w:pPr>
    </w:p>
    <w:p w14:paraId="536CAE94">
      <w:pPr>
        <w:jc w:val="center"/>
        <w:rPr>
          <w:sz w:val="72"/>
          <w:szCs w:val="72"/>
        </w:rPr>
      </w:pPr>
    </w:p>
    <w:p w14:paraId="3A90AC67">
      <w:pPr>
        <w:jc w:val="center"/>
        <w:rPr>
          <w:sz w:val="72"/>
          <w:szCs w:val="72"/>
        </w:rPr>
      </w:pPr>
    </w:p>
    <w:p w14:paraId="3B235A6B">
      <w:pPr>
        <w:jc w:val="left"/>
        <w:rPr>
          <w:sz w:val="32"/>
          <w:szCs w:val="32"/>
        </w:rPr>
      </w:pPr>
    </w:p>
    <w:p w14:paraId="4AEB7546">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14:paraId="263DCD02">
      <w:pPr>
        <w:pStyle w:val="9"/>
        <w:jc w:val="center"/>
        <w:rPr>
          <w:sz w:val="72"/>
          <w:szCs w:val="72"/>
        </w:rPr>
      </w:pPr>
    </w:p>
    <w:p w14:paraId="0A0EB4F2">
      <w:pPr>
        <w:pStyle w:val="9"/>
        <w:jc w:val="center"/>
        <w:rPr>
          <w:sz w:val="72"/>
          <w:szCs w:val="72"/>
        </w:rPr>
      </w:pPr>
    </w:p>
    <w:p w14:paraId="1AE21641">
      <w:pPr>
        <w:pStyle w:val="9"/>
        <w:jc w:val="center"/>
        <w:rPr>
          <w:sz w:val="72"/>
          <w:szCs w:val="72"/>
        </w:rPr>
      </w:pPr>
    </w:p>
    <w:p w14:paraId="6BF66051">
      <w:pPr>
        <w:pStyle w:val="9"/>
        <w:jc w:val="center"/>
        <w:rPr>
          <w:sz w:val="72"/>
          <w:szCs w:val="72"/>
        </w:rPr>
      </w:pPr>
    </w:p>
    <w:p w14:paraId="1362B53B">
      <w:pPr>
        <w:pStyle w:val="9"/>
        <w:jc w:val="center"/>
        <w:rPr>
          <w:sz w:val="72"/>
          <w:szCs w:val="72"/>
        </w:rPr>
      </w:pPr>
    </w:p>
    <w:p w14:paraId="5C64B315">
      <w:pPr>
        <w:pStyle w:val="9"/>
        <w:jc w:val="center"/>
        <w:rPr>
          <w:sz w:val="72"/>
          <w:szCs w:val="72"/>
        </w:rPr>
      </w:pPr>
      <w:r>
        <w:rPr>
          <w:rFonts w:hint="eastAsia"/>
          <w:sz w:val="72"/>
          <w:szCs w:val="72"/>
        </w:rPr>
        <w:t>第三部分</w:t>
      </w:r>
    </w:p>
    <w:p w14:paraId="7ACB2002">
      <w:pPr>
        <w:pStyle w:val="9"/>
        <w:jc w:val="center"/>
        <w:rPr>
          <w:sz w:val="70"/>
          <w:szCs w:val="70"/>
        </w:rPr>
      </w:pPr>
    </w:p>
    <w:p w14:paraId="60DAB235">
      <w:pPr>
        <w:pStyle w:val="9"/>
        <w:jc w:val="center"/>
        <w:rPr>
          <w:sz w:val="70"/>
          <w:szCs w:val="70"/>
        </w:rPr>
      </w:pPr>
      <w:r>
        <w:rPr>
          <w:sz w:val="70"/>
          <w:szCs w:val="70"/>
        </w:rPr>
        <w:t>20</w:t>
      </w:r>
      <w:r>
        <w:rPr>
          <w:rFonts w:hint="eastAsia"/>
          <w:sz w:val="70"/>
          <w:szCs w:val="70"/>
        </w:rPr>
        <w:t>20年度部门决算情况说明</w:t>
      </w:r>
    </w:p>
    <w:p w14:paraId="2D7164DD">
      <w:pPr>
        <w:widowControl/>
        <w:jc w:val="left"/>
        <w:rPr>
          <w:rFonts w:ascii="黑体" w:eastAsia="黑体" w:cs="黑体"/>
          <w:color w:val="000000"/>
          <w:kern w:val="0"/>
          <w:sz w:val="70"/>
          <w:szCs w:val="70"/>
        </w:rPr>
      </w:pPr>
      <w:r>
        <w:rPr>
          <w:sz w:val="70"/>
          <w:szCs w:val="70"/>
        </w:rPr>
        <w:br w:type="page"/>
      </w:r>
    </w:p>
    <w:p w14:paraId="182C80B7">
      <w:pPr>
        <w:pStyle w:val="9"/>
        <w:rPr>
          <w:rFonts w:hAnsi="黑体"/>
          <w:b/>
          <w:sz w:val="32"/>
          <w:szCs w:val="32"/>
        </w:rPr>
      </w:pPr>
      <w:r>
        <w:rPr>
          <w:rFonts w:hint="eastAsia" w:hAnsi="黑体"/>
          <w:b/>
          <w:sz w:val="32"/>
          <w:szCs w:val="32"/>
        </w:rPr>
        <w:t>一、收入支出决算总体情况说明</w:t>
      </w:r>
    </w:p>
    <w:p w14:paraId="4AC9ADA8">
      <w:pPr>
        <w:widowControl/>
        <w:spacing w:line="600" w:lineRule="exact"/>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lang w:val="zh-CN"/>
        </w:rPr>
        <w:t>年度收</w:t>
      </w:r>
      <w:r>
        <w:rPr>
          <w:rFonts w:hint="eastAsia" w:ascii="仿宋" w:hAnsi="仿宋" w:eastAsia="仿宋" w:cs="仿宋"/>
          <w:kern w:val="0"/>
          <w:sz w:val="32"/>
          <w:szCs w:val="32"/>
          <w:lang w:val="en-US" w:eastAsia="zh-CN"/>
        </w:rPr>
        <w:t>入</w:t>
      </w:r>
      <w:r>
        <w:rPr>
          <w:rFonts w:hint="eastAsia" w:ascii="仿宋" w:hAnsi="仿宋" w:eastAsia="仿宋" w:cs="仿宋"/>
          <w:kern w:val="0"/>
          <w:sz w:val="32"/>
          <w:szCs w:val="32"/>
          <w:lang w:val="zh-CN"/>
        </w:rPr>
        <w:t>总计</w:t>
      </w:r>
      <w:bookmarkStart w:id="1" w:name="OLE_LINK1"/>
      <w:bookmarkStart w:id="2" w:name="OLE_LINK5"/>
      <w:r>
        <w:rPr>
          <w:rFonts w:hint="eastAsia" w:ascii="仿宋" w:hAnsi="仿宋" w:eastAsia="仿宋" w:cs="仿宋"/>
          <w:kern w:val="0"/>
          <w:sz w:val="32"/>
          <w:szCs w:val="32"/>
          <w:lang w:val="en-US" w:eastAsia="zh-CN"/>
        </w:rPr>
        <w:t>158.93万</w:t>
      </w:r>
      <w:r>
        <w:rPr>
          <w:rFonts w:hint="eastAsia" w:ascii="仿宋" w:hAnsi="仿宋" w:eastAsia="仿宋" w:cs="仿宋"/>
          <w:kern w:val="0"/>
          <w:sz w:val="32"/>
          <w:szCs w:val="32"/>
          <w:lang w:val="zh-CN" w:eastAsia="zh-CN"/>
        </w:rPr>
        <w:t>元</w:t>
      </w:r>
      <w:bookmarkEnd w:id="1"/>
      <w:bookmarkStart w:id="3" w:name="OLE_LINK6"/>
      <w:r>
        <w:rPr>
          <w:rFonts w:hint="eastAsia" w:ascii="仿宋" w:hAnsi="仿宋" w:eastAsia="仿宋" w:cs="仿宋"/>
          <w:kern w:val="0"/>
          <w:sz w:val="32"/>
          <w:szCs w:val="32"/>
          <w:lang w:val="zh-CN" w:eastAsia="zh-CN"/>
        </w:rPr>
        <w:t>（</w:t>
      </w:r>
      <w:r>
        <w:rPr>
          <w:rFonts w:hint="eastAsia" w:ascii="仿宋" w:hAnsi="仿宋" w:eastAsia="仿宋" w:cs="仿宋"/>
          <w:kern w:val="0"/>
          <w:sz w:val="32"/>
          <w:szCs w:val="32"/>
          <w:lang w:val="en-US" w:eastAsia="zh-CN"/>
        </w:rPr>
        <w:t>含年初结转和结余资金17.21万元）</w:t>
      </w:r>
      <w:bookmarkEnd w:id="3"/>
      <w:r>
        <w:rPr>
          <w:rFonts w:hint="eastAsia" w:ascii="仿宋" w:hAnsi="仿宋" w:eastAsia="仿宋" w:cs="仿宋"/>
          <w:kern w:val="0"/>
          <w:sz w:val="32"/>
          <w:szCs w:val="32"/>
          <w:lang w:val="en-US" w:eastAsia="zh-CN"/>
        </w:rPr>
        <w:t>，</w:t>
      </w:r>
      <w:bookmarkEnd w:id="2"/>
      <w:r>
        <w:rPr>
          <w:rFonts w:hint="eastAsia" w:ascii="仿宋" w:hAnsi="仿宋" w:eastAsia="仿宋" w:cs="仿宋"/>
          <w:kern w:val="0"/>
          <w:sz w:val="32"/>
          <w:szCs w:val="32"/>
          <w:lang w:val="zh-CN" w:eastAsia="zh-CN"/>
        </w:rPr>
        <w:t>与201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lang w:val="zh-CN" w:eastAsia="zh-CN"/>
        </w:rPr>
        <w:t>年收</w:t>
      </w:r>
      <w:r>
        <w:rPr>
          <w:rFonts w:hint="eastAsia" w:ascii="仿宋" w:hAnsi="仿宋" w:eastAsia="仿宋" w:cs="仿宋"/>
          <w:kern w:val="0"/>
          <w:sz w:val="32"/>
          <w:szCs w:val="32"/>
          <w:lang w:val="en-US" w:eastAsia="zh-CN"/>
        </w:rPr>
        <w:t>入122.58万元</w:t>
      </w:r>
      <w:r>
        <w:rPr>
          <w:rFonts w:hint="eastAsia" w:ascii="仿宋" w:hAnsi="仿宋" w:eastAsia="仿宋" w:cs="仿宋"/>
          <w:kern w:val="0"/>
          <w:sz w:val="32"/>
          <w:szCs w:val="32"/>
          <w:lang w:val="zh-CN"/>
        </w:rPr>
        <w:t>相比收</w:t>
      </w:r>
      <w:r>
        <w:rPr>
          <w:rFonts w:hint="eastAsia" w:ascii="仿宋" w:hAnsi="仿宋" w:eastAsia="仿宋" w:cs="仿宋"/>
          <w:kern w:val="0"/>
          <w:sz w:val="32"/>
          <w:szCs w:val="32"/>
          <w:lang w:val="en-US" w:eastAsia="zh-CN"/>
        </w:rPr>
        <w:t>入增加36.35</w:t>
      </w:r>
      <w:r>
        <w:rPr>
          <w:rFonts w:hint="eastAsia" w:ascii="仿宋" w:hAnsi="仿宋" w:eastAsia="仿宋" w:cs="仿宋"/>
          <w:kern w:val="0"/>
          <w:sz w:val="32"/>
          <w:szCs w:val="32"/>
          <w:lang w:val="zh-CN"/>
        </w:rPr>
        <w:t>万元，</w:t>
      </w:r>
      <w:r>
        <w:rPr>
          <w:rFonts w:hint="eastAsia" w:ascii="仿宋" w:hAnsi="仿宋" w:eastAsia="仿宋" w:cs="仿宋"/>
          <w:kern w:val="0"/>
          <w:sz w:val="32"/>
          <w:szCs w:val="32"/>
          <w:lang w:val="en-US" w:eastAsia="zh-CN"/>
        </w:rPr>
        <w:t>增加30</w:t>
      </w: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主要原因是旅游营销活动经费增加</w:t>
      </w:r>
      <w:r>
        <w:rPr>
          <w:rFonts w:hint="eastAsia" w:ascii="仿宋" w:hAnsi="仿宋" w:eastAsia="仿宋" w:cs="仿宋"/>
          <w:kern w:val="0"/>
          <w:sz w:val="32"/>
          <w:szCs w:val="32"/>
          <w:lang w:val="zh-CN"/>
        </w:rPr>
        <w:t>。</w:t>
      </w:r>
    </w:p>
    <w:p w14:paraId="192F7A6B">
      <w:pPr>
        <w:widowControl/>
        <w:spacing w:line="600" w:lineRule="exact"/>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2020年支出</w:t>
      </w:r>
      <w:r>
        <w:rPr>
          <w:rFonts w:hint="eastAsia" w:ascii="仿宋" w:hAnsi="仿宋" w:eastAsia="仿宋" w:cs="仿宋"/>
          <w:kern w:val="0"/>
          <w:sz w:val="32"/>
          <w:szCs w:val="32"/>
          <w:lang w:val="zh-CN" w:eastAsia="zh-CN"/>
        </w:rPr>
        <w:t>总计</w:t>
      </w:r>
      <w:r>
        <w:rPr>
          <w:rFonts w:hint="eastAsia" w:ascii="仿宋" w:hAnsi="仿宋" w:eastAsia="仿宋" w:cs="仿宋"/>
          <w:kern w:val="0"/>
          <w:sz w:val="32"/>
          <w:szCs w:val="32"/>
          <w:lang w:val="en-US" w:eastAsia="zh-CN"/>
        </w:rPr>
        <w:t>158.93万元（含年末结转和结余资金22.76万元）,</w:t>
      </w:r>
      <w:r>
        <w:rPr>
          <w:rFonts w:hint="eastAsia" w:ascii="仿宋" w:hAnsi="仿宋" w:eastAsia="仿宋" w:cs="仿宋"/>
          <w:kern w:val="0"/>
          <w:sz w:val="32"/>
          <w:szCs w:val="32"/>
          <w:lang w:val="zh-CN" w:eastAsia="zh-CN"/>
        </w:rPr>
        <w:t>与</w:t>
      </w:r>
      <w:r>
        <w:rPr>
          <w:rFonts w:hint="eastAsia" w:ascii="仿宋" w:hAnsi="仿宋" w:eastAsia="仿宋" w:cs="仿宋"/>
          <w:kern w:val="0"/>
          <w:sz w:val="32"/>
          <w:szCs w:val="32"/>
          <w:lang w:val="en-US" w:eastAsia="zh-CN"/>
        </w:rPr>
        <w:t>2019年支出194.62万元相比减少35.69万元减少18</w:t>
      </w:r>
      <w:r>
        <w:rPr>
          <w:rFonts w:hint="eastAsia" w:ascii="仿宋" w:hAnsi="仿宋" w:eastAsia="仿宋" w:cs="仿宋"/>
          <w:kern w:val="0"/>
          <w:sz w:val="32"/>
          <w:szCs w:val="32"/>
          <w:lang w:val="zh-CN"/>
        </w:rPr>
        <w:t>%；主要原因是20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lang w:val="zh-CN"/>
        </w:rPr>
        <w:t>年度压缩日常行政运行经费和项目行政运行。</w:t>
      </w:r>
      <w:r>
        <w:rPr>
          <w:rFonts w:hint="eastAsia" w:ascii="仿宋" w:hAnsi="仿宋" w:eastAsia="仿宋" w:cs="仿宋"/>
          <w:kern w:val="0"/>
          <w:sz w:val="32"/>
          <w:szCs w:val="32"/>
          <w:lang w:val="en-US" w:eastAsia="zh-CN"/>
        </w:rPr>
        <w:t>结余资金22.76万元。</w:t>
      </w:r>
    </w:p>
    <w:p w14:paraId="7D3C6CEB">
      <w:pPr>
        <w:pStyle w:val="9"/>
        <w:rPr>
          <w:rFonts w:hAnsi="黑体"/>
          <w:b/>
          <w:sz w:val="32"/>
          <w:szCs w:val="32"/>
        </w:rPr>
      </w:pPr>
      <w:r>
        <w:rPr>
          <w:rFonts w:hint="eastAsia" w:hAnsi="黑体"/>
          <w:b/>
          <w:sz w:val="32"/>
          <w:szCs w:val="32"/>
        </w:rPr>
        <w:t>二、收入决算情况说明</w:t>
      </w:r>
    </w:p>
    <w:p w14:paraId="5413F4AC">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w:t>
      </w:r>
      <w:r>
        <w:rPr>
          <w:rFonts w:hint="eastAsia" w:ascii="仿宋" w:hAnsi="仿宋" w:eastAsia="仿宋" w:cs="仿宋"/>
          <w:kern w:val="0"/>
          <w:sz w:val="32"/>
          <w:szCs w:val="32"/>
          <w:lang w:val="zh-CN" w:eastAsia="zh-CN"/>
        </w:rPr>
        <w:t>年收入</w:t>
      </w:r>
      <w:r>
        <w:rPr>
          <w:rFonts w:hint="eastAsia" w:ascii="仿宋" w:hAnsi="仿宋" w:eastAsia="仿宋" w:cs="仿宋"/>
          <w:kern w:val="0"/>
          <w:sz w:val="32"/>
          <w:szCs w:val="32"/>
          <w:lang w:val="en-US" w:eastAsia="zh-CN"/>
        </w:rPr>
        <w:t>141.72万</w:t>
      </w:r>
      <w:r>
        <w:rPr>
          <w:rFonts w:hint="eastAsia" w:ascii="仿宋" w:hAnsi="仿宋" w:eastAsia="仿宋" w:cs="仿宋"/>
          <w:kern w:val="0"/>
          <w:sz w:val="32"/>
          <w:szCs w:val="32"/>
          <w:lang w:val="zh-CN" w:eastAsia="zh-CN"/>
        </w:rPr>
        <w:t>元（</w:t>
      </w:r>
      <w:r>
        <w:rPr>
          <w:rFonts w:hint="eastAsia" w:ascii="仿宋" w:hAnsi="仿宋" w:eastAsia="仿宋" w:cs="仿宋"/>
          <w:kern w:val="0"/>
          <w:sz w:val="32"/>
          <w:szCs w:val="32"/>
          <w:lang w:val="en-US" w:eastAsia="zh-CN"/>
        </w:rPr>
        <w:t>不含年初结转和结余资金17.21万元）</w:t>
      </w:r>
      <w:r>
        <w:rPr>
          <w:rFonts w:hint="eastAsia" w:ascii="仿宋" w:hAnsi="仿宋" w:eastAsia="仿宋" w:cs="仿宋"/>
          <w:kern w:val="0"/>
          <w:sz w:val="32"/>
          <w:szCs w:val="32"/>
          <w:lang w:val="zh-CN" w:eastAsia="zh-CN"/>
        </w:rPr>
        <w:t>，其中：</w:t>
      </w:r>
      <w:r>
        <w:rPr>
          <w:rFonts w:hint="eastAsia" w:ascii="仿宋" w:hAnsi="仿宋" w:eastAsia="仿宋" w:cs="仿宋"/>
          <w:kern w:val="0"/>
          <w:sz w:val="32"/>
          <w:szCs w:val="32"/>
          <w:lang w:val="en-US" w:eastAsia="zh-CN"/>
        </w:rPr>
        <w:t>财政拨款收入（不含年初财政拨款结转和结余资金）119.92万元，占本年总收入84.6</w:t>
      </w:r>
      <w:r>
        <w:rPr>
          <w:rFonts w:hint="eastAsia" w:ascii="仿宋" w:hAnsi="仿宋" w:eastAsia="仿宋" w:cs="仿宋"/>
          <w:kern w:val="0"/>
          <w:sz w:val="32"/>
          <w:szCs w:val="32"/>
          <w:lang w:val="zh-CN" w:eastAsia="zh-CN"/>
        </w:rPr>
        <w:t>%；上级补助收入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%；事业收入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%；经营收入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%；附属单位上缴收入</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万元，占</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eastAsia="zh-CN"/>
        </w:rPr>
        <w:t>%；其他收入</w:t>
      </w:r>
      <w:r>
        <w:rPr>
          <w:rFonts w:hint="eastAsia" w:ascii="仿宋" w:hAnsi="仿宋" w:eastAsia="仿宋" w:cs="仿宋"/>
          <w:kern w:val="0"/>
          <w:sz w:val="32"/>
          <w:szCs w:val="32"/>
          <w:lang w:val="en-US" w:eastAsia="zh-CN"/>
        </w:rPr>
        <w:t>21.8</w:t>
      </w:r>
      <w:r>
        <w:rPr>
          <w:rFonts w:hint="eastAsia" w:ascii="仿宋" w:hAnsi="仿宋" w:eastAsia="仿宋" w:cs="仿宋"/>
          <w:kern w:val="0"/>
          <w:sz w:val="32"/>
          <w:szCs w:val="32"/>
          <w:lang w:val="zh-CN" w:eastAsia="zh-CN"/>
        </w:rPr>
        <w:t>万元，占本年总收入</w:t>
      </w:r>
      <w:r>
        <w:rPr>
          <w:rFonts w:hint="eastAsia" w:ascii="仿宋" w:hAnsi="仿宋" w:eastAsia="仿宋" w:cs="仿宋"/>
          <w:kern w:val="0"/>
          <w:sz w:val="32"/>
          <w:szCs w:val="32"/>
          <w:lang w:val="en-US" w:eastAsia="zh-CN"/>
        </w:rPr>
        <w:t>15.4</w:t>
      </w:r>
      <w:r>
        <w:rPr>
          <w:rFonts w:hint="eastAsia" w:ascii="仿宋" w:hAnsi="仿宋" w:eastAsia="仿宋" w:cs="仿宋"/>
          <w:kern w:val="0"/>
          <w:sz w:val="32"/>
          <w:szCs w:val="32"/>
          <w:lang w:val="zh-CN" w:eastAsia="zh-CN"/>
        </w:rPr>
        <w:t>%。</w:t>
      </w:r>
    </w:p>
    <w:p w14:paraId="5817A9B9">
      <w:pPr>
        <w:pStyle w:val="9"/>
        <w:rPr>
          <w:rFonts w:hAnsi="黑体"/>
          <w:b/>
          <w:sz w:val="32"/>
          <w:szCs w:val="32"/>
        </w:rPr>
      </w:pPr>
      <w:r>
        <w:rPr>
          <w:rFonts w:hint="eastAsia" w:hAnsi="黑体"/>
          <w:b/>
          <w:sz w:val="32"/>
          <w:szCs w:val="32"/>
        </w:rPr>
        <w:t>三、支出决算情况说明</w:t>
      </w:r>
    </w:p>
    <w:p w14:paraId="7921742D">
      <w:pPr>
        <w:pStyle w:val="9"/>
        <w:ind w:firstLine="640" w:firstLineChars="200"/>
        <w:rPr>
          <w:rFonts w:hint="eastAsia" w:ascii="仿宋" w:hAnsi="仿宋" w:eastAsia="仿宋" w:cs="仿宋"/>
          <w:color w:val="auto"/>
          <w:kern w:val="0"/>
          <w:sz w:val="32"/>
          <w:szCs w:val="32"/>
          <w:lang w:val="zh-CN" w:eastAsia="zh-CN" w:bidi="ar-SA"/>
        </w:rPr>
      </w:pPr>
      <w:r>
        <w:rPr>
          <w:rFonts w:hint="eastAsia" w:ascii="仿宋" w:hAnsi="仿宋" w:eastAsia="仿宋" w:cs="仿宋"/>
          <w:kern w:val="0"/>
          <w:sz w:val="32"/>
          <w:szCs w:val="32"/>
          <w:lang w:val="en-US" w:eastAsia="zh-CN"/>
        </w:rPr>
        <w:t>本年支出合计136.17万元</w:t>
      </w:r>
      <w:r>
        <w:rPr>
          <w:rFonts w:hint="eastAsia" w:ascii="仿宋" w:hAnsi="仿宋" w:eastAsia="仿宋" w:cs="仿宋"/>
          <w:kern w:val="0"/>
          <w:sz w:val="32"/>
          <w:szCs w:val="32"/>
          <w:lang w:val="zh-CN" w:eastAsia="zh-CN"/>
        </w:rPr>
        <w:t>（</w:t>
      </w:r>
      <w:r>
        <w:rPr>
          <w:rFonts w:hint="eastAsia" w:ascii="仿宋" w:hAnsi="仿宋" w:eastAsia="仿宋" w:cs="仿宋"/>
          <w:color w:val="auto"/>
          <w:kern w:val="0"/>
          <w:sz w:val="32"/>
          <w:szCs w:val="32"/>
          <w:lang w:val="zh-CN" w:eastAsia="zh-CN" w:bidi="ar-SA"/>
        </w:rPr>
        <w:t>不含年末结转和结余资金</w:t>
      </w:r>
      <w:r>
        <w:rPr>
          <w:rFonts w:hint="eastAsia" w:ascii="仿宋" w:hAnsi="仿宋" w:eastAsia="仿宋" w:cs="仿宋"/>
          <w:color w:val="auto"/>
          <w:kern w:val="0"/>
          <w:sz w:val="32"/>
          <w:szCs w:val="32"/>
          <w:lang w:val="en-US" w:eastAsia="zh-CN" w:bidi="ar-SA"/>
        </w:rPr>
        <w:t>22.76万元</w:t>
      </w:r>
      <w:r>
        <w:rPr>
          <w:rFonts w:hint="eastAsia" w:ascii="仿宋" w:hAnsi="仿宋" w:eastAsia="仿宋" w:cs="仿宋"/>
          <w:color w:val="auto"/>
          <w:kern w:val="0"/>
          <w:sz w:val="32"/>
          <w:szCs w:val="32"/>
          <w:lang w:val="zh-CN" w:eastAsia="zh-CN" w:bidi="ar-SA"/>
        </w:rPr>
        <w:t>）</w:t>
      </w:r>
      <w:r>
        <w:rPr>
          <w:rFonts w:hint="eastAsia" w:ascii="仿宋" w:hAnsi="仿宋" w:eastAsia="仿宋" w:cs="仿宋"/>
          <w:color w:val="auto"/>
          <w:kern w:val="0"/>
          <w:sz w:val="32"/>
          <w:szCs w:val="32"/>
          <w:lang w:val="en-US" w:eastAsia="zh-CN" w:bidi="ar-SA"/>
        </w:rPr>
        <w:t>，其中：基本支出72.13</w:t>
      </w:r>
      <w:r>
        <w:rPr>
          <w:rFonts w:hint="eastAsia" w:ascii="仿宋" w:hAnsi="仿宋" w:eastAsia="仿宋" w:cs="仿宋"/>
          <w:color w:val="auto"/>
          <w:kern w:val="0"/>
          <w:sz w:val="32"/>
          <w:szCs w:val="32"/>
          <w:lang w:val="zh-CN" w:eastAsia="zh-CN" w:bidi="ar-SA"/>
        </w:rPr>
        <w:t>万元，</w:t>
      </w:r>
      <w:r>
        <w:rPr>
          <w:rFonts w:hint="eastAsia" w:ascii="仿宋" w:hAnsi="仿宋" w:eastAsia="仿宋" w:cs="仿宋"/>
          <w:color w:val="auto"/>
          <w:kern w:val="0"/>
          <w:sz w:val="32"/>
          <w:szCs w:val="32"/>
          <w:lang w:val="en-US" w:eastAsia="zh-CN" w:bidi="ar-SA"/>
        </w:rPr>
        <w:t>占本年总支出53%；项目支出64.04万元，占本年总支出47%；</w:t>
      </w:r>
      <w:r>
        <w:rPr>
          <w:rFonts w:hint="eastAsia" w:ascii="仿宋" w:hAnsi="仿宋" w:eastAsia="仿宋" w:cs="仿宋"/>
          <w:color w:val="auto"/>
          <w:kern w:val="0"/>
          <w:sz w:val="32"/>
          <w:szCs w:val="32"/>
          <w:lang w:val="zh-CN" w:eastAsia="zh-CN" w:bidi="ar-SA"/>
        </w:rPr>
        <w:t>上缴上级支出</w:t>
      </w:r>
      <w:r>
        <w:rPr>
          <w:rFonts w:hint="eastAsia" w:ascii="仿宋" w:hAnsi="仿宋" w:eastAsia="仿宋" w:cs="仿宋"/>
          <w:color w:val="auto"/>
          <w:kern w:val="0"/>
          <w:sz w:val="32"/>
          <w:szCs w:val="32"/>
          <w:lang w:val="en-US" w:eastAsia="zh-CN" w:bidi="ar-SA"/>
        </w:rPr>
        <w:t>0</w:t>
      </w:r>
      <w:r>
        <w:rPr>
          <w:rFonts w:hint="eastAsia" w:ascii="仿宋" w:hAnsi="仿宋" w:eastAsia="仿宋" w:cs="仿宋"/>
          <w:color w:val="auto"/>
          <w:kern w:val="0"/>
          <w:sz w:val="32"/>
          <w:szCs w:val="32"/>
          <w:lang w:val="zh-CN" w:eastAsia="zh-CN" w:bidi="ar-SA"/>
        </w:rPr>
        <w:t>万元，占</w:t>
      </w:r>
      <w:r>
        <w:rPr>
          <w:rFonts w:hint="eastAsia" w:ascii="仿宋" w:hAnsi="仿宋" w:eastAsia="仿宋" w:cs="仿宋"/>
          <w:color w:val="auto"/>
          <w:kern w:val="0"/>
          <w:sz w:val="32"/>
          <w:szCs w:val="32"/>
          <w:lang w:val="en-US" w:eastAsia="zh-CN" w:bidi="ar-SA"/>
        </w:rPr>
        <w:t>0</w:t>
      </w:r>
      <w:r>
        <w:rPr>
          <w:rFonts w:hint="eastAsia" w:ascii="仿宋" w:hAnsi="仿宋" w:eastAsia="仿宋" w:cs="仿宋"/>
          <w:color w:val="auto"/>
          <w:kern w:val="0"/>
          <w:sz w:val="32"/>
          <w:szCs w:val="32"/>
          <w:lang w:val="zh-CN" w:eastAsia="zh-CN" w:bidi="ar-SA"/>
        </w:rPr>
        <w:t>%；经营支出</w:t>
      </w:r>
      <w:r>
        <w:rPr>
          <w:rFonts w:hint="eastAsia" w:ascii="仿宋" w:hAnsi="仿宋" w:eastAsia="仿宋" w:cs="仿宋"/>
          <w:color w:val="auto"/>
          <w:kern w:val="0"/>
          <w:sz w:val="32"/>
          <w:szCs w:val="32"/>
          <w:lang w:val="en-US" w:eastAsia="zh-CN" w:bidi="ar-SA"/>
        </w:rPr>
        <w:t>0</w:t>
      </w:r>
      <w:r>
        <w:rPr>
          <w:rFonts w:hint="eastAsia" w:ascii="仿宋" w:hAnsi="仿宋" w:eastAsia="仿宋" w:cs="仿宋"/>
          <w:color w:val="auto"/>
          <w:kern w:val="0"/>
          <w:sz w:val="32"/>
          <w:szCs w:val="32"/>
          <w:lang w:val="zh-CN" w:eastAsia="zh-CN" w:bidi="ar-SA"/>
        </w:rPr>
        <w:t>万元，占</w:t>
      </w:r>
      <w:r>
        <w:rPr>
          <w:rFonts w:hint="eastAsia" w:ascii="仿宋" w:hAnsi="仿宋" w:eastAsia="仿宋" w:cs="仿宋"/>
          <w:color w:val="auto"/>
          <w:kern w:val="0"/>
          <w:sz w:val="32"/>
          <w:szCs w:val="32"/>
          <w:lang w:val="en-US" w:eastAsia="zh-CN" w:bidi="ar-SA"/>
        </w:rPr>
        <w:t>0</w:t>
      </w:r>
      <w:r>
        <w:rPr>
          <w:rFonts w:hint="eastAsia" w:ascii="仿宋" w:hAnsi="仿宋" w:eastAsia="仿宋" w:cs="仿宋"/>
          <w:color w:val="auto"/>
          <w:kern w:val="0"/>
          <w:sz w:val="32"/>
          <w:szCs w:val="32"/>
          <w:lang w:val="zh-CN" w:eastAsia="zh-CN" w:bidi="ar-SA"/>
        </w:rPr>
        <w:t>%；对附属单位补助支出</w:t>
      </w:r>
      <w:r>
        <w:rPr>
          <w:rFonts w:hint="eastAsia" w:ascii="仿宋" w:hAnsi="仿宋" w:eastAsia="仿宋" w:cs="仿宋"/>
          <w:color w:val="auto"/>
          <w:kern w:val="0"/>
          <w:sz w:val="32"/>
          <w:szCs w:val="32"/>
          <w:lang w:val="en-US" w:eastAsia="zh-CN" w:bidi="ar-SA"/>
        </w:rPr>
        <w:t>0</w:t>
      </w:r>
      <w:r>
        <w:rPr>
          <w:rFonts w:hint="eastAsia" w:ascii="仿宋" w:hAnsi="仿宋" w:eastAsia="仿宋" w:cs="仿宋"/>
          <w:color w:val="auto"/>
          <w:kern w:val="0"/>
          <w:sz w:val="32"/>
          <w:szCs w:val="32"/>
          <w:lang w:val="zh-CN" w:eastAsia="zh-CN" w:bidi="ar-SA"/>
        </w:rPr>
        <w:t>万元，占</w:t>
      </w:r>
      <w:r>
        <w:rPr>
          <w:rFonts w:hint="eastAsia" w:ascii="仿宋" w:hAnsi="仿宋" w:eastAsia="仿宋" w:cs="仿宋"/>
          <w:color w:val="auto"/>
          <w:kern w:val="0"/>
          <w:sz w:val="32"/>
          <w:szCs w:val="32"/>
          <w:lang w:val="en-US" w:eastAsia="zh-CN" w:bidi="ar-SA"/>
        </w:rPr>
        <w:t>0</w:t>
      </w:r>
      <w:r>
        <w:rPr>
          <w:rFonts w:hint="eastAsia" w:ascii="仿宋" w:hAnsi="仿宋" w:eastAsia="仿宋" w:cs="仿宋"/>
          <w:color w:val="auto"/>
          <w:kern w:val="0"/>
          <w:sz w:val="32"/>
          <w:szCs w:val="32"/>
          <w:lang w:val="zh-CN" w:eastAsia="zh-CN" w:bidi="ar-SA"/>
        </w:rPr>
        <w:t>%。</w:t>
      </w:r>
    </w:p>
    <w:p w14:paraId="4BB9F901">
      <w:pPr>
        <w:pStyle w:val="9"/>
        <w:rPr>
          <w:rFonts w:hAnsi="黑体"/>
          <w:b/>
          <w:sz w:val="32"/>
          <w:szCs w:val="32"/>
        </w:rPr>
      </w:pPr>
      <w:r>
        <w:rPr>
          <w:rFonts w:hint="eastAsia" w:hAnsi="黑体"/>
          <w:b/>
          <w:sz w:val="32"/>
          <w:szCs w:val="32"/>
        </w:rPr>
        <w:t>四、财政拨款收入支出决算总体情况说明</w:t>
      </w:r>
    </w:p>
    <w:p w14:paraId="36B674D1">
      <w:pPr>
        <w:widowControl/>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lang w:val="zh-CN" w:eastAsia="zh-CN"/>
        </w:rPr>
        <w:t>年度财政拨款收</w:t>
      </w:r>
      <w:r>
        <w:rPr>
          <w:rFonts w:hint="eastAsia" w:ascii="仿宋" w:hAnsi="仿宋" w:eastAsia="仿宋" w:cs="仿宋"/>
          <w:sz w:val="32"/>
          <w:szCs w:val="32"/>
          <w:lang w:val="en-US" w:eastAsia="zh-CN"/>
        </w:rPr>
        <w:t>入</w:t>
      </w:r>
      <w:r>
        <w:rPr>
          <w:rFonts w:hint="eastAsia" w:ascii="仿宋" w:hAnsi="仿宋" w:eastAsia="仿宋" w:cs="仿宋"/>
          <w:sz w:val="32"/>
          <w:szCs w:val="32"/>
          <w:lang w:val="zh-CN" w:eastAsia="zh-CN"/>
        </w:rPr>
        <w:t>总计</w:t>
      </w:r>
      <w:r>
        <w:rPr>
          <w:rFonts w:hint="eastAsia" w:ascii="仿宋" w:hAnsi="仿宋" w:eastAsia="仿宋" w:cs="仿宋"/>
          <w:sz w:val="32"/>
          <w:szCs w:val="32"/>
          <w:lang w:val="en-US" w:eastAsia="zh-CN"/>
        </w:rPr>
        <w:t>119.92</w:t>
      </w:r>
      <w:r>
        <w:rPr>
          <w:rFonts w:hint="eastAsia" w:ascii="仿宋" w:hAnsi="仿宋" w:eastAsia="仿宋" w:cs="仿宋"/>
          <w:sz w:val="32"/>
          <w:szCs w:val="32"/>
          <w:lang w:val="zh-CN" w:eastAsia="zh-CN"/>
        </w:rPr>
        <w:t>万元</w:t>
      </w:r>
      <w:r>
        <w:rPr>
          <w:rFonts w:hint="eastAsia"/>
          <w:sz w:val="28"/>
          <w:szCs w:val="28"/>
        </w:rPr>
        <w:t>（</w:t>
      </w:r>
      <w:r>
        <w:rPr>
          <w:rFonts w:hint="eastAsia" w:ascii="仿宋" w:hAnsi="仿宋" w:eastAsia="仿宋" w:cs="仿宋"/>
          <w:sz w:val="32"/>
          <w:szCs w:val="32"/>
          <w:lang w:val="en-US" w:eastAsia="zh-CN"/>
        </w:rPr>
        <w:t>不含年初财政拨款结转和结余资金7.89万元）</w:t>
      </w:r>
      <w:r>
        <w:rPr>
          <w:rFonts w:hint="eastAsia" w:ascii="仿宋" w:hAnsi="仿宋" w:eastAsia="仿宋" w:cs="仿宋"/>
          <w:sz w:val="32"/>
          <w:szCs w:val="32"/>
          <w:lang w:val="zh-CN" w:eastAsia="zh-CN"/>
        </w:rPr>
        <w:t>，</w:t>
      </w:r>
      <w:bookmarkStart w:id="4" w:name="OLE_LINK3"/>
      <w:r>
        <w:rPr>
          <w:rFonts w:hint="eastAsia" w:ascii="仿宋" w:hAnsi="仿宋" w:eastAsia="仿宋" w:cs="仿宋"/>
          <w:sz w:val="32"/>
          <w:szCs w:val="32"/>
          <w:lang w:val="zh-CN" w:eastAsia="zh-CN"/>
        </w:rPr>
        <w:t>与</w:t>
      </w:r>
      <w:r>
        <w:rPr>
          <w:rFonts w:hint="eastAsia" w:ascii="仿宋" w:hAnsi="仿宋" w:eastAsia="仿宋" w:cs="仿宋"/>
          <w:sz w:val="32"/>
          <w:szCs w:val="32"/>
          <w:lang w:val="en-US" w:eastAsia="zh-CN"/>
        </w:rPr>
        <w:t>2019年相比财政拔款收入增加39.46万元，增加200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主要原因是增加旅游营销活动经费</w:t>
      </w:r>
      <w:r>
        <w:rPr>
          <w:rFonts w:hint="eastAsia" w:ascii="仿宋" w:hAnsi="仿宋" w:eastAsia="仿宋" w:cs="仿宋"/>
          <w:sz w:val="32"/>
          <w:szCs w:val="32"/>
          <w:lang w:val="zh-CN" w:eastAsia="zh-CN"/>
        </w:rPr>
        <w:t>。</w:t>
      </w:r>
      <w:bookmarkEnd w:id="4"/>
    </w:p>
    <w:p w14:paraId="12E71253">
      <w:pPr>
        <w:widowControl/>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2020年</w:t>
      </w:r>
      <w:r>
        <w:rPr>
          <w:rFonts w:hint="eastAsia" w:ascii="仿宋" w:hAnsi="仿宋" w:eastAsia="仿宋" w:cs="仿宋"/>
          <w:sz w:val="32"/>
          <w:szCs w:val="32"/>
          <w:lang w:val="zh-CN" w:eastAsia="zh-CN"/>
        </w:rPr>
        <w:t>财政拨款</w:t>
      </w:r>
      <w:r>
        <w:rPr>
          <w:rFonts w:hint="eastAsia" w:ascii="仿宋" w:hAnsi="仿宋" w:eastAsia="仿宋" w:cs="仿宋"/>
          <w:sz w:val="32"/>
          <w:szCs w:val="32"/>
          <w:lang w:val="en-US" w:eastAsia="zh-CN"/>
        </w:rPr>
        <w:t>支出总</w:t>
      </w:r>
      <w:r>
        <w:rPr>
          <w:rFonts w:hint="eastAsia" w:ascii="仿宋" w:hAnsi="仿宋" w:eastAsia="仿宋" w:cs="仿宋"/>
          <w:sz w:val="32"/>
          <w:szCs w:val="32"/>
          <w:lang w:val="zh-CN" w:eastAsia="zh-CN"/>
        </w:rPr>
        <w:t>计</w:t>
      </w:r>
      <w:r>
        <w:rPr>
          <w:rFonts w:hint="eastAsia" w:ascii="仿宋" w:hAnsi="仿宋" w:eastAsia="仿宋" w:cs="仿宋"/>
          <w:sz w:val="32"/>
          <w:szCs w:val="32"/>
          <w:lang w:val="en-US" w:eastAsia="zh-CN"/>
        </w:rPr>
        <w:t>110.06</w:t>
      </w:r>
      <w:r>
        <w:rPr>
          <w:rFonts w:hint="eastAsia" w:ascii="仿宋" w:hAnsi="仿宋" w:eastAsia="仿宋" w:cs="仿宋"/>
          <w:sz w:val="32"/>
          <w:szCs w:val="32"/>
          <w:lang w:val="zh-CN" w:eastAsia="zh-CN"/>
        </w:rPr>
        <w:t>万元</w:t>
      </w:r>
      <w:r>
        <w:rPr>
          <w:rFonts w:hint="eastAsia" w:ascii="仿宋" w:hAnsi="仿宋" w:eastAsia="仿宋" w:cs="仿宋"/>
          <w:sz w:val="32"/>
          <w:szCs w:val="32"/>
          <w:lang w:val="en-US" w:eastAsia="zh-CN"/>
        </w:rPr>
        <w:t>（不含年末财政拨款结转和结余资金17.75万元）,相比2019年支出38.43万元，</w:t>
      </w:r>
      <w:bookmarkStart w:id="5" w:name="OLE_LINK2"/>
      <w:r>
        <w:rPr>
          <w:rFonts w:hint="eastAsia" w:ascii="仿宋" w:hAnsi="仿宋" w:eastAsia="仿宋" w:cs="仿宋"/>
          <w:sz w:val="32"/>
          <w:szCs w:val="32"/>
          <w:lang w:val="en-US" w:eastAsia="zh-CN"/>
        </w:rPr>
        <w:t>增加71.63万元，增加186%</w:t>
      </w:r>
      <w:bookmarkEnd w:id="5"/>
      <w:r>
        <w:rPr>
          <w:rFonts w:hint="eastAsia" w:ascii="仿宋" w:hAnsi="仿宋" w:eastAsia="仿宋" w:cs="仿宋"/>
          <w:sz w:val="32"/>
          <w:szCs w:val="32"/>
          <w:lang w:val="zh-CN" w:eastAsia="zh-CN"/>
        </w:rPr>
        <w:t>。主要原因是</w:t>
      </w:r>
      <w:r>
        <w:rPr>
          <w:rFonts w:hint="eastAsia" w:ascii="仿宋" w:hAnsi="仿宋" w:eastAsia="仿宋" w:cs="仿宋"/>
          <w:sz w:val="32"/>
          <w:szCs w:val="32"/>
          <w:lang w:val="en-US" w:eastAsia="zh-CN"/>
        </w:rPr>
        <w:t>增加了旅游营销活动经费</w:t>
      </w:r>
      <w:r>
        <w:rPr>
          <w:rFonts w:hint="eastAsia" w:ascii="仿宋" w:hAnsi="仿宋" w:eastAsia="仿宋" w:cs="仿宋"/>
          <w:sz w:val="32"/>
          <w:szCs w:val="32"/>
          <w:lang w:val="zh-CN" w:eastAsia="zh-CN"/>
        </w:rPr>
        <w:t>等。</w:t>
      </w:r>
    </w:p>
    <w:p w14:paraId="6B03007A">
      <w:pPr>
        <w:pStyle w:val="9"/>
        <w:rPr>
          <w:rFonts w:hAnsi="黑体"/>
          <w:b/>
          <w:sz w:val="32"/>
          <w:szCs w:val="32"/>
        </w:rPr>
      </w:pPr>
      <w:r>
        <w:rPr>
          <w:rFonts w:hint="eastAsia" w:hAnsi="黑体"/>
          <w:b/>
          <w:sz w:val="32"/>
          <w:szCs w:val="32"/>
        </w:rPr>
        <w:t>五、一般公共预算财政拨款支出决算情况说明</w:t>
      </w:r>
    </w:p>
    <w:p w14:paraId="3EC3B755">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57EA8285">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2020年度财政拨款支出110.06万元，占本年支出的81%。与2019年相比增加71.63万元，增加186%</w:t>
      </w:r>
      <w:r>
        <w:rPr>
          <w:rFonts w:hint="eastAsia" w:ascii="仿宋" w:hAnsi="仿宋" w:eastAsia="仿宋" w:cs="仿宋"/>
          <w:sz w:val="32"/>
          <w:szCs w:val="32"/>
          <w:lang w:val="zh-CN" w:eastAsia="zh-CN"/>
        </w:rPr>
        <w:t>。</w:t>
      </w:r>
      <w:r>
        <w:rPr>
          <w:rFonts w:hint="eastAsia" w:ascii="仿宋" w:hAnsi="仿宋" w:eastAsia="仿宋" w:cs="仿宋"/>
          <w:sz w:val="32"/>
          <w:szCs w:val="32"/>
          <w:lang w:val="en-US" w:eastAsia="zh-CN"/>
        </w:rPr>
        <w:t>主要原因是增加了旅游营销活动经费</w:t>
      </w:r>
      <w:r>
        <w:rPr>
          <w:rFonts w:hint="eastAsia" w:ascii="仿宋" w:hAnsi="仿宋" w:eastAsia="仿宋" w:cs="仿宋"/>
          <w:sz w:val="32"/>
          <w:szCs w:val="32"/>
          <w:lang w:val="zh-CN" w:eastAsia="zh-CN"/>
        </w:rPr>
        <w:t>。</w:t>
      </w:r>
    </w:p>
    <w:p w14:paraId="4EA0648D">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1C032875">
      <w:pPr>
        <w:keepNext/>
        <w:keepLines/>
        <w:ind w:firstLine="641"/>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2020年度财政拨款支出110.06万元，主要用于以下方面：文化旅游体育与传媒（类）支出110.06万元，占100%。</w:t>
      </w:r>
    </w:p>
    <w:p w14:paraId="4B4D3096">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483E8B2">
      <w:pPr>
        <w:widowControl/>
        <w:spacing w:line="600" w:lineRule="exact"/>
        <w:ind w:firstLine="640" w:firstLineChars="200"/>
        <w:rPr>
          <w:rFonts w:hint="eastAsia" w:ascii="仿宋" w:hAnsi="仿宋" w:eastAsia="仿宋" w:cs="仿宋"/>
          <w:sz w:val="32"/>
          <w:szCs w:val="32"/>
          <w:lang w:val="zh-CN"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lang w:val="zh-CN" w:eastAsia="zh-CN"/>
        </w:rPr>
        <w:t>年度财政拨款支出年初预算为</w:t>
      </w:r>
      <w:r>
        <w:rPr>
          <w:rFonts w:hint="eastAsia" w:ascii="仿宋" w:hAnsi="仿宋" w:eastAsia="仿宋" w:cs="仿宋"/>
          <w:sz w:val="32"/>
          <w:szCs w:val="32"/>
          <w:lang w:val="en-US" w:eastAsia="zh-CN"/>
        </w:rPr>
        <w:t>44.9</w:t>
      </w:r>
      <w:r>
        <w:rPr>
          <w:rFonts w:hint="eastAsia" w:ascii="仿宋" w:hAnsi="仿宋" w:eastAsia="仿宋" w:cs="仿宋"/>
          <w:sz w:val="32"/>
          <w:szCs w:val="32"/>
          <w:lang w:val="zh-CN" w:eastAsia="zh-CN"/>
        </w:rPr>
        <w:t>万元，支出决算为</w:t>
      </w:r>
      <w:r>
        <w:rPr>
          <w:rFonts w:hint="eastAsia" w:ascii="仿宋" w:hAnsi="仿宋" w:eastAsia="仿宋" w:cs="仿宋"/>
          <w:sz w:val="32"/>
          <w:szCs w:val="32"/>
          <w:lang w:val="en-US" w:eastAsia="zh-CN"/>
        </w:rPr>
        <w:t>110.06</w:t>
      </w:r>
      <w:r>
        <w:rPr>
          <w:rFonts w:hint="eastAsia" w:ascii="仿宋" w:hAnsi="仿宋" w:eastAsia="仿宋" w:cs="仿宋"/>
          <w:sz w:val="32"/>
          <w:szCs w:val="32"/>
          <w:lang w:val="zh-CN" w:eastAsia="zh-CN"/>
        </w:rPr>
        <w:t>万元，完成年初预算的</w:t>
      </w:r>
      <w:r>
        <w:rPr>
          <w:rFonts w:hint="eastAsia" w:ascii="仿宋" w:hAnsi="仿宋" w:eastAsia="仿宋" w:cs="仿宋"/>
          <w:sz w:val="32"/>
          <w:szCs w:val="32"/>
          <w:lang w:val="en-US" w:eastAsia="zh-CN"/>
        </w:rPr>
        <w:t>245</w:t>
      </w:r>
      <w:r>
        <w:rPr>
          <w:rFonts w:hint="eastAsia" w:ascii="仿宋" w:hAnsi="仿宋" w:eastAsia="仿宋" w:cs="仿宋"/>
          <w:sz w:val="32"/>
          <w:szCs w:val="32"/>
          <w:lang w:val="zh-CN" w:eastAsia="zh-CN"/>
        </w:rPr>
        <w:t>%。其中：</w:t>
      </w:r>
    </w:p>
    <w:p w14:paraId="3E1D51B5">
      <w:pPr>
        <w:pStyle w:val="9"/>
        <w:ind w:firstLine="800" w:firstLineChars="25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文化旅游体育与传媒支出（类）文化和旅游（款）文化和旅游市场管理（项）。年初预算为34.9万元，支出决算为46.79万元，完成年初预算的134%。决算数大于预算数的主要原因是财政根据我单位业务活动情况追加了部分项目经费。</w:t>
      </w:r>
    </w:p>
    <w:p w14:paraId="6EE4103A">
      <w:pPr>
        <w:keepNext/>
        <w:keepLines/>
        <w:suppressLineNumbers/>
        <w:ind w:firstLine="4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2.文化旅游体育与传媒支出（类）文化和旅游（款） 其他文化和旅游支出（项）。年初预算为10万元，支出决算为63.27万元，完成年初预算的633%。决算数大于预算数的主要原因是财政根据我单位业务活动情况追加了部分项目经费。</w:t>
      </w:r>
    </w:p>
    <w:p w14:paraId="67CAE477">
      <w:pPr>
        <w:pStyle w:val="9"/>
        <w:rPr>
          <w:rFonts w:hAnsi="黑体"/>
          <w:b/>
          <w:sz w:val="32"/>
          <w:szCs w:val="32"/>
        </w:rPr>
      </w:pPr>
      <w:r>
        <w:rPr>
          <w:rFonts w:hint="eastAsia" w:hAnsi="黑体"/>
          <w:b/>
          <w:sz w:val="32"/>
          <w:szCs w:val="32"/>
        </w:rPr>
        <w:t>六、一般公共预算财政拨款基本支出决算情况说明</w:t>
      </w:r>
    </w:p>
    <w:p w14:paraId="6174C081">
      <w:pPr>
        <w:widowControl/>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w:t>
      </w:r>
      <w:r>
        <w:rPr>
          <w:rFonts w:hint="eastAsia" w:ascii="仿宋" w:hAnsi="仿宋" w:eastAsia="仿宋" w:cs="仿宋"/>
          <w:sz w:val="32"/>
          <w:szCs w:val="32"/>
          <w:lang w:val="zh-CN" w:eastAsia="zh-CN"/>
        </w:rPr>
        <w:t>年度</w:t>
      </w:r>
      <w:r>
        <w:rPr>
          <w:rFonts w:hint="eastAsia" w:ascii="仿宋" w:hAnsi="仿宋" w:eastAsia="仿宋" w:cs="仿宋"/>
          <w:sz w:val="32"/>
          <w:szCs w:val="32"/>
          <w:lang w:val="en-US" w:eastAsia="zh-CN"/>
        </w:rPr>
        <w:t>财政拨款基本支出110.06万元。其中:人员经费24.68万元，占基本支出的22.4%，主要包括：按国家规定支出的基本工资、津贴补贴、其他社会保障缴费、机关事业单位基本养老保险缴费、其他工资福利支出、医疗费、住房公积金、其他对个人和家庭的补助支出；公用经费85.38万元，占基本支出的77.6%，主要包括：办公费、印刷费、咨询费、手续费、邮电费、物业管理费、差旅费、因公出国（境）费用、维修（护）费、租赁费、公务接待费、专用材料费、劳务费、委托业务费、工会经费、福利费、公务用车运行维护费、其他交通费用、税金及附加费用、其他商品和服务支出、办公设备购置、专用设备购置、其他资本性支出。</w:t>
      </w:r>
    </w:p>
    <w:p w14:paraId="0ED1B4B0">
      <w:pPr>
        <w:pStyle w:val="9"/>
        <w:rPr>
          <w:rFonts w:hAnsi="黑体"/>
          <w:b/>
          <w:sz w:val="32"/>
          <w:szCs w:val="32"/>
        </w:rPr>
      </w:pPr>
      <w:r>
        <w:rPr>
          <w:rFonts w:hint="eastAsia" w:hAnsi="黑体"/>
          <w:b/>
          <w:sz w:val="32"/>
          <w:szCs w:val="32"/>
        </w:rPr>
        <w:t>七、一般公共预算财政拨款三公经费支出决算情况说明</w:t>
      </w:r>
    </w:p>
    <w:p w14:paraId="3FE2BE6F">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6356A7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lang w:val="en-US" w:eastAsia="zh-CN"/>
        </w:rPr>
        <w:t xml:space="preserve"> 2020年度“三公”经费财政拨款支出预算数</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0.19</w:t>
      </w:r>
      <w:r>
        <w:rPr>
          <w:rFonts w:hint="eastAsia" w:ascii="仿宋" w:hAnsi="仿宋" w:eastAsia="仿宋" w:cs="仿宋"/>
          <w:kern w:val="0"/>
          <w:sz w:val="32"/>
          <w:szCs w:val="32"/>
        </w:rPr>
        <w:t>万元，支出决算数为</w:t>
      </w:r>
      <w:r>
        <w:rPr>
          <w:rFonts w:hint="eastAsia" w:ascii="仿宋" w:hAnsi="仿宋" w:eastAsia="仿宋" w:cs="仿宋"/>
          <w:kern w:val="0"/>
          <w:sz w:val="32"/>
          <w:szCs w:val="32"/>
          <w:lang w:val="en-US" w:eastAsia="zh-CN"/>
        </w:rPr>
        <w:t>0.19</w:t>
      </w:r>
      <w:r>
        <w:rPr>
          <w:rFonts w:hint="eastAsia" w:ascii="仿宋" w:hAnsi="仿宋" w:eastAsia="仿宋" w:cs="仿宋"/>
          <w:kern w:val="0"/>
          <w:sz w:val="32"/>
          <w:szCs w:val="32"/>
        </w:rPr>
        <w:t>万元,控制</w:t>
      </w:r>
      <w:r>
        <w:rPr>
          <w:rFonts w:hint="eastAsia" w:ascii="仿宋" w:hAnsi="仿宋" w:eastAsia="仿宋" w:cs="仿宋"/>
          <w:kern w:val="0"/>
          <w:sz w:val="32"/>
          <w:szCs w:val="32"/>
          <w:lang w:val="zh-CN"/>
        </w:rPr>
        <w:t>预算的</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val="zh-CN"/>
        </w:rPr>
        <w:t>%。</w:t>
      </w:r>
      <w:r>
        <w:rPr>
          <w:rFonts w:hint="eastAsia" w:ascii="仿宋" w:hAnsi="仿宋" w:eastAsia="仿宋" w:cs="仿宋"/>
          <w:kern w:val="0"/>
          <w:sz w:val="32"/>
          <w:szCs w:val="32"/>
          <w:lang w:val="en-US" w:eastAsia="zh-CN"/>
        </w:rPr>
        <w:t>其中：</w:t>
      </w:r>
    </w:p>
    <w:p w14:paraId="3C9C36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因公出国（境）费支出预算为</w:t>
      </w:r>
      <w:r>
        <w:rPr>
          <w:rFonts w:hint="eastAsia" w:ascii="仿宋" w:hAnsi="仿宋" w:eastAsia="仿宋" w:cs="仿宋"/>
          <w:sz w:val="32"/>
          <w:szCs w:val="32"/>
          <w:lang w:val="en-US" w:eastAsia="zh-CN"/>
        </w:rPr>
        <w:t>0万元，支出</w:t>
      </w:r>
      <w:r>
        <w:rPr>
          <w:rFonts w:hint="eastAsia" w:ascii="仿宋" w:hAnsi="仿宋" w:eastAsia="仿宋" w:cs="仿宋"/>
          <w:sz w:val="32"/>
          <w:szCs w:val="32"/>
          <w:lang w:val="zh-CN" w:eastAsia="zh-CN"/>
        </w:rPr>
        <w:t>决算为</w:t>
      </w:r>
      <w:r>
        <w:rPr>
          <w:rFonts w:hint="eastAsia" w:ascii="仿宋" w:hAnsi="仿宋" w:eastAsia="仿宋" w:cs="仿宋"/>
          <w:sz w:val="32"/>
          <w:szCs w:val="32"/>
          <w:lang w:val="en-US" w:eastAsia="zh-CN"/>
        </w:rPr>
        <w:t>0万元，完成预算的0%，决算数等于预算数，与上年相比增（减）0万元，增（减）0%，</w:t>
      </w:r>
      <w:r>
        <w:rPr>
          <w:rFonts w:hint="eastAsia" w:ascii="仿宋" w:hAnsi="仿宋" w:eastAsia="仿宋" w:cs="仿宋"/>
          <w:sz w:val="32"/>
          <w:szCs w:val="32"/>
          <w:lang w:val="zh-CN" w:eastAsia="zh-CN"/>
        </w:rPr>
        <w:t xml:space="preserve">原因是认真贯彻落实中央八项规定精神和厉行节约要求，从严控制“三公”经费开支；    </w:t>
      </w:r>
    </w:p>
    <w:p w14:paraId="68DACF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公务用车购置费及运行维护费支出预算为</w:t>
      </w:r>
      <w:r>
        <w:rPr>
          <w:rFonts w:hint="eastAsia" w:ascii="仿宋" w:hAnsi="仿宋" w:eastAsia="仿宋" w:cs="仿宋"/>
          <w:sz w:val="32"/>
          <w:szCs w:val="32"/>
          <w:lang w:val="en-US" w:eastAsia="zh-CN"/>
        </w:rPr>
        <w:t>0万元，支出</w:t>
      </w:r>
      <w:r>
        <w:rPr>
          <w:rFonts w:hint="eastAsia" w:ascii="仿宋" w:hAnsi="仿宋" w:eastAsia="仿宋" w:cs="仿宋"/>
          <w:sz w:val="32"/>
          <w:szCs w:val="32"/>
          <w:lang w:val="zh-CN" w:eastAsia="zh-CN"/>
        </w:rPr>
        <w:t>决算为</w:t>
      </w:r>
      <w:r>
        <w:rPr>
          <w:rFonts w:hint="eastAsia" w:ascii="仿宋" w:hAnsi="仿宋" w:eastAsia="仿宋" w:cs="仿宋"/>
          <w:sz w:val="32"/>
          <w:szCs w:val="32"/>
          <w:lang w:val="en-US" w:eastAsia="zh-CN"/>
        </w:rPr>
        <w:t>0万元，完成预算的0%，决算数等于预算数，与上年相比增（减）0万元，增（减）0%，</w:t>
      </w:r>
      <w:r>
        <w:rPr>
          <w:rFonts w:hint="eastAsia" w:ascii="仿宋" w:hAnsi="仿宋" w:eastAsia="仿宋" w:cs="仿宋"/>
          <w:sz w:val="32"/>
          <w:szCs w:val="32"/>
          <w:lang w:val="zh-CN" w:eastAsia="zh-CN"/>
        </w:rPr>
        <w:t xml:space="preserve">原因是认真贯彻落实中央八项规定精神和厉行节约要求，从严控制“三公”经费开支；   </w:t>
      </w:r>
    </w:p>
    <w:p w14:paraId="446D5B68">
      <w:pPr>
        <w:pStyle w:val="9"/>
        <w:ind w:firstLine="640" w:firstLineChars="200"/>
        <w:rPr>
          <w:rFonts w:hint="eastAsia" w:asciiTheme="minorEastAsia" w:hAnsiTheme="minorEastAsia" w:eastAsiaTheme="minorEastAsia"/>
          <w:sz w:val="32"/>
          <w:szCs w:val="32"/>
        </w:rPr>
      </w:pPr>
      <w:r>
        <w:rPr>
          <w:rFonts w:hint="eastAsia" w:ascii="仿宋" w:hAnsi="仿宋" w:eastAsia="仿宋" w:cs="仿宋"/>
          <w:sz w:val="32"/>
          <w:szCs w:val="32"/>
          <w:lang w:val="zh-CN" w:eastAsia="zh-CN"/>
        </w:rPr>
        <w:t>公务接待费支出预算为</w:t>
      </w:r>
      <w:r>
        <w:rPr>
          <w:rFonts w:hint="eastAsia" w:ascii="仿宋" w:hAnsi="仿宋" w:eastAsia="仿宋" w:cs="仿宋"/>
          <w:sz w:val="32"/>
          <w:szCs w:val="32"/>
          <w:lang w:val="en-US" w:eastAsia="zh-CN"/>
        </w:rPr>
        <w:t>0.19万元，支出</w:t>
      </w:r>
      <w:r>
        <w:rPr>
          <w:rFonts w:hint="eastAsia" w:ascii="仿宋" w:hAnsi="仿宋" w:eastAsia="仿宋" w:cs="仿宋"/>
          <w:sz w:val="32"/>
          <w:szCs w:val="32"/>
          <w:lang w:val="zh-CN" w:eastAsia="zh-CN"/>
        </w:rPr>
        <w:t>决算为</w:t>
      </w:r>
      <w:r>
        <w:rPr>
          <w:rFonts w:hint="eastAsia" w:ascii="仿宋" w:hAnsi="仿宋" w:eastAsia="仿宋" w:cs="仿宋"/>
          <w:sz w:val="32"/>
          <w:szCs w:val="32"/>
          <w:lang w:val="en-US" w:eastAsia="zh-CN"/>
        </w:rPr>
        <w:t>0.19万元，完成预算的100%，决算数等于预算数，与上年相比减少0.02万元，减少12%，</w:t>
      </w:r>
      <w:r>
        <w:rPr>
          <w:rFonts w:hint="eastAsia" w:ascii="仿宋" w:hAnsi="仿宋" w:eastAsia="仿宋" w:cs="仿宋"/>
          <w:sz w:val="32"/>
          <w:szCs w:val="32"/>
          <w:lang w:val="zh-CN" w:eastAsia="zh-CN"/>
        </w:rPr>
        <w:t xml:space="preserve">原因是认真贯彻落实中央八项规定精神和厉行节约要求，从严控制“三公”经费开支。   </w:t>
      </w:r>
    </w:p>
    <w:p w14:paraId="68BCD7A8">
      <w:pPr>
        <w:pStyle w:val="9"/>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13686D79">
      <w:pPr>
        <w:pStyle w:val="9"/>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2020年度“三公”经费财政拨款支出决算中，因公出国（境）费支出决算0万元，占</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lang w:val="zh-CN"/>
        </w:rPr>
        <w:t>公务用车购置费及运行维护费支出决算0万元，占</w:t>
      </w:r>
      <w:r>
        <w:rPr>
          <w:rFonts w:hint="eastAsia" w:ascii="仿宋" w:hAnsi="仿宋" w:eastAsia="仿宋" w:cs="仿宋"/>
          <w:kern w:val="0"/>
          <w:sz w:val="32"/>
          <w:szCs w:val="32"/>
          <w:lang w:val="en-US" w:eastAsia="zh-CN"/>
        </w:rPr>
        <w:t>0.00%，</w:t>
      </w:r>
      <w:r>
        <w:rPr>
          <w:rFonts w:hint="eastAsia" w:ascii="仿宋" w:hAnsi="仿宋" w:eastAsia="仿宋" w:cs="仿宋"/>
          <w:kern w:val="0"/>
          <w:sz w:val="32"/>
          <w:szCs w:val="32"/>
          <w:lang w:val="zh-CN"/>
        </w:rPr>
        <w:t>公务接待费支出决算</w:t>
      </w:r>
      <w:r>
        <w:rPr>
          <w:rFonts w:hint="eastAsia" w:ascii="仿宋" w:hAnsi="仿宋" w:eastAsia="仿宋" w:cs="仿宋"/>
          <w:kern w:val="0"/>
          <w:sz w:val="32"/>
          <w:szCs w:val="32"/>
          <w:lang w:val="en-US" w:eastAsia="zh-CN"/>
        </w:rPr>
        <w:t>0.19</w:t>
      </w:r>
      <w:r>
        <w:rPr>
          <w:rFonts w:hint="eastAsia" w:ascii="仿宋" w:hAnsi="仿宋" w:eastAsia="仿宋" w:cs="仿宋"/>
          <w:kern w:val="0"/>
          <w:sz w:val="32"/>
          <w:szCs w:val="32"/>
          <w:lang w:val="zh-CN"/>
        </w:rPr>
        <w:t>万元占</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lang w:val="zh-CN"/>
        </w:rPr>
        <w:t>。其中：</w:t>
      </w:r>
    </w:p>
    <w:p w14:paraId="167C85BC">
      <w:pPr>
        <w:widowControl/>
        <w:spacing w:line="600" w:lineRule="exact"/>
        <w:ind w:firstLine="640" w:firstLineChars="200"/>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val="zh-CN"/>
        </w:rPr>
        <w:t>因公出国（境）费支出预算为</w:t>
      </w:r>
      <w:r>
        <w:rPr>
          <w:rFonts w:hint="eastAsia" w:ascii="仿宋" w:hAnsi="仿宋" w:eastAsia="仿宋" w:cs="仿宋"/>
          <w:kern w:val="0"/>
          <w:sz w:val="32"/>
          <w:szCs w:val="32"/>
          <w:lang w:val="en-US" w:eastAsia="zh-CN"/>
        </w:rPr>
        <w:t>0万元，全年安排因公出国（境）团组0个，累计0人次；开支内容包括：无。</w:t>
      </w:r>
    </w:p>
    <w:p w14:paraId="6F40F8C7">
      <w:pPr>
        <w:widowControl/>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val="zh-CN"/>
        </w:rPr>
        <w:t>公务接待费支出决算为</w:t>
      </w:r>
      <w:r>
        <w:rPr>
          <w:rFonts w:hint="eastAsia" w:ascii="仿宋" w:hAnsi="仿宋" w:eastAsia="仿宋" w:cs="仿宋"/>
          <w:kern w:val="0"/>
          <w:sz w:val="32"/>
          <w:szCs w:val="32"/>
          <w:lang w:val="en-US" w:eastAsia="zh-CN"/>
        </w:rPr>
        <w:t>0.19</w:t>
      </w:r>
      <w:r>
        <w:rPr>
          <w:rFonts w:hint="eastAsia" w:ascii="仿宋" w:hAnsi="仿宋" w:eastAsia="仿宋" w:cs="仿宋"/>
          <w:kern w:val="0"/>
          <w:sz w:val="32"/>
          <w:szCs w:val="32"/>
          <w:lang w:val="zh-CN"/>
        </w:rPr>
        <w:t>万元，</w:t>
      </w:r>
      <w:r>
        <w:rPr>
          <w:rFonts w:hint="eastAsia" w:ascii="仿宋" w:hAnsi="仿宋" w:eastAsia="仿宋" w:cs="仿宋"/>
          <w:kern w:val="0"/>
          <w:sz w:val="32"/>
          <w:szCs w:val="32"/>
          <w:lang w:val="en-US" w:eastAsia="zh-CN"/>
        </w:rPr>
        <w:t>全年共接待来访团组6个，50</w:t>
      </w:r>
      <w:r>
        <w:rPr>
          <w:rFonts w:hint="eastAsia" w:ascii="仿宋" w:hAnsi="仿宋" w:eastAsia="仿宋" w:cs="仿宋"/>
          <w:kern w:val="0"/>
          <w:sz w:val="32"/>
          <w:szCs w:val="32"/>
        </w:rPr>
        <w:t>人次</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主要是对接旅游宣传营销活动发生的接待支出</w:t>
      </w:r>
      <w:r>
        <w:rPr>
          <w:rFonts w:hint="eastAsia" w:ascii="仿宋" w:hAnsi="仿宋" w:eastAsia="仿宋" w:cs="仿宋"/>
          <w:kern w:val="0"/>
          <w:sz w:val="32"/>
          <w:szCs w:val="32"/>
        </w:rPr>
        <w:t>。我单位按照中央、省委、省政府等要求，厉行节约，继续严控“三公”经费。</w:t>
      </w:r>
    </w:p>
    <w:p w14:paraId="6197B63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0"/>
          <w:sz w:val="32"/>
          <w:szCs w:val="32"/>
          <w:lang w:val="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val="zh-CN"/>
        </w:rPr>
        <w:t>公务用车购置及运行维护费支出决算为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rPr>
        <w:t>万元，其中：公务用车购置费</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rPr>
        <w:t>万元，单位本级更新公务车辆</w:t>
      </w:r>
      <w:r>
        <w:rPr>
          <w:rFonts w:hint="eastAsia" w:ascii="仿宋" w:hAnsi="仿宋" w:eastAsia="仿宋" w:cs="仿宋"/>
          <w:kern w:val="0"/>
          <w:sz w:val="32"/>
          <w:szCs w:val="32"/>
          <w:lang w:val="en-US" w:eastAsia="zh-CN"/>
        </w:rPr>
        <w:t>0辆，</w:t>
      </w:r>
      <w:r>
        <w:rPr>
          <w:rFonts w:hint="eastAsia" w:ascii="仿宋" w:hAnsi="仿宋" w:eastAsia="仿宋" w:cs="仿宋"/>
          <w:kern w:val="0"/>
          <w:sz w:val="32"/>
          <w:szCs w:val="32"/>
          <w:lang w:val="zh-CN"/>
        </w:rPr>
        <w:t>公务用车运行维护费</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rPr>
        <w:t>万元。截至2020年12月31日，我单位开支财政拨款的公务用车保有量为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lang w:val="zh-CN"/>
        </w:rPr>
        <w:t>辆。</w:t>
      </w:r>
    </w:p>
    <w:p w14:paraId="1E0F20B3">
      <w:pPr>
        <w:pStyle w:val="9"/>
        <w:rPr>
          <w:rFonts w:hAnsi="黑体"/>
          <w:b/>
          <w:sz w:val="32"/>
          <w:szCs w:val="32"/>
        </w:rPr>
      </w:pPr>
      <w:r>
        <w:rPr>
          <w:rFonts w:hint="eastAsia" w:hAnsi="黑体"/>
          <w:b/>
          <w:sz w:val="32"/>
          <w:szCs w:val="32"/>
        </w:rPr>
        <w:t>八、政府性基金预算收入支出决算情况</w:t>
      </w:r>
    </w:p>
    <w:p w14:paraId="11A6AC86">
      <w:pPr>
        <w:widowControl/>
        <w:spacing w:line="600" w:lineRule="exact"/>
        <w:ind w:firstLine="640" w:firstLineChars="200"/>
        <w:rPr>
          <w:rFonts w:hint="eastAsia" w:ascii="仿宋" w:hAnsi="仿宋" w:eastAsia="仿宋" w:cs="仿宋"/>
          <w:kern w:val="0"/>
          <w:sz w:val="32"/>
          <w:szCs w:val="32"/>
        </w:rPr>
      </w:pPr>
      <w:r>
        <w:rPr>
          <w:rFonts w:hint="eastAsia" w:asciiTheme="minorEastAsia" w:hAnsiTheme="minorEastAsia" w:eastAsiaTheme="minorEastAsia"/>
          <w:sz w:val="32"/>
          <w:szCs w:val="32"/>
        </w:rPr>
        <w:t xml:space="preserve"> </w:t>
      </w:r>
      <w:r>
        <w:rPr>
          <w:rFonts w:hint="eastAsia" w:ascii="仿宋" w:hAnsi="仿宋" w:eastAsia="仿宋" w:cs="仿宋"/>
          <w:kern w:val="0"/>
          <w:sz w:val="32"/>
          <w:szCs w:val="32"/>
          <w:lang w:val="en-US" w:eastAsia="zh-CN"/>
        </w:rPr>
        <w:t>2020</w:t>
      </w:r>
      <w:r>
        <w:rPr>
          <w:rFonts w:hint="eastAsia" w:ascii="仿宋" w:hAnsi="仿宋" w:eastAsia="仿宋" w:cs="仿宋"/>
          <w:kern w:val="0"/>
          <w:sz w:val="32"/>
          <w:szCs w:val="32"/>
        </w:rPr>
        <w:t>年本单位没有使用政府性基金预算拨款安排的支出。</w:t>
      </w:r>
    </w:p>
    <w:p w14:paraId="67D6D6CE">
      <w:pPr>
        <w:pStyle w:val="9"/>
        <w:rPr>
          <w:rFonts w:hAnsi="黑体"/>
          <w:b/>
          <w:sz w:val="32"/>
          <w:szCs w:val="32"/>
        </w:rPr>
      </w:pPr>
      <w:r>
        <w:rPr>
          <w:rFonts w:hint="eastAsia" w:hAnsi="黑体"/>
          <w:b/>
          <w:sz w:val="32"/>
          <w:szCs w:val="32"/>
        </w:rPr>
        <w:t>九、关于机关运行经费支出说明</w:t>
      </w:r>
    </w:p>
    <w:p w14:paraId="2BF110AF">
      <w:pPr>
        <w:widowControl/>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本部门2020年度机关运行经费支出24.12万元，比上年决算数增加5万元，增长26%，主要原因是：财政根据我单位业务活动情况追加了部分预算指标。</w:t>
      </w:r>
    </w:p>
    <w:p w14:paraId="3D933F13">
      <w:pPr>
        <w:pStyle w:val="9"/>
        <w:rPr>
          <w:rFonts w:hAnsi="黑体"/>
          <w:b/>
          <w:sz w:val="32"/>
          <w:szCs w:val="32"/>
        </w:rPr>
      </w:pPr>
      <w:r>
        <w:rPr>
          <w:rFonts w:hint="eastAsia" w:hAnsi="黑体"/>
          <w:b/>
          <w:sz w:val="32"/>
          <w:szCs w:val="32"/>
        </w:rPr>
        <w:t>十、一般性支出情况</w:t>
      </w:r>
    </w:p>
    <w:p w14:paraId="202D9BE8">
      <w:pPr>
        <w:pStyle w:val="9"/>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2020年本部门开支会议费0万元；开支培训费0万元。</w:t>
      </w:r>
    </w:p>
    <w:p w14:paraId="4BC03076">
      <w:pPr>
        <w:pStyle w:val="9"/>
        <w:rPr>
          <w:rFonts w:hAnsi="黑体"/>
          <w:b/>
          <w:sz w:val="32"/>
          <w:szCs w:val="32"/>
        </w:rPr>
      </w:pPr>
      <w:r>
        <w:rPr>
          <w:rFonts w:hint="eastAsia" w:hAnsi="黑体"/>
          <w:b/>
          <w:sz w:val="32"/>
          <w:szCs w:val="32"/>
        </w:rPr>
        <w:t>十一、关于政府采购支出说明</w:t>
      </w:r>
    </w:p>
    <w:p w14:paraId="6343D03B">
      <w:pPr>
        <w:pStyle w:val="9"/>
        <w:ind w:firstLine="640" w:firstLineChars="200"/>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 xml:space="preserve">本部门2020年度政府采购支出总额0万元，其中：政府采购货物支出0万元、政府采购工程支出0万元、政府采购服务支出0万元。授予中小企业合同金额0万元，占政府采购支出总额的0%，其中：授予小微企业合同金额0万元，占政府采购支出总额的0%。  </w:t>
      </w:r>
    </w:p>
    <w:p w14:paraId="6907ADCC">
      <w:pPr>
        <w:pStyle w:val="9"/>
        <w:rPr>
          <w:rFonts w:hAnsi="黑体"/>
          <w:b/>
          <w:sz w:val="32"/>
          <w:szCs w:val="32"/>
        </w:rPr>
      </w:pPr>
      <w:r>
        <w:rPr>
          <w:rFonts w:hint="eastAsia" w:hAnsi="黑体"/>
          <w:b/>
          <w:sz w:val="32"/>
          <w:szCs w:val="32"/>
        </w:rPr>
        <w:t>十二、关于国有资产占用情况说明</w:t>
      </w:r>
    </w:p>
    <w:p w14:paraId="73CB5598">
      <w:pPr>
        <w:autoSpaceDE w:val="0"/>
        <w:autoSpaceDN w:val="0"/>
        <w:adjustRightInd w:val="0"/>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截至2020年12月31日，本单位共有车辆</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辆，其中，主要领导干部用车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辆，机要通信用车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辆、应急保障用车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辆、执法执勤用车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辆、特种专业技术用车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辆、其他用车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辆，其他用车</w:t>
      </w:r>
      <w:r>
        <w:rPr>
          <w:rFonts w:hint="eastAsia" w:ascii="仿宋" w:hAnsi="仿宋" w:eastAsia="仿宋" w:cs="仿宋"/>
          <w:kern w:val="0"/>
          <w:sz w:val="32"/>
          <w:szCs w:val="32"/>
          <w:lang w:val="en-US" w:eastAsia="zh-CN"/>
        </w:rPr>
        <w:t>0辆</w:t>
      </w:r>
      <w:r>
        <w:rPr>
          <w:rFonts w:hint="eastAsia" w:ascii="仿宋" w:hAnsi="仿宋" w:eastAsia="仿宋" w:cs="仿宋"/>
          <w:kern w:val="0"/>
          <w:sz w:val="32"/>
          <w:szCs w:val="32"/>
        </w:rPr>
        <w:t>；单位价值50万元以上通用设备</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台（套）；单位价值100万元以上专用设备</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台（套）</w:t>
      </w:r>
      <w:r>
        <w:rPr>
          <w:rFonts w:hint="eastAsia" w:ascii="仿宋" w:hAnsi="仿宋" w:eastAsia="仿宋" w:cs="仿宋"/>
          <w:kern w:val="0"/>
          <w:sz w:val="32"/>
          <w:szCs w:val="32"/>
          <w:lang w:eastAsia="zh-CN"/>
        </w:rPr>
        <w:t>。</w:t>
      </w:r>
    </w:p>
    <w:p w14:paraId="72C876AA">
      <w:pPr>
        <w:pStyle w:val="9"/>
        <w:rPr>
          <w:rFonts w:hAnsi="黑体"/>
          <w:b/>
          <w:sz w:val="32"/>
          <w:szCs w:val="32"/>
        </w:rPr>
      </w:pPr>
      <w:r>
        <w:rPr>
          <w:rFonts w:hint="eastAsia" w:hAnsi="黑体"/>
          <w:b/>
          <w:sz w:val="32"/>
          <w:szCs w:val="32"/>
        </w:rPr>
        <w:t>十三、关于2020年度预算绩效情况的说明</w:t>
      </w:r>
    </w:p>
    <w:p w14:paraId="222B71A6">
      <w:pPr>
        <w:autoSpaceDE w:val="0"/>
        <w:autoSpaceDN w:val="0"/>
        <w:adjustRightInd w:val="0"/>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根据上级文件的要求，为进一步规范财政资金管理，强化绩效和责任意识，切实提高财政资金使用效益，我单位对2020年度部门整体支出、单位项目支出、重点（专项）项目支出进行了绩效自评。</w:t>
      </w:r>
    </w:p>
    <w:p w14:paraId="37BB9013">
      <w:pPr>
        <w:autoSpaceDE w:val="0"/>
        <w:autoSpaceDN w:val="0"/>
        <w:adjustRightInd w:val="0"/>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部门整体支出绩效自评得分为98分，评价等级为（优秀）；</w:t>
      </w:r>
    </w:p>
    <w:p w14:paraId="795573BC">
      <w:pPr>
        <w:autoSpaceDE w:val="0"/>
        <w:autoSpaceDN w:val="0"/>
        <w:adjustRightInd w:val="0"/>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我单位没有部门项目支出绩效自评资金；</w:t>
      </w:r>
    </w:p>
    <w:p w14:paraId="72852093">
      <w:pPr>
        <w:autoSpaceDE w:val="0"/>
        <w:autoSpaceDN w:val="0"/>
        <w:adjustRightInd w:val="0"/>
        <w:spacing w:line="60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我单位没有重点（专项）项目支出绩效自评资金。</w:t>
      </w:r>
    </w:p>
    <w:p w14:paraId="47D4CE25">
      <w:pPr>
        <w:autoSpaceDE w:val="0"/>
        <w:autoSpaceDN w:val="0"/>
        <w:adjustRightInd w:val="0"/>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已按</w:t>
      </w:r>
      <w:r>
        <w:rPr>
          <w:rFonts w:hint="eastAsia" w:ascii="仿宋" w:hAnsi="仿宋" w:eastAsia="仿宋" w:cs="仿宋"/>
          <w:kern w:val="0"/>
          <w:sz w:val="32"/>
          <w:szCs w:val="32"/>
          <w:lang w:eastAsia="zh-Hans"/>
        </w:rPr>
        <w:t>县</w:t>
      </w:r>
      <w:r>
        <w:rPr>
          <w:rFonts w:hint="eastAsia" w:ascii="仿宋" w:hAnsi="仿宋" w:eastAsia="仿宋" w:cs="仿宋"/>
          <w:kern w:val="0"/>
          <w:sz w:val="32"/>
          <w:szCs w:val="32"/>
        </w:rPr>
        <w:t>财政局统一要求随同部门决算作为附件公开。</w:t>
      </w:r>
    </w:p>
    <w:p w14:paraId="4EF99D6F">
      <w:pPr>
        <w:autoSpaceDE w:val="0"/>
        <w:autoSpaceDN w:val="0"/>
        <w:adjustRightInd w:val="0"/>
        <w:spacing w:line="600" w:lineRule="exact"/>
        <w:ind w:firstLine="640" w:firstLineChars="200"/>
        <w:rPr>
          <w:rFonts w:hint="eastAsia" w:ascii="仿宋" w:hAnsi="仿宋" w:eastAsia="仿宋" w:cs="仿宋"/>
          <w:kern w:val="0"/>
          <w:sz w:val="32"/>
          <w:szCs w:val="32"/>
        </w:rPr>
      </w:pPr>
    </w:p>
    <w:p w14:paraId="6564898A">
      <w:pPr>
        <w:pStyle w:val="9"/>
        <w:rPr>
          <w:rFonts w:hint="eastAsia" w:asciiTheme="minorEastAsia" w:hAnsiTheme="minorEastAsia" w:eastAsiaTheme="minorEastAsia"/>
          <w:sz w:val="32"/>
          <w:szCs w:val="32"/>
        </w:rPr>
      </w:pPr>
    </w:p>
    <w:p w14:paraId="7AA341EE">
      <w:pPr>
        <w:pStyle w:val="9"/>
        <w:rPr>
          <w:rFonts w:hAnsi="黑体"/>
          <w:b/>
          <w:sz w:val="32"/>
          <w:szCs w:val="32"/>
        </w:rPr>
      </w:pPr>
    </w:p>
    <w:p w14:paraId="79627D47">
      <w:pPr>
        <w:pStyle w:val="9"/>
        <w:jc w:val="center"/>
        <w:rPr>
          <w:sz w:val="72"/>
          <w:szCs w:val="72"/>
        </w:rPr>
      </w:pPr>
    </w:p>
    <w:p w14:paraId="71E39A55">
      <w:pPr>
        <w:pStyle w:val="9"/>
        <w:jc w:val="center"/>
        <w:rPr>
          <w:sz w:val="72"/>
          <w:szCs w:val="72"/>
        </w:rPr>
      </w:pPr>
    </w:p>
    <w:p w14:paraId="4A19FA8C">
      <w:pPr>
        <w:pStyle w:val="9"/>
        <w:jc w:val="center"/>
        <w:rPr>
          <w:sz w:val="72"/>
          <w:szCs w:val="72"/>
        </w:rPr>
      </w:pPr>
    </w:p>
    <w:p w14:paraId="562F55C5">
      <w:pPr>
        <w:pStyle w:val="9"/>
        <w:jc w:val="center"/>
        <w:rPr>
          <w:sz w:val="72"/>
          <w:szCs w:val="72"/>
        </w:rPr>
      </w:pPr>
    </w:p>
    <w:p w14:paraId="2E94C6BF">
      <w:pPr>
        <w:pStyle w:val="9"/>
        <w:jc w:val="center"/>
        <w:rPr>
          <w:sz w:val="72"/>
          <w:szCs w:val="72"/>
        </w:rPr>
      </w:pPr>
    </w:p>
    <w:p w14:paraId="570CA126">
      <w:pPr>
        <w:pStyle w:val="9"/>
        <w:jc w:val="center"/>
        <w:rPr>
          <w:sz w:val="72"/>
          <w:szCs w:val="72"/>
        </w:rPr>
      </w:pPr>
    </w:p>
    <w:p w14:paraId="07577460">
      <w:pPr>
        <w:pStyle w:val="9"/>
        <w:jc w:val="center"/>
        <w:rPr>
          <w:sz w:val="72"/>
          <w:szCs w:val="72"/>
        </w:rPr>
      </w:pPr>
    </w:p>
    <w:p w14:paraId="60C1720A">
      <w:pPr>
        <w:pStyle w:val="9"/>
        <w:jc w:val="center"/>
        <w:rPr>
          <w:sz w:val="72"/>
          <w:szCs w:val="72"/>
        </w:rPr>
      </w:pPr>
    </w:p>
    <w:p w14:paraId="7156CFD9">
      <w:pPr>
        <w:pStyle w:val="9"/>
        <w:jc w:val="center"/>
        <w:rPr>
          <w:sz w:val="72"/>
          <w:szCs w:val="72"/>
        </w:rPr>
      </w:pPr>
    </w:p>
    <w:p w14:paraId="2217B6A1">
      <w:pPr>
        <w:pStyle w:val="9"/>
        <w:jc w:val="center"/>
        <w:rPr>
          <w:rFonts w:hint="eastAsia"/>
          <w:sz w:val="72"/>
          <w:szCs w:val="72"/>
        </w:rPr>
      </w:pPr>
    </w:p>
    <w:p w14:paraId="6BEE9678">
      <w:pPr>
        <w:pStyle w:val="9"/>
        <w:jc w:val="center"/>
        <w:rPr>
          <w:rFonts w:hint="eastAsia"/>
          <w:sz w:val="72"/>
          <w:szCs w:val="72"/>
        </w:rPr>
      </w:pPr>
    </w:p>
    <w:p w14:paraId="59357644">
      <w:pPr>
        <w:pStyle w:val="9"/>
        <w:jc w:val="center"/>
        <w:rPr>
          <w:rFonts w:hint="eastAsia"/>
          <w:sz w:val="72"/>
          <w:szCs w:val="72"/>
        </w:rPr>
      </w:pPr>
    </w:p>
    <w:p w14:paraId="21011810">
      <w:pPr>
        <w:pStyle w:val="9"/>
        <w:jc w:val="center"/>
        <w:rPr>
          <w:rFonts w:hint="eastAsia"/>
          <w:sz w:val="72"/>
          <w:szCs w:val="72"/>
        </w:rPr>
      </w:pPr>
    </w:p>
    <w:p w14:paraId="21B7B328">
      <w:pPr>
        <w:pStyle w:val="9"/>
        <w:jc w:val="center"/>
        <w:rPr>
          <w:rFonts w:hint="eastAsia"/>
          <w:sz w:val="72"/>
          <w:szCs w:val="72"/>
        </w:rPr>
      </w:pPr>
    </w:p>
    <w:p w14:paraId="60842070">
      <w:pPr>
        <w:pStyle w:val="9"/>
        <w:jc w:val="center"/>
        <w:rPr>
          <w:sz w:val="72"/>
          <w:szCs w:val="72"/>
        </w:rPr>
      </w:pPr>
      <w:r>
        <w:rPr>
          <w:rFonts w:hint="eastAsia"/>
          <w:sz w:val="72"/>
          <w:szCs w:val="72"/>
        </w:rPr>
        <w:t>第四部分</w:t>
      </w:r>
    </w:p>
    <w:p w14:paraId="0F786C3C">
      <w:pPr>
        <w:jc w:val="center"/>
        <w:rPr>
          <w:rFonts w:ascii="黑体" w:eastAsia="黑体" w:cs="黑体"/>
          <w:color w:val="000000"/>
          <w:kern w:val="0"/>
          <w:sz w:val="70"/>
          <w:szCs w:val="70"/>
        </w:rPr>
      </w:pPr>
    </w:p>
    <w:p w14:paraId="76083893">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6A67FAB7">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63A85126">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财政拨款收入：指本级财政当年拨付的资金。</w:t>
      </w:r>
    </w:p>
    <w:p w14:paraId="77FF024A">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其他收入：指除上述“财政拨款收入”、“上级补助收入”、“事业收入”、“经营收入”、“附属单位上缴收入”等以外的收入。</w:t>
      </w:r>
    </w:p>
    <w:p w14:paraId="11AE7EFF">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上年结转和结余：指以前年度尚未完成、结转到本年按有关规定继续使用的资金。</w:t>
      </w:r>
    </w:p>
    <w:p w14:paraId="3DAC7DE9">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年末结转和结余资金：指本年度或以前年度预算安排、因客观条件发生变化无法按原计划实施，需要延迟到以后年度按有关规定继续使用的资金。</w:t>
      </w:r>
    </w:p>
    <w:p w14:paraId="0ACBF4CB">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文化体育与传媒支出（类）：是指用于文化、文物、体育、新闻出版广播影视等方面的支出，包括保障机构正常运转、完成日常和特定的工作任务或事业发展目标的支出。</w:t>
      </w:r>
    </w:p>
    <w:p w14:paraId="072D457E">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其他支出（类）：是指用于反映除上述项目以外其他不能划分到具体功能科目中的支出项目，包括保障机构正常运转、完成日常和特定的工作任务或事业发展目标的支出。</w:t>
      </w:r>
    </w:p>
    <w:p w14:paraId="2C663DE5">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基本支出：指保障机构正常运转、完成支日常工作任务而发生的人员支出和公用支出。</w:t>
      </w:r>
    </w:p>
    <w:p w14:paraId="26E12051">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项目支出：指在基本支出之外为完成特定行政任务和事业发展目标所发生的支出。</w:t>
      </w:r>
    </w:p>
    <w:p w14:paraId="6E6F1ABF">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工资福利支出：反映单位开支的在职职工和编制外长期聘用人员的各类劳动报酬，以及为上述人员缴纳的各项社会保险费等。</w:t>
      </w:r>
    </w:p>
    <w:p w14:paraId="322B1466">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08175EBE">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津贴补贴：反映经国家批准建立的机关事业单位艰苦边远地区津贴、机关工作人员地区附加津贴、机关工作人员岗位津贴、事业单位工作人员特殊岗位津贴补贴等。</w:t>
      </w:r>
    </w:p>
    <w:p w14:paraId="09087C42">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奖金：反映机关工作人员年终一次性奖金。</w:t>
      </w:r>
    </w:p>
    <w:p w14:paraId="293E6DBD">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绩效工资：反映事业单位工作人员的绩效工资。</w:t>
      </w:r>
    </w:p>
    <w:p w14:paraId="07611A3E">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机关事业单位基本养老保险缴费：反映机关事业单位缴纳的基本养老保险费。由单位代扣的工作人员基本养老保险缴费，不在此科目反映。</w:t>
      </w:r>
    </w:p>
    <w:p w14:paraId="61433133">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职工基本医疗保险缴费：反映单位为职工缴纳的基本医疗保险费。</w:t>
      </w:r>
    </w:p>
    <w:p w14:paraId="7D956429">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公务员医疗补助缴费：反映按规定可享受公务员医疗补助单位为职工缴纳的公务员医疗补助费。</w:t>
      </w:r>
    </w:p>
    <w:p w14:paraId="1EB56209">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其他社会保障缴费：反映单位为职工缴纳的基本医疗、失业、工伤、生育等社会保险费，残疾人就业保障金，军队（含武警）为军人缴纳的伤亡、退役医疗等社会保险费。</w:t>
      </w:r>
    </w:p>
    <w:p w14:paraId="7BEB65B6">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住房公积金：反映行政事业单位按人力资源和社会保障部、财政部规定的基本工资和津贴补贴以及规定比例为职工缴纳的住房公积金。</w:t>
      </w:r>
    </w:p>
    <w:p w14:paraId="356E4160">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医疗费：反映未参加医疗保险单位的医疗经费和单位按规定为职工支出的其他医疗费用。</w:t>
      </w:r>
    </w:p>
    <w:p w14:paraId="591EF029">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359D0AE8">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商品和服务支出：反映单位购买商品和服务的支出（不包括用于购置固定资产的支出、战略性和应急储备支出）。</w:t>
      </w:r>
    </w:p>
    <w:p w14:paraId="724CB752">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办公费：反映单位购买按财务会计制度规定不符合固定资产确认标准的日常办公用品、书报杂志等支出。</w:t>
      </w:r>
    </w:p>
    <w:p w14:paraId="54BFA603">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印刷费：反映单位的印刷费支出。</w:t>
      </w:r>
    </w:p>
    <w:p w14:paraId="19C4597F">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水费：反映单位支付的水费、污水处理费等支出。</w:t>
      </w:r>
    </w:p>
    <w:p w14:paraId="74257CCC">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电费：反映单位的电费支出。</w:t>
      </w:r>
    </w:p>
    <w:p w14:paraId="2ED4D82C">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邮电费：反映单位开支的信函、包裹、货物等物品的邮寄费及电话费、电报费、传真费、网络通讯费等。</w:t>
      </w:r>
    </w:p>
    <w:p w14:paraId="50D39AA8">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物业管理费：反映单位开支的办公用房以及未实行职工住宅物业服务改革的在职职工和离退休人员宿舍等的物业管理费，包括综合治理、绿化、卫生等方面的支出。</w:t>
      </w:r>
    </w:p>
    <w:p w14:paraId="3CDE0356">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差旅费：反映单位工作人员出差发生的城市间交通费、住宿费、伙食补贴费和市内交通费。</w:t>
      </w:r>
    </w:p>
    <w:p w14:paraId="129FE660">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维修(护)费：反映单位日常开支的固定资产（不包括车船等交通工具）修理和维护费用，网络信息系统运行与维护费用，以及按规定提取的修购基金。</w:t>
      </w:r>
    </w:p>
    <w:p w14:paraId="40A6B85C">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培训费：反映除因公出国（境）培训费以外的各类培训支出。</w:t>
      </w:r>
    </w:p>
    <w:p w14:paraId="496C309B">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FD94844">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劳务费：反映支付给单位和个人的劳务费用，如临时聘用人员、钟点工工资，稿费、翻译费，评审费等。</w:t>
      </w:r>
    </w:p>
    <w:p w14:paraId="4128ADB6">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工会经费：反映单位按规定提取的工会经费。</w:t>
      </w:r>
    </w:p>
    <w:p w14:paraId="51383CC5">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其他交通费用：反映单位除公务用车运行维护费以外的其他交通费用。如公务交通补贴，租车费用、出租车费用，飞机、船舶等的燃料费、维修费、保险费等。</w:t>
      </w:r>
    </w:p>
    <w:p w14:paraId="38E36419">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其他商品和服务支出：反映上述科目未包括的日常公用支出。如行政赔偿费和诉讼费、国内组织的会员费、来访费、广告宣传、其他劳务费及离休人员特需费、公用经费等。</w:t>
      </w:r>
    </w:p>
    <w:p w14:paraId="728A1BE2">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对个人和家庭的补助：反映政府用于对个人和家庭的补助支出。</w:t>
      </w:r>
    </w:p>
    <w:p w14:paraId="1B36BAFC">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rPr>
      </w:pPr>
      <w:r>
        <w:rPr>
          <w:rFonts w:hint="eastAsia" w:ascii="仿宋" w:hAnsi="仿宋" w:eastAsia="仿宋" w:cs="仿宋"/>
          <w:color w:val="000000"/>
          <w:kern w:val="0"/>
          <w:sz w:val="32"/>
          <w:szCs w:val="32"/>
          <w:highlight w:val="white"/>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56B466A1">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奖励金：反映政府各部门的奖励支出，如对个体私营经济的奖励、计划生育目标责任奖励、独生子女父母奖励等。</w:t>
      </w:r>
    </w:p>
    <w:p w14:paraId="3B95F795">
      <w:pPr>
        <w:keepNext/>
        <w:keepLines/>
        <w:pageBreakBefore w:val="0"/>
        <w:widowControl w:val="0"/>
        <w:kinsoku/>
        <w:wordWrap/>
        <w:overflowPunct/>
        <w:topLinePunct w:val="0"/>
        <w:bidi w:val="0"/>
        <w:snapToGrid/>
        <w:ind w:firstLine="640"/>
        <w:jc w:val="both"/>
        <w:textAlignment w:val="auto"/>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lang w:val="en-US"/>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523704C3">
      <w:pPr>
        <w:pStyle w:val="9"/>
        <w:pageBreakBefore w:val="0"/>
        <w:widowControl w:val="0"/>
        <w:kinsoku/>
        <w:wordWrap/>
        <w:overflowPunct/>
        <w:topLinePunct w:val="0"/>
        <w:bidi w:val="0"/>
        <w:snapToGrid/>
        <w:jc w:val="both"/>
        <w:textAlignment w:val="auto"/>
        <w:rPr>
          <w:rFonts w:hint="eastAsia" w:ascii="仿宋" w:hAnsi="仿宋" w:eastAsia="仿宋" w:cs="仿宋"/>
          <w:sz w:val="32"/>
          <w:szCs w:val="32"/>
        </w:rPr>
      </w:pPr>
    </w:p>
    <w:p w14:paraId="55A6308F">
      <w:pPr>
        <w:pStyle w:val="9"/>
        <w:jc w:val="center"/>
        <w:rPr>
          <w:sz w:val="72"/>
          <w:szCs w:val="72"/>
        </w:rPr>
      </w:pPr>
    </w:p>
    <w:p w14:paraId="1E77DDC4">
      <w:pPr>
        <w:pStyle w:val="9"/>
        <w:jc w:val="center"/>
        <w:rPr>
          <w:sz w:val="72"/>
          <w:szCs w:val="72"/>
        </w:rPr>
      </w:pPr>
    </w:p>
    <w:p w14:paraId="5748723E">
      <w:pPr>
        <w:pStyle w:val="9"/>
        <w:jc w:val="center"/>
        <w:rPr>
          <w:sz w:val="72"/>
          <w:szCs w:val="72"/>
        </w:rPr>
      </w:pPr>
    </w:p>
    <w:p w14:paraId="7796ADF6">
      <w:pPr>
        <w:pStyle w:val="9"/>
        <w:jc w:val="center"/>
        <w:rPr>
          <w:sz w:val="72"/>
          <w:szCs w:val="72"/>
        </w:rPr>
      </w:pPr>
    </w:p>
    <w:p w14:paraId="236ED905">
      <w:pPr>
        <w:pStyle w:val="9"/>
        <w:jc w:val="center"/>
        <w:rPr>
          <w:sz w:val="72"/>
          <w:szCs w:val="72"/>
        </w:rPr>
      </w:pPr>
    </w:p>
    <w:p w14:paraId="12CD68C1">
      <w:pPr>
        <w:pStyle w:val="9"/>
        <w:jc w:val="center"/>
        <w:rPr>
          <w:sz w:val="72"/>
          <w:szCs w:val="72"/>
        </w:rPr>
      </w:pPr>
    </w:p>
    <w:p w14:paraId="6AD643D7">
      <w:pPr>
        <w:pStyle w:val="9"/>
        <w:jc w:val="center"/>
        <w:rPr>
          <w:sz w:val="72"/>
          <w:szCs w:val="72"/>
        </w:rPr>
      </w:pPr>
    </w:p>
    <w:p w14:paraId="1A6CDE36">
      <w:pPr>
        <w:pStyle w:val="9"/>
        <w:jc w:val="center"/>
        <w:rPr>
          <w:sz w:val="72"/>
          <w:szCs w:val="72"/>
        </w:rPr>
      </w:pPr>
    </w:p>
    <w:p w14:paraId="54F28F19">
      <w:pPr>
        <w:pStyle w:val="9"/>
        <w:jc w:val="center"/>
        <w:rPr>
          <w:sz w:val="72"/>
          <w:szCs w:val="72"/>
        </w:rPr>
      </w:pPr>
    </w:p>
    <w:p w14:paraId="335B7886">
      <w:pPr>
        <w:pStyle w:val="9"/>
        <w:jc w:val="center"/>
        <w:rPr>
          <w:sz w:val="72"/>
          <w:szCs w:val="72"/>
        </w:rPr>
      </w:pPr>
    </w:p>
    <w:p w14:paraId="19CE2AE3">
      <w:pPr>
        <w:pStyle w:val="9"/>
        <w:jc w:val="center"/>
        <w:rPr>
          <w:sz w:val="72"/>
          <w:szCs w:val="72"/>
        </w:rPr>
      </w:pPr>
    </w:p>
    <w:p w14:paraId="675F1F5F">
      <w:pPr>
        <w:pStyle w:val="9"/>
        <w:jc w:val="center"/>
        <w:rPr>
          <w:sz w:val="72"/>
          <w:szCs w:val="72"/>
        </w:rPr>
      </w:pPr>
    </w:p>
    <w:p w14:paraId="5207B556">
      <w:pPr>
        <w:pStyle w:val="9"/>
        <w:jc w:val="center"/>
        <w:rPr>
          <w:sz w:val="72"/>
          <w:szCs w:val="72"/>
        </w:rPr>
      </w:pPr>
    </w:p>
    <w:p w14:paraId="4CC16D1B">
      <w:pPr>
        <w:pStyle w:val="9"/>
        <w:jc w:val="center"/>
        <w:rPr>
          <w:sz w:val="72"/>
          <w:szCs w:val="72"/>
        </w:rPr>
      </w:pPr>
    </w:p>
    <w:p w14:paraId="1414F8CB">
      <w:pPr>
        <w:pStyle w:val="9"/>
        <w:jc w:val="center"/>
        <w:rPr>
          <w:sz w:val="72"/>
          <w:szCs w:val="72"/>
        </w:rPr>
      </w:pPr>
    </w:p>
    <w:p w14:paraId="564BB024">
      <w:pPr>
        <w:pStyle w:val="9"/>
        <w:jc w:val="center"/>
        <w:rPr>
          <w:sz w:val="72"/>
          <w:szCs w:val="72"/>
        </w:rPr>
      </w:pPr>
    </w:p>
    <w:p w14:paraId="0EEB0545">
      <w:pPr>
        <w:pStyle w:val="9"/>
        <w:jc w:val="center"/>
        <w:rPr>
          <w:sz w:val="72"/>
          <w:szCs w:val="72"/>
        </w:rPr>
      </w:pPr>
      <w:r>
        <w:rPr>
          <w:rFonts w:hint="eastAsia"/>
          <w:sz w:val="72"/>
          <w:szCs w:val="72"/>
        </w:rPr>
        <w:t>第五部分</w:t>
      </w:r>
    </w:p>
    <w:p w14:paraId="6A122B4C">
      <w:pPr>
        <w:jc w:val="center"/>
        <w:rPr>
          <w:rFonts w:ascii="黑体" w:eastAsia="黑体" w:cs="黑体"/>
          <w:color w:val="000000"/>
          <w:kern w:val="0"/>
          <w:sz w:val="70"/>
          <w:szCs w:val="70"/>
        </w:rPr>
      </w:pPr>
    </w:p>
    <w:p w14:paraId="04E773EE">
      <w:pPr>
        <w:spacing w:line="800" w:lineRule="exact"/>
        <w:jc w:val="center"/>
        <w:rPr>
          <w:rFonts w:hint="eastAsia" w:ascii="黑体" w:hAnsi="黑体" w:eastAsia="黑体" w:cs="黑体"/>
          <w:bCs/>
          <w:sz w:val="46"/>
          <w:szCs w:val="46"/>
        </w:rPr>
      </w:pPr>
      <w:r>
        <w:rPr>
          <w:rFonts w:hint="eastAsia" w:ascii="黑体" w:hAnsi="黑体" w:eastAsia="黑体" w:cs="黑体"/>
          <w:bCs/>
          <w:sz w:val="46"/>
          <w:szCs w:val="46"/>
          <w:lang w:val="en-US" w:eastAsia="zh-CN"/>
        </w:rPr>
        <w:t>附件：</w:t>
      </w:r>
      <w:r>
        <w:rPr>
          <w:rFonts w:hint="eastAsia" w:ascii="黑体" w:hAnsi="黑体" w:eastAsia="黑体" w:cs="黑体"/>
          <w:bCs/>
          <w:sz w:val="46"/>
          <w:szCs w:val="46"/>
        </w:rPr>
        <w:t>岳阳县20</w:t>
      </w:r>
      <w:r>
        <w:rPr>
          <w:rFonts w:hint="eastAsia" w:ascii="黑体" w:hAnsi="黑体" w:eastAsia="黑体" w:cs="黑体"/>
          <w:bCs/>
          <w:sz w:val="46"/>
          <w:szCs w:val="46"/>
          <w:u w:val="single"/>
        </w:rPr>
        <w:t>20</w:t>
      </w:r>
      <w:r>
        <w:rPr>
          <w:rFonts w:hint="eastAsia" w:ascii="黑体" w:hAnsi="黑体" w:eastAsia="黑体" w:cs="黑体"/>
          <w:bCs/>
          <w:sz w:val="46"/>
          <w:szCs w:val="46"/>
        </w:rPr>
        <w:t>年度部门整体支出</w:t>
      </w:r>
    </w:p>
    <w:p w14:paraId="61FB6D0F">
      <w:pPr>
        <w:spacing w:line="800" w:lineRule="exact"/>
        <w:jc w:val="center"/>
        <w:rPr>
          <w:rFonts w:hint="eastAsia" w:ascii="黑体" w:hAnsi="黑体" w:eastAsia="黑体" w:cs="黑体"/>
          <w:bCs/>
          <w:sz w:val="46"/>
          <w:szCs w:val="46"/>
        </w:rPr>
      </w:pPr>
      <w:r>
        <w:rPr>
          <w:rFonts w:hint="eastAsia" w:ascii="黑体" w:hAnsi="黑体" w:eastAsia="黑体" w:cs="黑体"/>
          <w:bCs/>
          <w:sz w:val="46"/>
          <w:szCs w:val="46"/>
        </w:rPr>
        <w:t>绩效评价自评报告</w:t>
      </w:r>
    </w:p>
    <w:p w14:paraId="32226FB0">
      <w:pPr>
        <w:ind w:firstLine="640" w:firstLineChars="200"/>
        <w:jc w:val="left"/>
        <w:rPr>
          <w:rFonts w:cs="黑体" w:asciiTheme="minorEastAsia" w:hAnsiTheme="minorEastAsia"/>
          <w:color w:val="000000"/>
          <w:kern w:val="0"/>
          <w:sz w:val="32"/>
          <w:szCs w:val="32"/>
        </w:rPr>
      </w:pPr>
      <w:bookmarkStart w:id="6" w:name="_GoBack"/>
      <w:bookmarkEnd w:id="6"/>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F26AFB"/>
    <w:multiLevelType w:val="singleLevel"/>
    <w:tmpl w:val="F6F26AFB"/>
    <w:lvl w:ilvl="0" w:tentative="0">
      <w:start w:val="1"/>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4ODk0NzM2ZTlhZmRjMmU3YmRjN2NiZDIwYmYyMjI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44EE"/>
    <w:rsid w:val="00DD06FF"/>
    <w:rsid w:val="00DD5FE9"/>
    <w:rsid w:val="00E00C7A"/>
    <w:rsid w:val="00E37D6C"/>
    <w:rsid w:val="00E55B68"/>
    <w:rsid w:val="00E67BE6"/>
    <w:rsid w:val="00E8683C"/>
    <w:rsid w:val="00EA2B72"/>
    <w:rsid w:val="00F74360"/>
    <w:rsid w:val="00FB462F"/>
    <w:rsid w:val="00FE16FA"/>
    <w:rsid w:val="00FE328A"/>
    <w:rsid w:val="00FE6269"/>
    <w:rsid w:val="02ED300F"/>
    <w:rsid w:val="057077FE"/>
    <w:rsid w:val="05E809DC"/>
    <w:rsid w:val="08915791"/>
    <w:rsid w:val="0999523A"/>
    <w:rsid w:val="0BBC48D3"/>
    <w:rsid w:val="0D1233C1"/>
    <w:rsid w:val="0D50137E"/>
    <w:rsid w:val="0FAA1223"/>
    <w:rsid w:val="149503B7"/>
    <w:rsid w:val="15665939"/>
    <w:rsid w:val="16456939"/>
    <w:rsid w:val="19310338"/>
    <w:rsid w:val="1A092B3F"/>
    <w:rsid w:val="1D214638"/>
    <w:rsid w:val="1E4C1AE7"/>
    <w:rsid w:val="218F07C3"/>
    <w:rsid w:val="223B6BE7"/>
    <w:rsid w:val="290F2DD7"/>
    <w:rsid w:val="2CAD5E46"/>
    <w:rsid w:val="2ED55B28"/>
    <w:rsid w:val="31DD6119"/>
    <w:rsid w:val="32797756"/>
    <w:rsid w:val="32E53E60"/>
    <w:rsid w:val="33AE4250"/>
    <w:rsid w:val="362659ED"/>
    <w:rsid w:val="36D36DF1"/>
    <w:rsid w:val="3A0D50C1"/>
    <w:rsid w:val="3F392ABD"/>
    <w:rsid w:val="40714F85"/>
    <w:rsid w:val="43341F26"/>
    <w:rsid w:val="49A20C96"/>
    <w:rsid w:val="4ECF54BC"/>
    <w:rsid w:val="504B7A44"/>
    <w:rsid w:val="58E3481A"/>
    <w:rsid w:val="61527D05"/>
    <w:rsid w:val="63B956BB"/>
    <w:rsid w:val="65575FEC"/>
    <w:rsid w:val="65754FEF"/>
    <w:rsid w:val="758A0D7A"/>
    <w:rsid w:val="79694470"/>
    <w:rsid w:val="7D0A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uiPriority w:val="0"/>
    <w:rPr>
      <w:rFonts w:hint="eastAsia" w:ascii="宋体" w:hAnsi="宋体" w:eastAsia="宋体" w:cs="宋体"/>
      <w:color w:val="000000"/>
      <w:sz w:val="20"/>
      <w:szCs w:val="20"/>
      <w:u w:val="none"/>
    </w:rPr>
  </w:style>
  <w:style w:type="character" w:customStyle="1" w:styleId="13">
    <w:name w:val="font51"/>
    <w:basedOn w:val="6"/>
    <w:uiPriority w:val="0"/>
    <w:rPr>
      <w:rFonts w:hint="eastAsia" w:ascii="宋体" w:hAnsi="宋体" w:eastAsia="宋体" w:cs="宋体"/>
      <w:color w:val="000000"/>
      <w:sz w:val="22"/>
      <w:szCs w:val="22"/>
      <w:u w:val="none"/>
    </w:rPr>
  </w:style>
  <w:style w:type="character" w:customStyle="1" w:styleId="14">
    <w:name w:val="font21"/>
    <w:basedOn w:val="6"/>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5535</Words>
  <Characters>5900</Characters>
  <Lines>62</Lines>
  <Paragraphs>17</Paragraphs>
  <TotalTime>3</TotalTime>
  <ScaleCrop>false</ScaleCrop>
  <LinksUpToDate>false</LinksUpToDate>
  <CharactersWithSpaces>5933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悬剑</cp:lastModifiedBy>
  <cp:lastPrinted>2021-07-28T08:12:00Z</cp:lastPrinted>
  <dcterms:modified xsi:type="dcterms:W3CDTF">2024-08-19T02:28:27Z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06530698520F4413883DF8099DFD6FA7</vt:lpwstr>
  </property>
</Properties>
</file>