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7D21">
      <w:pPr>
        <w:widowControl/>
        <w:jc w:val="center"/>
        <w:rPr>
          <w:rFonts w:ascii="仿宋" w:hAnsi="仿宋" w:eastAsia="仿宋" w:cs="仿宋"/>
          <w:b/>
          <w:bCs/>
          <w:kern w:val="0"/>
          <w:sz w:val="32"/>
          <w:szCs w:val="32"/>
        </w:rPr>
      </w:pPr>
      <w:bookmarkStart w:id="0" w:name="_GoBack"/>
    </w:p>
    <w:p w14:paraId="4CB8618E">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岳阳县文化旅游市场综合执法大队2020年度决算公开</w:t>
      </w:r>
    </w:p>
    <w:p w14:paraId="13DCABED">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目录</w:t>
      </w:r>
    </w:p>
    <w:p w14:paraId="7AA035CD">
      <w:pPr>
        <w:widowControl/>
        <w:spacing w:line="600" w:lineRule="exact"/>
        <w:rPr>
          <w:rFonts w:ascii="仿宋" w:hAnsi="仿宋" w:eastAsia="仿宋" w:cs="仿宋"/>
          <w:b/>
          <w:bCs/>
          <w:kern w:val="0"/>
          <w:sz w:val="32"/>
          <w:szCs w:val="32"/>
        </w:rPr>
      </w:pPr>
      <w:r>
        <w:rPr>
          <w:rFonts w:hint="eastAsia" w:ascii="仿宋" w:hAnsi="仿宋" w:eastAsia="仿宋" w:cs="仿宋"/>
          <w:b/>
          <w:bCs/>
          <w:kern w:val="0"/>
          <w:sz w:val="32"/>
          <w:szCs w:val="32"/>
        </w:rPr>
        <w:t>第一部分 单位概况</w:t>
      </w:r>
    </w:p>
    <w:p w14:paraId="38228367">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一、部门职责</w:t>
      </w:r>
    </w:p>
    <w:p w14:paraId="7672E120">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二、机构设置</w:t>
      </w:r>
    </w:p>
    <w:p w14:paraId="06AB2DEF">
      <w:pPr>
        <w:widowControl/>
        <w:spacing w:line="600" w:lineRule="exact"/>
        <w:rPr>
          <w:rFonts w:ascii="仿宋" w:hAnsi="仿宋" w:eastAsia="仿宋" w:cs="仿宋"/>
          <w:b/>
          <w:bCs/>
          <w:kern w:val="0"/>
          <w:sz w:val="32"/>
          <w:szCs w:val="32"/>
        </w:rPr>
      </w:pPr>
      <w:r>
        <w:rPr>
          <w:rFonts w:hint="eastAsia" w:ascii="仿宋" w:hAnsi="仿宋" w:eastAsia="仿宋" w:cs="仿宋"/>
          <w:b/>
          <w:bCs/>
          <w:kern w:val="0"/>
          <w:sz w:val="32"/>
          <w:szCs w:val="32"/>
        </w:rPr>
        <w:t>第二部分  部门决算公开表</w:t>
      </w:r>
    </w:p>
    <w:p w14:paraId="1D954C4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一、收入支出决算总表</w:t>
      </w:r>
    </w:p>
    <w:p w14:paraId="40E70F49">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二、收入决算表</w:t>
      </w:r>
    </w:p>
    <w:p w14:paraId="54BDB717">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三、支出决算表</w:t>
      </w:r>
    </w:p>
    <w:p w14:paraId="5C6EF91D">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四、财政拨款收入支出决算总表</w:t>
      </w:r>
    </w:p>
    <w:p w14:paraId="25BDE2B9">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五、一般公共预算财政拨款支出决算表</w:t>
      </w:r>
    </w:p>
    <w:p w14:paraId="7158C9B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六、一般公共预算财政拨款基本支出决算表</w:t>
      </w:r>
    </w:p>
    <w:p w14:paraId="5CD6BB64">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七、一般公共预算财政拨款“三公”经费支出决算表</w:t>
      </w:r>
    </w:p>
    <w:p w14:paraId="663B01C7">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八、政府性基金预算财政拨款收入支出决算表</w:t>
      </w:r>
    </w:p>
    <w:p w14:paraId="4463DF06">
      <w:pPr>
        <w:widowControl/>
        <w:spacing w:line="60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第三部分  部门决算情况说明</w:t>
      </w:r>
    </w:p>
    <w:p w14:paraId="72E4EFB4">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一、收入支出决算总体情况说明</w:t>
      </w:r>
    </w:p>
    <w:p w14:paraId="176B7BF7">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二、收入决算情况说明</w:t>
      </w:r>
    </w:p>
    <w:p w14:paraId="6C8D7D2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三、支出决算情况说明</w:t>
      </w:r>
    </w:p>
    <w:p w14:paraId="253DDBC1">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四、财政拨款收入支出决算总体情况说明</w:t>
      </w:r>
    </w:p>
    <w:p w14:paraId="7AC9799C">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五、一般公共预算财政拨款支出决算情况说明</w:t>
      </w:r>
    </w:p>
    <w:p w14:paraId="3DF73D86">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六、一般公共预算财政拨款基本支出决算情况说明</w:t>
      </w:r>
    </w:p>
    <w:p w14:paraId="4033A51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七、一般公共预算财政拨款“三公”经费支出情况决算情况说明</w:t>
      </w:r>
    </w:p>
    <w:p w14:paraId="1721253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八、政府性基金预算收入支出决算情况</w:t>
      </w:r>
    </w:p>
    <w:p w14:paraId="517099CB">
      <w:pPr>
        <w:widowControl/>
        <w:spacing w:line="60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rPr>
        <w:t>九、</w:t>
      </w:r>
      <w:r>
        <w:rPr>
          <w:rFonts w:hint="eastAsia" w:ascii="仿宋" w:hAnsi="仿宋" w:eastAsia="仿宋" w:cs="仿宋"/>
          <w:kern w:val="0"/>
          <w:sz w:val="32"/>
          <w:szCs w:val="32"/>
          <w:lang w:val="en-US" w:eastAsia="zh-CN"/>
        </w:rPr>
        <w:t>关于机关运行经费支出说明</w:t>
      </w:r>
    </w:p>
    <w:p w14:paraId="5E6F6BB0">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十、</w:t>
      </w:r>
      <w:r>
        <w:rPr>
          <w:rFonts w:hint="eastAsia" w:ascii="仿宋" w:hAnsi="仿宋" w:eastAsia="仿宋" w:cs="仿宋"/>
          <w:kern w:val="0"/>
          <w:sz w:val="32"/>
          <w:szCs w:val="32"/>
          <w:lang w:val="en-US" w:eastAsia="zh-CN"/>
        </w:rPr>
        <w:t>一般性支出情况</w:t>
      </w:r>
    </w:p>
    <w:p w14:paraId="0D015CFC">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十一、关于政府采购支出说明</w:t>
      </w:r>
    </w:p>
    <w:p w14:paraId="00C9C7AF">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十二、关于国有资产占用情况说明</w:t>
      </w:r>
    </w:p>
    <w:p w14:paraId="1B69CB3D">
      <w:pPr>
        <w:widowControl/>
        <w:spacing w:line="60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十三、关于2020年预算绩效情况说明</w:t>
      </w:r>
    </w:p>
    <w:p w14:paraId="4486395B">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第四部分名称解释</w:t>
      </w:r>
    </w:p>
    <w:p w14:paraId="3CFC4992">
      <w:pPr>
        <w:widowControl/>
        <w:spacing w:line="600" w:lineRule="exact"/>
        <w:rPr>
          <w:rFonts w:ascii="仿宋" w:hAnsi="仿宋" w:eastAsia="仿宋" w:cs="仿宋"/>
          <w:b/>
          <w:bCs/>
          <w:kern w:val="0"/>
          <w:sz w:val="32"/>
          <w:szCs w:val="32"/>
        </w:rPr>
      </w:pPr>
    </w:p>
    <w:p w14:paraId="54BCDD94">
      <w:pPr>
        <w:widowControl/>
        <w:spacing w:line="600" w:lineRule="exact"/>
        <w:rPr>
          <w:rFonts w:ascii="仿宋" w:hAnsi="仿宋" w:eastAsia="仿宋" w:cs="仿宋"/>
          <w:b/>
          <w:bCs/>
          <w:kern w:val="0"/>
          <w:sz w:val="32"/>
          <w:szCs w:val="32"/>
        </w:rPr>
      </w:pPr>
      <w:r>
        <w:rPr>
          <w:rFonts w:hint="eastAsia" w:ascii="仿宋" w:hAnsi="仿宋" w:eastAsia="仿宋" w:cs="仿宋"/>
          <w:b/>
          <w:bCs/>
          <w:kern w:val="0"/>
          <w:sz w:val="32"/>
          <w:szCs w:val="32"/>
        </w:rPr>
        <w:t>第一部分  单位概况</w:t>
      </w:r>
    </w:p>
    <w:p w14:paraId="3C16A381">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一、部门职责</w:t>
      </w:r>
    </w:p>
    <w:p w14:paraId="187CFC87">
      <w:pPr>
        <w:widowControl/>
        <w:shd w:val="clear" w:color="auto" w:fill="FFFFFF"/>
        <w:spacing w:line="600" w:lineRule="exact"/>
        <w:ind w:firstLine="787" w:firstLineChars="245"/>
        <w:jc w:val="left"/>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（一）主要职能</w:t>
      </w:r>
    </w:p>
    <w:p w14:paraId="5B003400">
      <w:pPr>
        <w:spacing w:line="480" w:lineRule="exact"/>
        <w:ind w:firstLine="640" w:firstLineChars="200"/>
        <w:rPr>
          <w:rFonts w:ascii="仿宋_GB2312" w:eastAsia="仿宋_GB2312"/>
          <w:sz w:val="32"/>
          <w:szCs w:val="32"/>
        </w:rPr>
      </w:pPr>
      <w:r>
        <w:rPr>
          <w:rFonts w:hint="eastAsia" w:ascii="仿宋_GB2312" w:hAnsi="宋体" w:eastAsia="仿宋_GB2312" w:cs="宋体"/>
          <w:color w:val="333333"/>
          <w:kern w:val="0"/>
          <w:sz w:val="32"/>
          <w:szCs w:val="32"/>
        </w:rPr>
        <w:t>1、</w:t>
      </w:r>
      <w:r>
        <w:rPr>
          <w:rFonts w:hint="eastAsia" w:ascii="仿宋_GB2312" w:eastAsia="仿宋_GB2312"/>
          <w:sz w:val="32"/>
          <w:szCs w:val="32"/>
        </w:rPr>
        <w:t>贯彻执行党和国家有关文化、广播影视、出版物市场管理的法律、法规和方针、政策；拟订全县文化市场行政执法工作的规范性文件、总体规划和年度计划，并组织实施。</w:t>
      </w:r>
    </w:p>
    <w:p w14:paraId="52913166">
      <w:pPr>
        <w:spacing w:line="480" w:lineRule="exact"/>
        <w:ind w:firstLine="640" w:firstLineChars="200"/>
        <w:rPr>
          <w:rFonts w:ascii="仿宋_GB2312" w:eastAsia="仿宋_GB2312"/>
          <w:sz w:val="32"/>
          <w:szCs w:val="32"/>
        </w:rPr>
      </w:pPr>
      <w:r>
        <w:rPr>
          <w:rFonts w:hint="eastAsia" w:ascii="仿宋_GB2312" w:eastAsia="仿宋_GB2312"/>
          <w:sz w:val="32"/>
          <w:szCs w:val="32"/>
        </w:rPr>
        <w:t>2.负责查处职责范围内的各类著作权侵权行为。</w:t>
      </w:r>
    </w:p>
    <w:p w14:paraId="32B5CA80">
      <w:pPr>
        <w:spacing w:line="480" w:lineRule="exact"/>
        <w:ind w:firstLine="640" w:firstLineChars="200"/>
        <w:rPr>
          <w:rFonts w:ascii="仿宋_GB2312" w:eastAsia="仿宋_GB2312"/>
          <w:sz w:val="32"/>
          <w:szCs w:val="32"/>
        </w:rPr>
      </w:pPr>
      <w:r>
        <w:rPr>
          <w:rFonts w:hint="eastAsia" w:ascii="仿宋_GB2312" w:eastAsia="仿宋_GB2312"/>
          <w:sz w:val="32"/>
          <w:szCs w:val="32"/>
        </w:rPr>
        <w:t>3.承担全县演出、娱乐、互联网上网服务场所（网吧）、电子游戏、美术品销售、图书、报纸、期刊、音像制品、电子出版、网络文化出版发行、计算机软件、印刷（复制）、出版物发行等经营活动中的违法违规行为和非法安装、擅自使用卫星电视广播地面接收设施行为的查处。</w:t>
      </w:r>
    </w:p>
    <w:p w14:paraId="11D8A72B">
      <w:pPr>
        <w:spacing w:line="480" w:lineRule="exact"/>
        <w:ind w:firstLine="480" w:firstLineChars="150"/>
        <w:rPr>
          <w:rFonts w:ascii="仿宋_GB2312" w:eastAsia="仿宋_GB2312"/>
          <w:sz w:val="32"/>
          <w:szCs w:val="32"/>
        </w:rPr>
      </w:pPr>
      <w:r>
        <w:rPr>
          <w:rFonts w:hint="eastAsia" w:ascii="仿宋_GB2312" w:eastAsia="仿宋_GB2312"/>
          <w:sz w:val="32"/>
          <w:szCs w:val="32"/>
        </w:rPr>
        <w:t>4.承办县委、县人民政府交办的其他事项。</w:t>
      </w:r>
    </w:p>
    <w:p w14:paraId="56AE2530">
      <w:pPr>
        <w:widowControl/>
        <w:spacing w:line="600" w:lineRule="exact"/>
        <w:rPr>
          <w:rFonts w:ascii="仿宋" w:hAnsi="仿宋" w:eastAsia="仿宋" w:cs="仿宋"/>
          <w:kern w:val="0"/>
          <w:sz w:val="32"/>
          <w:szCs w:val="32"/>
        </w:rPr>
      </w:pPr>
    </w:p>
    <w:p w14:paraId="312672F8">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二、机构设置</w:t>
      </w:r>
    </w:p>
    <w:p w14:paraId="7817C361">
      <w:pPr>
        <w:pStyle w:val="16"/>
        <w:widowControl/>
        <w:numPr>
          <w:ilvl w:val="0"/>
          <w:numId w:val="1"/>
        </w:numPr>
        <w:spacing w:line="600" w:lineRule="exact"/>
        <w:ind w:firstLineChars="0"/>
        <w:rPr>
          <w:rFonts w:ascii="仿宋" w:hAnsi="仿宋" w:eastAsia="仿宋" w:cs="仿宋"/>
          <w:kern w:val="0"/>
          <w:sz w:val="32"/>
          <w:szCs w:val="32"/>
        </w:rPr>
      </w:pPr>
      <w:r>
        <w:rPr>
          <w:rFonts w:hint="eastAsia" w:ascii="仿宋" w:hAnsi="仿宋" w:eastAsia="仿宋" w:cs="仿宋"/>
          <w:color w:val="000000"/>
          <w:kern w:val="0"/>
          <w:sz w:val="32"/>
          <w:szCs w:val="32"/>
        </w:rPr>
        <w:t>岳阳县文化旅游市场综合执法大队属参照公务员管理的事业单位，在职在编人数24人，退休6人，三性用工1人，内设5个股室:</w:t>
      </w:r>
      <w:r>
        <w:rPr>
          <w:rFonts w:hint="eastAsia" w:ascii="仿宋_GB2312" w:eastAsia="仿宋_GB2312"/>
          <w:sz w:val="32"/>
          <w:szCs w:val="32"/>
        </w:rPr>
        <w:t>综合办公室、新闻出版执法中队、网络娱乐执法中队、版权和广电执法中队、</w:t>
      </w:r>
      <w:r>
        <w:rPr>
          <w:rFonts w:hint="eastAsia" w:ascii="仿宋" w:hAnsi="仿宋" w:eastAsia="仿宋" w:cs="宋体"/>
          <w:b/>
          <w:color w:val="333333"/>
          <w:kern w:val="0"/>
          <w:sz w:val="32"/>
          <w:szCs w:val="32"/>
        </w:rPr>
        <w:t>旅游执法中队</w:t>
      </w:r>
      <w:r>
        <w:rPr>
          <w:rFonts w:hint="eastAsia" w:ascii="仿宋_GB2312" w:hAnsi="宋体" w:eastAsia="仿宋_GB2312" w:cs="宋体"/>
          <w:b/>
          <w:color w:val="333333"/>
          <w:kern w:val="0"/>
          <w:sz w:val="32"/>
          <w:szCs w:val="32"/>
        </w:rPr>
        <w:t>。</w:t>
      </w:r>
    </w:p>
    <w:p w14:paraId="43CF0015">
      <w:pPr>
        <w:widowControl/>
        <w:spacing w:line="600" w:lineRule="exact"/>
        <w:rPr>
          <w:rFonts w:ascii="仿宋" w:hAnsi="仿宋" w:eastAsia="仿宋" w:cs="仿宋"/>
          <w:b/>
          <w:bCs/>
          <w:color w:val="000000"/>
          <w:kern w:val="0"/>
          <w:sz w:val="32"/>
          <w:szCs w:val="32"/>
        </w:rPr>
      </w:pPr>
      <w:r>
        <w:rPr>
          <w:rFonts w:hint="eastAsia" w:ascii="仿宋" w:hAnsi="仿宋" w:eastAsia="仿宋" w:cs="仿宋"/>
          <w:b/>
          <w:bCs/>
          <w:kern w:val="0"/>
          <w:sz w:val="32"/>
          <w:szCs w:val="32"/>
        </w:rPr>
        <w:t>第二部分  部门决算公开表(见附表)</w:t>
      </w:r>
    </w:p>
    <w:p w14:paraId="60B784A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一、收入支出决算总表</w:t>
      </w:r>
    </w:p>
    <w:p w14:paraId="5F5BDBBA">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二、收入决算表</w:t>
      </w:r>
    </w:p>
    <w:p w14:paraId="3F82EB55">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三、支出决算表</w:t>
      </w:r>
    </w:p>
    <w:p w14:paraId="79D6D3F6">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四、财政拨款收入支出决算总表</w:t>
      </w:r>
    </w:p>
    <w:p w14:paraId="2A1663AD">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五、一般公共预算财政拨款支出决算表</w:t>
      </w:r>
    </w:p>
    <w:p w14:paraId="143CBCD5">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六、一般公共预算财政拨款基本支出决算表</w:t>
      </w:r>
    </w:p>
    <w:p w14:paraId="0224D110">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七、“三公”经费公共预算财政拨款支出决算表</w:t>
      </w:r>
    </w:p>
    <w:p w14:paraId="40C42D39">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八、政府性基金预算财政拨款收入支出决算表</w:t>
      </w:r>
    </w:p>
    <w:p w14:paraId="3FEEED5D">
      <w:pPr>
        <w:widowControl/>
        <w:spacing w:line="600" w:lineRule="exact"/>
        <w:rPr>
          <w:rFonts w:ascii="仿宋" w:hAnsi="仿宋" w:eastAsia="仿宋" w:cs="仿宋"/>
          <w:kern w:val="0"/>
          <w:sz w:val="32"/>
          <w:szCs w:val="32"/>
        </w:rPr>
      </w:pPr>
    </w:p>
    <w:p w14:paraId="3DA4F19B">
      <w:pPr>
        <w:widowControl/>
        <w:spacing w:line="600" w:lineRule="exact"/>
        <w:rPr>
          <w:rFonts w:ascii="仿宋" w:hAnsi="仿宋" w:eastAsia="仿宋" w:cs="仿宋"/>
          <w:b/>
          <w:bCs/>
          <w:kern w:val="0"/>
          <w:sz w:val="32"/>
          <w:szCs w:val="32"/>
        </w:rPr>
      </w:pPr>
      <w:r>
        <w:rPr>
          <w:rFonts w:hint="eastAsia" w:ascii="仿宋" w:hAnsi="仿宋" w:eastAsia="仿宋" w:cs="仿宋"/>
          <w:b/>
          <w:bCs/>
          <w:kern w:val="0"/>
          <w:sz w:val="32"/>
          <w:szCs w:val="32"/>
        </w:rPr>
        <w:t>第三部分  部门决算情况说明</w:t>
      </w:r>
    </w:p>
    <w:p w14:paraId="6B27DE00">
      <w:pPr>
        <w:widowControl/>
        <w:spacing w:line="600" w:lineRule="exact"/>
        <w:rPr>
          <w:rFonts w:ascii="仿宋" w:hAnsi="仿宋" w:eastAsia="仿宋" w:cs="仿宋"/>
          <w:b/>
          <w:bCs/>
          <w:kern w:val="0"/>
          <w:sz w:val="32"/>
          <w:szCs w:val="32"/>
        </w:rPr>
      </w:pPr>
      <w:r>
        <w:rPr>
          <w:rFonts w:hint="eastAsia" w:ascii="仿宋" w:hAnsi="仿宋" w:eastAsia="仿宋" w:cs="仿宋"/>
          <w:kern w:val="0"/>
          <w:sz w:val="32"/>
          <w:szCs w:val="32"/>
        </w:rPr>
        <w:t>一、收入支出决算总体情况说明</w:t>
      </w:r>
    </w:p>
    <w:p w14:paraId="0F0104DB">
      <w:pPr>
        <w:widowControl/>
        <w:spacing w:line="600" w:lineRule="exact"/>
        <w:ind w:firstLine="640" w:firstLineChars="200"/>
        <w:rPr>
          <w:rFonts w:hint="eastAsia" w:ascii="仿宋" w:hAnsi="仿宋" w:eastAsia="仿宋" w:cs="仿宋"/>
          <w:kern w:val="0"/>
          <w:sz w:val="32"/>
          <w:szCs w:val="32"/>
          <w:lang w:val="zh-CN" w:eastAsia="zh-CN"/>
        </w:rPr>
      </w:pPr>
      <w:r>
        <w:rPr>
          <w:rFonts w:hint="eastAsia" w:ascii="仿宋" w:hAnsi="仿宋" w:eastAsia="仿宋" w:cs="仿宋"/>
          <w:kern w:val="0"/>
          <w:sz w:val="32"/>
          <w:szCs w:val="32"/>
          <w:lang w:val="zh-CN"/>
        </w:rPr>
        <w:t>20</w:t>
      </w:r>
      <w:r>
        <w:rPr>
          <w:rFonts w:hint="eastAsia" w:ascii="仿宋" w:hAnsi="仿宋" w:eastAsia="仿宋" w:cs="仿宋"/>
          <w:kern w:val="0"/>
          <w:sz w:val="32"/>
          <w:szCs w:val="32"/>
        </w:rPr>
        <w:t>20</w:t>
      </w:r>
      <w:r>
        <w:rPr>
          <w:rFonts w:hint="eastAsia" w:ascii="仿宋" w:hAnsi="仿宋" w:eastAsia="仿宋" w:cs="仿宋"/>
          <w:kern w:val="0"/>
          <w:sz w:val="32"/>
          <w:szCs w:val="32"/>
          <w:lang w:val="zh-CN"/>
        </w:rPr>
        <w:t>年度收</w:t>
      </w:r>
      <w:r>
        <w:rPr>
          <w:rFonts w:hint="eastAsia" w:ascii="仿宋" w:hAnsi="仿宋" w:eastAsia="仿宋" w:cs="仿宋"/>
          <w:kern w:val="0"/>
          <w:sz w:val="32"/>
          <w:szCs w:val="32"/>
        </w:rPr>
        <w:t>入</w:t>
      </w:r>
      <w:r>
        <w:rPr>
          <w:rFonts w:hint="eastAsia" w:ascii="仿宋" w:hAnsi="仿宋" w:eastAsia="仿宋" w:cs="仿宋"/>
          <w:kern w:val="0"/>
          <w:sz w:val="32"/>
          <w:szCs w:val="32"/>
          <w:lang w:val="zh-CN"/>
        </w:rPr>
        <w:t>总计</w:t>
      </w:r>
      <w:r>
        <w:rPr>
          <w:rFonts w:hint="eastAsia" w:ascii="仿宋" w:hAnsi="仿宋" w:eastAsia="仿宋" w:cs="仿宋"/>
          <w:kern w:val="0"/>
          <w:sz w:val="32"/>
          <w:szCs w:val="32"/>
        </w:rPr>
        <w:t>339.59</w:t>
      </w:r>
      <w:r>
        <w:rPr>
          <w:rFonts w:hint="eastAsia" w:ascii="仿宋" w:hAnsi="仿宋" w:eastAsia="仿宋" w:cs="仿宋"/>
          <w:kern w:val="0"/>
          <w:sz w:val="32"/>
          <w:szCs w:val="32"/>
          <w:lang w:val="zh-CN"/>
        </w:rPr>
        <w:t>万元(含年初结转和结余资金 41.73万元)，与201</w:t>
      </w:r>
      <w:r>
        <w:rPr>
          <w:rFonts w:hint="eastAsia" w:ascii="仿宋" w:hAnsi="仿宋" w:eastAsia="仿宋" w:cs="仿宋"/>
          <w:kern w:val="0"/>
          <w:sz w:val="32"/>
          <w:szCs w:val="32"/>
        </w:rPr>
        <w:t>9</w:t>
      </w:r>
      <w:r>
        <w:rPr>
          <w:rFonts w:hint="eastAsia" w:ascii="仿宋" w:hAnsi="仿宋" w:eastAsia="仿宋" w:cs="仿宋"/>
          <w:kern w:val="0"/>
          <w:sz w:val="32"/>
          <w:szCs w:val="32"/>
          <w:lang w:val="zh-CN"/>
        </w:rPr>
        <w:t>年收</w:t>
      </w:r>
      <w:r>
        <w:rPr>
          <w:rFonts w:hint="eastAsia" w:ascii="仿宋" w:hAnsi="仿宋" w:eastAsia="仿宋" w:cs="仿宋"/>
          <w:kern w:val="0"/>
          <w:sz w:val="32"/>
          <w:szCs w:val="32"/>
        </w:rPr>
        <w:t>入332.18万元</w:t>
      </w:r>
      <w:r>
        <w:rPr>
          <w:rFonts w:hint="eastAsia" w:ascii="仿宋" w:hAnsi="仿宋" w:eastAsia="仿宋" w:cs="仿宋"/>
          <w:kern w:val="0"/>
          <w:sz w:val="32"/>
          <w:szCs w:val="32"/>
          <w:lang w:val="zh-CN"/>
        </w:rPr>
        <w:t>相比收</w:t>
      </w:r>
      <w:r>
        <w:rPr>
          <w:rFonts w:hint="eastAsia" w:ascii="仿宋" w:hAnsi="仿宋" w:eastAsia="仿宋" w:cs="仿宋"/>
          <w:kern w:val="0"/>
          <w:sz w:val="32"/>
          <w:szCs w:val="32"/>
        </w:rPr>
        <w:t>入增加了7.41</w:t>
      </w:r>
      <w:r>
        <w:rPr>
          <w:rFonts w:hint="eastAsia" w:ascii="仿宋" w:hAnsi="仿宋" w:eastAsia="仿宋" w:cs="仿宋"/>
          <w:kern w:val="0"/>
          <w:sz w:val="32"/>
          <w:szCs w:val="32"/>
          <w:lang w:val="zh-CN"/>
        </w:rPr>
        <w:t>万元，</w:t>
      </w:r>
      <w:r>
        <w:rPr>
          <w:rFonts w:hint="eastAsia" w:ascii="仿宋" w:hAnsi="仿宋" w:eastAsia="仿宋" w:cs="仿宋"/>
          <w:kern w:val="0"/>
          <w:sz w:val="32"/>
          <w:szCs w:val="32"/>
        </w:rPr>
        <w:t>增加了2.23</w:t>
      </w:r>
      <w:r>
        <w:rPr>
          <w:rFonts w:hint="eastAsia" w:ascii="仿宋" w:hAnsi="仿宋" w:eastAsia="仿宋" w:cs="仿宋"/>
          <w:kern w:val="0"/>
          <w:sz w:val="32"/>
          <w:szCs w:val="32"/>
          <w:lang w:val="zh-CN"/>
        </w:rPr>
        <w:t>%，主要原因是20</w:t>
      </w:r>
      <w:r>
        <w:rPr>
          <w:rFonts w:hint="eastAsia" w:ascii="仿宋" w:hAnsi="仿宋" w:eastAsia="仿宋" w:cs="仿宋"/>
          <w:kern w:val="0"/>
          <w:sz w:val="32"/>
          <w:szCs w:val="32"/>
        </w:rPr>
        <w:t>20</w:t>
      </w:r>
      <w:r>
        <w:rPr>
          <w:rFonts w:hint="eastAsia" w:ascii="仿宋" w:hAnsi="仿宋" w:eastAsia="仿宋" w:cs="仿宋"/>
          <w:kern w:val="0"/>
          <w:sz w:val="32"/>
          <w:szCs w:val="32"/>
          <w:lang w:val="zh-CN"/>
        </w:rPr>
        <w:t>年度</w:t>
      </w:r>
      <w:r>
        <w:rPr>
          <w:rFonts w:hint="eastAsia" w:ascii="仿宋" w:hAnsi="仿宋" w:eastAsia="仿宋" w:cs="仿宋"/>
          <w:kern w:val="0"/>
          <w:sz w:val="32"/>
          <w:szCs w:val="32"/>
        </w:rPr>
        <w:t>人员经费的调整</w:t>
      </w:r>
      <w:r>
        <w:rPr>
          <w:rFonts w:hint="eastAsia" w:ascii="仿宋" w:hAnsi="仿宋" w:eastAsia="仿宋" w:cs="仿宋"/>
          <w:kern w:val="0"/>
          <w:sz w:val="32"/>
          <w:szCs w:val="32"/>
          <w:lang w:eastAsia="zh-CN"/>
        </w:rPr>
        <w:t>。</w:t>
      </w:r>
    </w:p>
    <w:p w14:paraId="4FC1AF76">
      <w:pPr>
        <w:widowControl/>
        <w:spacing w:line="60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en-US" w:eastAsia="zh-CN"/>
        </w:rPr>
        <w:t>2020年度</w:t>
      </w:r>
      <w:r>
        <w:rPr>
          <w:rFonts w:hint="eastAsia" w:ascii="仿宋" w:hAnsi="仿宋" w:eastAsia="仿宋" w:cs="仿宋"/>
          <w:kern w:val="0"/>
          <w:sz w:val="32"/>
          <w:szCs w:val="32"/>
        </w:rPr>
        <w:t>支出</w:t>
      </w:r>
      <w:r>
        <w:rPr>
          <w:rFonts w:hint="eastAsia" w:ascii="仿宋" w:hAnsi="仿宋" w:eastAsia="仿宋" w:cs="仿宋"/>
          <w:kern w:val="0"/>
          <w:sz w:val="32"/>
          <w:szCs w:val="32"/>
          <w:lang w:val="zh-CN"/>
        </w:rPr>
        <w:t>总计</w:t>
      </w:r>
      <w:r>
        <w:rPr>
          <w:rFonts w:hint="eastAsia" w:ascii="仿宋" w:hAnsi="仿宋" w:eastAsia="仿宋" w:cs="仿宋"/>
          <w:kern w:val="0"/>
          <w:sz w:val="32"/>
          <w:szCs w:val="32"/>
        </w:rPr>
        <w:t>339.59万元（含年末结转和结余资金39.09万元）,</w:t>
      </w:r>
      <w:r>
        <w:rPr>
          <w:rFonts w:hint="eastAsia" w:ascii="仿宋" w:hAnsi="仿宋" w:eastAsia="仿宋" w:cs="仿宋"/>
          <w:kern w:val="0"/>
          <w:sz w:val="32"/>
          <w:szCs w:val="32"/>
          <w:lang w:val="zh-CN"/>
        </w:rPr>
        <w:t>与</w:t>
      </w:r>
      <w:r>
        <w:rPr>
          <w:rFonts w:hint="eastAsia" w:ascii="仿宋" w:hAnsi="仿宋" w:eastAsia="仿宋" w:cs="仿宋"/>
          <w:kern w:val="0"/>
          <w:sz w:val="32"/>
          <w:szCs w:val="32"/>
        </w:rPr>
        <w:t>2019年支出332.18相比增加了7.41万元增加了2.23</w:t>
      </w:r>
      <w:r>
        <w:rPr>
          <w:rFonts w:hint="eastAsia" w:ascii="仿宋" w:hAnsi="仿宋" w:eastAsia="仿宋" w:cs="仿宋"/>
          <w:kern w:val="0"/>
          <w:sz w:val="32"/>
          <w:szCs w:val="32"/>
          <w:lang w:val="zh-CN"/>
        </w:rPr>
        <w:t>%</w:t>
      </w:r>
      <w:r>
        <w:rPr>
          <w:rFonts w:hint="eastAsia" w:ascii="仿宋" w:hAnsi="仿宋" w:eastAsia="仿宋" w:cs="仿宋"/>
          <w:kern w:val="0"/>
          <w:sz w:val="32"/>
          <w:szCs w:val="32"/>
        </w:rPr>
        <w:t>，</w:t>
      </w:r>
      <w:r>
        <w:rPr>
          <w:rFonts w:hint="eastAsia" w:ascii="仿宋" w:hAnsi="仿宋" w:eastAsia="仿宋" w:cs="仿宋"/>
          <w:kern w:val="0"/>
          <w:sz w:val="32"/>
          <w:szCs w:val="32"/>
          <w:lang w:val="zh-CN"/>
        </w:rPr>
        <w:t>主要原因是20</w:t>
      </w:r>
      <w:r>
        <w:rPr>
          <w:rFonts w:hint="eastAsia" w:ascii="仿宋" w:hAnsi="仿宋" w:eastAsia="仿宋" w:cs="仿宋"/>
          <w:kern w:val="0"/>
          <w:sz w:val="32"/>
          <w:szCs w:val="32"/>
        </w:rPr>
        <w:t>20</w:t>
      </w:r>
      <w:r>
        <w:rPr>
          <w:rFonts w:hint="eastAsia" w:ascii="仿宋" w:hAnsi="仿宋" w:eastAsia="仿宋" w:cs="仿宋"/>
          <w:kern w:val="0"/>
          <w:sz w:val="32"/>
          <w:szCs w:val="32"/>
          <w:lang w:val="zh-CN"/>
        </w:rPr>
        <w:t>年度</w:t>
      </w:r>
      <w:r>
        <w:rPr>
          <w:rFonts w:hint="eastAsia" w:ascii="仿宋" w:hAnsi="仿宋" w:eastAsia="仿宋" w:cs="仿宋"/>
          <w:kern w:val="0"/>
          <w:sz w:val="32"/>
          <w:szCs w:val="32"/>
        </w:rPr>
        <w:t>人员经费的调整</w:t>
      </w:r>
      <w:r>
        <w:rPr>
          <w:rFonts w:hint="eastAsia" w:ascii="仿宋" w:hAnsi="仿宋" w:eastAsia="仿宋" w:cs="仿宋"/>
          <w:kern w:val="0"/>
          <w:sz w:val="32"/>
          <w:szCs w:val="32"/>
          <w:lang w:val="zh-CN"/>
        </w:rPr>
        <w:t>。</w:t>
      </w:r>
    </w:p>
    <w:p w14:paraId="2D1EEBDB">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二、收入决算情况说明</w:t>
      </w:r>
    </w:p>
    <w:p w14:paraId="2BF5D4B2">
      <w:pPr>
        <w:widowControl/>
        <w:spacing w:line="600" w:lineRule="exact"/>
        <w:ind w:firstLine="320" w:firstLineChars="100"/>
        <w:rPr>
          <w:rFonts w:ascii="仿宋" w:hAnsi="仿宋" w:eastAsia="仿宋" w:cs="仿宋"/>
          <w:sz w:val="32"/>
          <w:szCs w:val="32"/>
        </w:rPr>
      </w:pPr>
      <w:r>
        <w:rPr>
          <w:rFonts w:hint="eastAsia" w:ascii="仿宋" w:hAnsi="仿宋" w:eastAsia="仿宋" w:cs="仿宋"/>
          <w:sz w:val="32"/>
          <w:szCs w:val="32"/>
        </w:rPr>
        <w:t>2020年本年收入297.86万元，其中：一般公共预算拨款收入282.86万元，占本年总收入94.96%，比上年增加9.62万元,</w:t>
      </w:r>
      <w:r>
        <w:rPr>
          <w:rFonts w:hint="eastAsia" w:ascii="仿宋" w:hAnsi="仿宋" w:eastAsia="仿宋" w:cs="仿宋"/>
          <w:kern w:val="0"/>
          <w:sz w:val="32"/>
          <w:szCs w:val="32"/>
          <w:lang w:val="zh-CN"/>
        </w:rPr>
        <w:t>增长</w:t>
      </w:r>
      <w:r>
        <w:rPr>
          <w:rFonts w:hint="eastAsia" w:ascii="仿宋" w:hAnsi="仿宋" w:eastAsia="仿宋" w:cs="仿宋"/>
          <w:kern w:val="0"/>
          <w:sz w:val="32"/>
          <w:szCs w:val="32"/>
        </w:rPr>
        <w:t>3.5</w:t>
      </w:r>
      <w:r>
        <w:rPr>
          <w:rFonts w:hint="eastAsia" w:ascii="仿宋" w:hAnsi="仿宋" w:eastAsia="仿宋" w:cs="仿宋"/>
          <w:sz w:val="32"/>
          <w:szCs w:val="32"/>
        </w:rPr>
        <w:t>%；其他收入15万元，占本年总收入5.04%,。</w:t>
      </w:r>
    </w:p>
    <w:p w14:paraId="0DAB02E9">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三、支出决算情况说明</w:t>
      </w:r>
    </w:p>
    <w:p w14:paraId="27915FBC">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sz w:val="32"/>
          <w:szCs w:val="32"/>
        </w:rPr>
        <w:t>本年支出合计300.49万元与2019年支出293.54万元</w:t>
      </w:r>
      <w:r>
        <w:rPr>
          <w:rFonts w:hint="eastAsia" w:ascii="仿宋" w:hAnsi="仿宋" w:eastAsia="仿宋" w:cs="仿宋"/>
          <w:sz w:val="32"/>
          <w:szCs w:val="32"/>
          <w:lang w:val="zh-CN"/>
        </w:rPr>
        <w:t>相比</w:t>
      </w:r>
      <w:r>
        <w:rPr>
          <w:rFonts w:hint="eastAsia" w:ascii="仿宋" w:hAnsi="仿宋" w:eastAsia="仿宋" w:cs="仿宋"/>
          <w:sz w:val="32"/>
          <w:szCs w:val="32"/>
        </w:rPr>
        <w:t>增加6.95万元,增加2.37</w:t>
      </w:r>
      <w:r>
        <w:rPr>
          <w:rFonts w:hint="eastAsia" w:ascii="仿宋" w:hAnsi="仿宋" w:eastAsia="仿宋" w:cs="仿宋"/>
          <w:sz w:val="32"/>
          <w:szCs w:val="32"/>
          <w:lang w:val="zh-CN"/>
        </w:rPr>
        <w:t>%</w:t>
      </w:r>
      <w:r>
        <w:rPr>
          <w:rFonts w:hint="eastAsia" w:ascii="仿宋" w:hAnsi="仿宋" w:eastAsia="仿宋" w:cs="仿宋"/>
          <w:sz w:val="32"/>
          <w:szCs w:val="32"/>
        </w:rPr>
        <w:t>。</w:t>
      </w:r>
      <w:r>
        <w:rPr>
          <w:rFonts w:hint="eastAsia" w:ascii="仿宋" w:hAnsi="仿宋" w:eastAsia="仿宋" w:cs="仿宋"/>
          <w:sz w:val="32"/>
          <w:szCs w:val="32"/>
          <w:lang w:val="zh-CN"/>
        </w:rPr>
        <w:t>主要原因是20</w:t>
      </w:r>
      <w:r>
        <w:rPr>
          <w:rFonts w:hint="eastAsia" w:ascii="仿宋" w:hAnsi="仿宋" w:eastAsia="仿宋" w:cs="仿宋"/>
          <w:sz w:val="32"/>
          <w:szCs w:val="32"/>
        </w:rPr>
        <w:t>20</w:t>
      </w:r>
      <w:r>
        <w:rPr>
          <w:rFonts w:hint="eastAsia" w:ascii="仿宋" w:hAnsi="仿宋" w:eastAsia="仿宋" w:cs="仿宋"/>
          <w:sz w:val="32"/>
          <w:szCs w:val="32"/>
          <w:lang w:val="zh-CN"/>
        </w:rPr>
        <w:t>年</w:t>
      </w:r>
      <w:r>
        <w:rPr>
          <w:rFonts w:hint="eastAsia" w:ascii="仿宋" w:hAnsi="仿宋" w:eastAsia="仿宋" w:cs="仿宋"/>
          <w:sz w:val="32"/>
          <w:szCs w:val="32"/>
        </w:rPr>
        <w:t>度干部增资与绩效工资调整</w:t>
      </w:r>
      <w:r>
        <w:rPr>
          <w:rFonts w:hint="eastAsia" w:ascii="仿宋" w:hAnsi="仿宋" w:eastAsia="仿宋" w:cs="仿宋"/>
          <w:sz w:val="32"/>
          <w:szCs w:val="32"/>
          <w:lang w:val="zh-CN"/>
        </w:rPr>
        <w:t>。</w:t>
      </w:r>
      <w:r>
        <w:rPr>
          <w:rFonts w:hint="eastAsia" w:ascii="仿宋" w:hAnsi="仿宋" w:eastAsia="仿宋" w:cs="仿宋"/>
          <w:sz w:val="32"/>
          <w:szCs w:val="32"/>
        </w:rPr>
        <w:t>其中：基本支出262.18</w:t>
      </w:r>
      <w:r>
        <w:rPr>
          <w:rFonts w:hint="eastAsia" w:ascii="仿宋" w:hAnsi="仿宋" w:eastAsia="仿宋" w:cs="仿宋"/>
          <w:sz w:val="32"/>
          <w:szCs w:val="32"/>
          <w:lang w:val="zh-CN"/>
        </w:rPr>
        <w:t>万元，</w:t>
      </w:r>
      <w:r>
        <w:rPr>
          <w:rFonts w:hint="eastAsia" w:ascii="仿宋" w:hAnsi="仿宋" w:eastAsia="仿宋" w:cs="仿宋"/>
          <w:sz w:val="32"/>
          <w:szCs w:val="32"/>
        </w:rPr>
        <w:t>占本年总支出87.25%。项目支出38.31万元，占本年总支出12.75%</w:t>
      </w:r>
    </w:p>
    <w:p w14:paraId="762C1012">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四、财政拨款收入支出决算总体情况说明</w:t>
      </w:r>
    </w:p>
    <w:p w14:paraId="05F7E144">
      <w:pPr>
        <w:widowControl/>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2020</w:t>
      </w:r>
      <w:r>
        <w:rPr>
          <w:rFonts w:hint="eastAsia" w:ascii="仿宋" w:hAnsi="仿宋" w:eastAsia="仿宋" w:cs="仿宋"/>
          <w:sz w:val="32"/>
          <w:szCs w:val="32"/>
          <w:lang w:val="zh-CN"/>
        </w:rPr>
        <w:t>年度财政拨款收</w:t>
      </w:r>
      <w:r>
        <w:rPr>
          <w:rFonts w:hint="eastAsia" w:ascii="仿宋" w:hAnsi="仿宋" w:eastAsia="仿宋" w:cs="仿宋"/>
          <w:sz w:val="32"/>
          <w:szCs w:val="32"/>
        </w:rPr>
        <w:t>入</w:t>
      </w:r>
      <w:r>
        <w:rPr>
          <w:rFonts w:hint="eastAsia" w:ascii="仿宋" w:hAnsi="仿宋" w:eastAsia="仿宋" w:cs="仿宋"/>
          <w:sz w:val="32"/>
          <w:szCs w:val="32"/>
          <w:lang w:val="zh-CN"/>
        </w:rPr>
        <w:t>总计</w:t>
      </w:r>
      <w:r>
        <w:rPr>
          <w:rFonts w:hint="eastAsia" w:ascii="仿宋" w:hAnsi="仿宋" w:eastAsia="仿宋" w:cs="仿宋"/>
          <w:sz w:val="32"/>
          <w:szCs w:val="32"/>
        </w:rPr>
        <w:t>282.86</w:t>
      </w:r>
      <w:r>
        <w:rPr>
          <w:rFonts w:hint="eastAsia" w:ascii="仿宋" w:hAnsi="仿宋" w:eastAsia="仿宋" w:cs="仿宋"/>
          <w:sz w:val="32"/>
          <w:szCs w:val="32"/>
          <w:lang w:val="zh-CN"/>
        </w:rPr>
        <w:t>万元，与</w:t>
      </w:r>
      <w:r>
        <w:rPr>
          <w:rFonts w:hint="eastAsia" w:ascii="仿宋" w:hAnsi="仿宋" w:eastAsia="仿宋" w:cs="仿宋"/>
          <w:sz w:val="32"/>
          <w:szCs w:val="32"/>
        </w:rPr>
        <w:t>2019年相比财政拔款收入增加9.62万元增加3.5%</w:t>
      </w:r>
      <w:r>
        <w:rPr>
          <w:rFonts w:hint="eastAsia" w:ascii="仿宋" w:hAnsi="仿宋" w:eastAsia="仿宋" w:cs="仿宋"/>
          <w:sz w:val="32"/>
          <w:szCs w:val="32"/>
          <w:lang w:val="zh-CN"/>
        </w:rPr>
        <w:t>。</w:t>
      </w:r>
    </w:p>
    <w:p w14:paraId="37C08B7B">
      <w:pPr>
        <w:widowControl/>
        <w:spacing w:line="60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2020年</w:t>
      </w:r>
      <w:r>
        <w:rPr>
          <w:rFonts w:hint="eastAsia" w:ascii="仿宋" w:hAnsi="仿宋" w:eastAsia="仿宋" w:cs="仿宋"/>
          <w:sz w:val="32"/>
          <w:szCs w:val="32"/>
          <w:lang w:val="zh-CN"/>
        </w:rPr>
        <w:t>财政拨款</w:t>
      </w:r>
      <w:r>
        <w:rPr>
          <w:rFonts w:hint="eastAsia" w:ascii="仿宋" w:hAnsi="仿宋" w:eastAsia="仿宋" w:cs="仿宋"/>
          <w:sz w:val="32"/>
          <w:szCs w:val="32"/>
        </w:rPr>
        <w:t>支出总</w:t>
      </w:r>
      <w:r>
        <w:rPr>
          <w:rFonts w:hint="eastAsia" w:ascii="仿宋" w:hAnsi="仿宋" w:eastAsia="仿宋" w:cs="仿宋"/>
          <w:sz w:val="32"/>
          <w:szCs w:val="32"/>
          <w:lang w:val="zh-CN"/>
        </w:rPr>
        <w:t>计</w:t>
      </w:r>
      <w:r>
        <w:rPr>
          <w:rFonts w:hint="eastAsia" w:ascii="仿宋" w:hAnsi="仿宋" w:eastAsia="仿宋" w:cs="仿宋"/>
          <w:sz w:val="32"/>
          <w:szCs w:val="32"/>
        </w:rPr>
        <w:t>268.53</w:t>
      </w:r>
      <w:r>
        <w:rPr>
          <w:rFonts w:hint="eastAsia" w:ascii="仿宋" w:hAnsi="仿宋" w:eastAsia="仿宋" w:cs="仿宋"/>
          <w:sz w:val="32"/>
          <w:szCs w:val="32"/>
          <w:lang w:val="zh-CN"/>
        </w:rPr>
        <w:t>万元</w:t>
      </w:r>
      <w:r>
        <w:rPr>
          <w:rFonts w:hint="eastAsia" w:ascii="仿宋" w:hAnsi="仿宋" w:eastAsia="仿宋" w:cs="仿宋"/>
          <w:sz w:val="32"/>
          <w:szCs w:val="32"/>
        </w:rPr>
        <w:t>,相比2019年支出269.14万元，减少0.61万元减少0.2%</w:t>
      </w:r>
      <w:r>
        <w:rPr>
          <w:rFonts w:hint="eastAsia" w:ascii="仿宋" w:hAnsi="仿宋" w:eastAsia="仿宋" w:cs="仿宋"/>
          <w:sz w:val="32"/>
          <w:szCs w:val="32"/>
          <w:lang w:val="zh-CN"/>
        </w:rPr>
        <w:t>。主要原因是</w:t>
      </w:r>
      <w:r>
        <w:rPr>
          <w:rFonts w:hint="eastAsia" w:ascii="仿宋" w:hAnsi="仿宋" w:eastAsia="仿宋" w:cs="仿宋"/>
          <w:sz w:val="32"/>
          <w:szCs w:val="32"/>
        </w:rPr>
        <w:t>人员减少与压缩</w:t>
      </w:r>
      <w:r>
        <w:rPr>
          <w:rFonts w:hint="eastAsia" w:ascii="仿宋" w:hAnsi="仿宋" w:eastAsia="仿宋" w:cs="仿宋"/>
          <w:sz w:val="32"/>
          <w:szCs w:val="32"/>
          <w:lang w:val="zh-CN"/>
        </w:rPr>
        <w:t>行政运行等。</w:t>
      </w:r>
    </w:p>
    <w:p w14:paraId="5760A7BB">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五、一般公共预算财政拨款支出决算情况说明</w:t>
      </w:r>
    </w:p>
    <w:p w14:paraId="3432916A">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（一）财政拨款支出决算总体情况</w:t>
      </w:r>
    </w:p>
    <w:p w14:paraId="3BD5B69D">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2020年度财政拨款支出268.53万元，占本年支出的89.36%。与2019年相比减少0.61万元,减少0.2</w:t>
      </w:r>
      <w:r>
        <w:rPr>
          <w:rFonts w:hint="eastAsia" w:ascii="仿宋" w:hAnsi="仿宋" w:eastAsia="仿宋" w:cs="仿宋"/>
          <w:sz w:val="32"/>
          <w:szCs w:val="32"/>
          <w:lang w:val="zh-CN"/>
        </w:rPr>
        <w:t>%。</w:t>
      </w:r>
      <w:r>
        <w:rPr>
          <w:rFonts w:hint="eastAsia" w:ascii="仿宋" w:hAnsi="仿宋" w:eastAsia="仿宋" w:cs="仿宋"/>
          <w:sz w:val="32"/>
          <w:szCs w:val="32"/>
        </w:rPr>
        <w:t>主要原因是减少行政运行经费</w:t>
      </w:r>
      <w:r>
        <w:rPr>
          <w:rFonts w:hint="eastAsia" w:ascii="仿宋" w:hAnsi="仿宋" w:eastAsia="仿宋" w:cs="仿宋"/>
          <w:sz w:val="32"/>
          <w:szCs w:val="32"/>
          <w:lang w:val="zh-CN"/>
        </w:rPr>
        <w:t>等。</w:t>
      </w:r>
    </w:p>
    <w:p w14:paraId="341BBEA9">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（二）财政拨款支出决算结构情况</w:t>
      </w:r>
    </w:p>
    <w:p w14:paraId="2DB3088C">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财政拨款支出268.53万元，主要用于文化旅游市场管理支出，2020基本支出230.22万元占比85.73</w:t>
      </w:r>
      <w:r>
        <w:rPr>
          <w:rFonts w:hint="eastAsia" w:ascii="仿宋" w:hAnsi="仿宋" w:eastAsia="仿宋" w:cs="仿宋"/>
          <w:sz w:val="32"/>
          <w:szCs w:val="32"/>
          <w:lang w:val="zh-CN"/>
        </w:rPr>
        <w:t>%</w:t>
      </w:r>
      <w:r>
        <w:rPr>
          <w:rFonts w:hint="eastAsia" w:ascii="仿宋" w:hAnsi="仿宋" w:eastAsia="仿宋" w:cs="仿宋"/>
          <w:sz w:val="32"/>
          <w:szCs w:val="32"/>
        </w:rPr>
        <w:t>,项目支出38.31万元占比14.27</w:t>
      </w:r>
      <w:r>
        <w:rPr>
          <w:rFonts w:hint="eastAsia" w:ascii="仿宋" w:hAnsi="仿宋" w:eastAsia="仿宋" w:cs="仿宋"/>
          <w:sz w:val="32"/>
          <w:szCs w:val="32"/>
          <w:lang w:val="zh-CN"/>
        </w:rPr>
        <w:t>%。</w:t>
      </w:r>
    </w:p>
    <w:p w14:paraId="0F64D83F">
      <w:pPr>
        <w:widowControl/>
        <w:spacing w:line="600" w:lineRule="exact"/>
        <w:rPr>
          <w:rFonts w:ascii="仿宋" w:hAnsi="仿宋" w:eastAsia="仿宋" w:cs="仿宋"/>
          <w:kern w:val="0"/>
          <w:sz w:val="32"/>
          <w:szCs w:val="32"/>
        </w:rPr>
      </w:pPr>
    </w:p>
    <w:p w14:paraId="46359953">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（三）财政拨款支出决算具体情况</w:t>
      </w:r>
    </w:p>
    <w:p w14:paraId="364245AD">
      <w:pPr>
        <w:widowControl/>
        <w:spacing w:line="60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2020</w:t>
      </w:r>
      <w:r>
        <w:rPr>
          <w:rFonts w:hint="eastAsia" w:ascii="仿宋" w:hAnsi="仿宋" w:eastAsia="仿宋" w:cs="仿宋"/>
          <w:sz w:val="32"/>
          <w:szCs w:val="32"/>
          <w:lang w:val="zh-CN"/>
        </w:rPr>
        <w:t>年度财政拨款支出年初预算为</w:t>
      </w:r>
      <w:r>
        <w:rPr>
          <w:rFonts w:hint="eastAsia" w:ascii="仿宋" w:hAnsi="仿宋" w:eastAsia="仿宋" w:cs="仿宋"/>
          <w:sz w:val="32"/>
          <w:szCs w:val="32"/>
        </w:rPr>
        <w:t>258.8</w:t>
      </w:r>
      <w:r>
        <w:rPr>
          <w:rFonts w:hint="eastAsia" w:ascii="仿宋" w:hAnsi="仿宋" w:eastAsia="仿宋" w:cs="仿宋"/>
          <w:sz w:val="32"/>
          <w:szCs w:val="32"/>
          <w:lang w:val="zh-CN"/>
        </w:rPr>
        <w:t>万元，支出决算为</w:t>
      </w:r>
      <w:r>
        <w:rPr>
          <w:rFonts w:hint="eastAsia" w:ascii="仿宋" w:hAnsi="仿宋" w:eastAsia="仿宋" w:cs="仿宋"/>
          <w:sz w:val="32"/>
          <w:szCs w:val="32"/>
        </w:rPr>
        <w:t>268.53</w:t>
      </w:r>
      <w:r>
        <w:rPr>
          <w:rFonts w:hint="eastAsia" w:ascii="仿宋" w:hAnsi="仿宋" w:eastAsia="仿宋" w:cs="仿宋"/>
          <w:sz w:val="32"/>
          <w:szCs w:val="32"/>
          <w:lang w:val="zh-CN"/>
        </w:rPr>
        <w:t>万元，完成年初预算的</w:t>
      </w:r>
      <w:r>
        <w:rPr>
          <w:rFonts w:hint="eastAsia" w:ascii="仿宋" w:hAnsi="仿宋" w:eastAsia="仿宋" w:cs="仿宋"/>
          <w:sz w:val="32"/>
          <w:szCs w:val="32"/>
        </w:rPr>
        <w:t>100</w:t>
      </w:r>
      <w:r>
        <w:rPr>
          <w:rFonts w:hint="eastAsia" w:ascii="仿宋" w:hAnsi="仿宋" w:eastAsia="仿宋" w:cs="仿宋"/>
          <w:sz w:val="32"/>
          <w:szCs w:val="32"/>
          <w:lang w:val="zh-CN"/>
        </w:rPr>
        <w:t>%。支出决算大于年初预算的主要原因是</w:t>
      </w:r>
      <w:r>
        <w:rPr>
          <w:rFonts w:hint="eastAsia" w:ascii="仿宋" w:hAnsi="仿宋" w:eastAsia="仿宋" w:cs="仿宋"/>
          <w:sz w:val="32"/>
          <w:szCs w:val="32"/>
        </w:rPr>
        <w:t>追加了人员经费的调增与罚没款的返回</w:t>
      </w:r>
      <w:r>
        <w:rPr>
          <w:rFonts w:hint="eastAsia" w:ascii="仿宋" w:hAnsi="仿宋" w:eastAsia="仿宋" w:cs="仿宋"/>
          <w:sz w:val="32"/>
          <w:szCs w:val="32"/>
          <w:lang w:val="zh-CN"/>
        </w:rPr>
        <w:t>。</w:t>
      </w:r>
    </w:p>
    <w:p w14:paraId="1E8C1BEE">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六、一般公共预算财政拨款基本支出决算</w:t>
      </w:r>
    </w:p>
    <w:p w14:paraId="483D7ADF">
      <w:pPr>
        <w:widowControl/>
        <w:spacing w:line="600" w:lineRule="exact"/>
        <w:rPr>
          <w:rFonts w:ascii="仿宋" w:hAnsi="仿宋" w:eastAsia="仿宋" w:cs="仿宋"/>
          <w:kern w:val="0"/>
          <w:sz w:val="32"/>
          <w:szCs w:val="32"/>
        </w:rPr>
      </w:pPr>
      <w:r>
        <w:rPr>
          <w:rFonts w:hint="eastAsia" w:ascii="仿宋" w:hAnsi="仿宋" w:eastAsia="仿宋" w:cs="仿宋"/>
          <w:sz w:val="32"/>
          <w:szCs w:val="32"/>
          <w:lang w:val="zh-CN"/>
        </w:rPr>
        <w:t>岳阳县文</w:t>
      </w:r>
      <w:r>
        <w:rPr>
          <w:rFonts w:hint="eastAsia" w:ascii="仿宋" w:hAnsi="仿宋" w:eastAsia="仿宋" w:cs="仿宋"/>
          <w:sz w:val="32"/>
          <w:szCs w:val="32"/>
        </w:rPr>
        <w:t>化旅游市场综合执法大队2020</w:t>
      </w:r>
      <w:r>
        <w:rPr>
          <w:rFonts w:hint="eastAsia" w:ascii="仿宋" w:hAnsi="仿宋" w:eastAsia="仿宋" w:cs="仿宋"/>
          <w:sz w:val="32"/>
          <w:szCs w:val="32"/>
          <w:lang w:val="zh-CN"/>
        </w:rPr>
        <w:t>年度</w:t>
      </w:r>
      <w:r>
        <w:rPr>
          <w:rFonts w:hint="eastAsia" w:ascii="仿宋" w:hAnsi="仿宋" w:eastAsia="仿宋" w:cs="仿宋"/>
          <w:sz w:val="32"/>
          <w:szCs w:val="32"/>
        </w:rPr>
        <w:t>一般公共预算财政拨款基本支出230.22万元。其中:</w:t>
      </w:r>
    </w:p>
    <w:p w14:paraId="4A06C6A4">
      <w:pPr>
        <w:widowControl/>
        <w:spacing w:line="600" w:lineRule="exact"/>
        <w:rPr>
          <w:rFonts w:ascii="仿宋" w:hAnsi="仿宋" w:eastAsia="仿宋" w:cs="仿宋"/>
          <w:sz w:val="32"/>
          <w:szCs w:val="32"/>
        </w:rPr>
      </w:pPr>
      <w:r>
        <w:rPr>
          <w:rFonts w:hint="eastAsia" w:ascii="仿宋" w:hAnsi="仿宋" w:eastAsia="仿宋" w:cs="仿宋"/>
          <w:sz w:val="32"/>
          <w:szCs w:val="32"/>
        </w:rPr>
        <w:t xml:space="preserve">   人员经费194.07万元，占比84.3%，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   人和家庭的补助支出；公用经费36.15万元，占比15.7%，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14:paraId="119F1B6E">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七、一般公共预算财政拨款“三公”经费支出决算情况说明</w:t>
      </w:r>
    </w:p>
    <w:p w14:paraId="71E9F6E5">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（一）“三公”经费财政拨款支出决算总体情况说明</w:t>
      </w:r>
    </w:p>
    <w:p w14:paraId="7A4E51F1">
      <w:pPr>
        <w:widowControl/>
        <w:spacing w:line="600" w:lineRule="exact"/>
        <w:rPr>
          <w:rFonts w:hint="eastAsia" w:ascii="仿宋" w:hAnsi="仿宋" w:eastAsia="仿宋" w:cs="仿宋"/>
          <w:kern w:val="0"/>
          <w:sz w:val="32"/>
          <w:szCs w:val="32"/>
        </w:rPr>
      </w:pPr>
      <w:r>
        <w:rPr>
          <w:rFonts w:hint="eastAsia" w:ascii="仿宋" w:hAnsi="仿宋" w:eastAsia="仿宋" w:cs="仿宋"/>
          <w:sz w:val="32"/>
          <w:szCs w:val="32"/>
        </w:rPr>
        <w:t>2020年度“三公”经费财政拨款支出预算数</w:t>
      </w:r>
      <w:r>
        <w:rPr>
          <w:rFonts w:hint="eastAsia" w:ascii="仿宋" w:hAnsi="仿宋" w:eastAsia="仿宋" w:cs="仿宋"/>
          <w:kern w:val="0"/>
          <w:sz w:val="32"/>
          <w:szCs w:val="32"/>
        </w:rPr>
        <w:t>为1万元，支出决算数为0.1万元,控制</w:t>
      </w:r>
      <w:r>
        <w:rPr>
          <w:rFonts w:hint="eastAsia" w:ascii="仿宋" w:hAnsi="仿宋" w:eastAsia="仿宋" w:cs="仿宋"/>
          <w:kern w:val="0"/>
          <w:sz w:val="32"/>
          <w:szCs w:val="32"/>
          <w:lang w:val="zh-CN"/>
        </w:rPr>
        <w:t>预算的</w:t>
      </w:r>
      <w:r>
        <w:rPr>
          <w:rFonts w:hint="eastAsia" w:ascii="仿宋" w:hAnsi="仿宋" w:eastAsia="仿宋" w:cs="仿宋"/>
          <w:kern w:val="0"/>
          <w:sz w:val="32"/>
          <w:szCs w:val="32"/>
        </w:rPr>
        <w:t>10</w:t>
      </w:r>
      <w:r>
        <w:rPr>
          <w:rFonts w:hint="eastAsia" w:ascii="仿宋" w:hAnsi="仿宋" w:eastAsia="仿宋" w:cs="仿宋"/>
          <w:kern w:val="0"/>
          <w:sz w:val="32"/>
          <w:szCs w:val="32"/>
          <w:lang w:val="zh-CN"/>
        </w:rPr>
        <w:t>%，</w:t>
      </w:r>
      <w:r>
        <w:rPr>
          <w:rFonts w:hint="eastAsia" w:ascii="仿宋" w:hAnsi="仿宋" w:eastAsia="仿宋" w:cs="仿宋"/>
          <w:kern w:val="0"/>
          <w:sz w:val="32"/>
          <w:szCs w:val="32"/>
        </w:rPr>
        <w:t>其中：</w:t>
      </w:r>
    </w:p>
    <w:p w14:paraId="0FA1B8EB">
      <w:pPr>
        <w:widowControl/>
        <w:spacing w:line="600" w:lineRule="exact"/>
        <w:ind w:firstLine="320" w:firstLineChars="100"/>
        <w:rPr>
          <w:rFonts w:hint="eastAsia" w:ascii="仿宋" w:hAnsi="仿宋" w:eastAsia="仿宋" w:cs="仿宋"/>
          <w:kern w:val="0"/>
          <w:sz w:val="32"/>
          <w:szCs w:val="32"/>
          <w:lang w:eastAsia="zh-CN"/>
        </w:rPr>
      </w:pPr>
      <w:r>
        <w:rPr>
          <w:rFonts w:hint="eastAsia" w:ascii="仿宋" w:hAnsi="仿宋" w:eastAsia="仿宋" w:cs="仿宋"/>
          <w:kern w:val="0"/>
          <w:sz w:val="32"/>
          <w:szCs w:val="32"/>
        </w:rPr>
        <w:t>因公出国（境）费支出</w:t>
      </w:r>
      <w:r>
        <w:rPr>
          <w:rFonts w:hint="eastAsia" w:ascii="仿宋" w:hAnsi="仿宋" w:eastAsia="仿宋" w:cs="仿宋"/>
          <w:kern w:val="0"/>
          <w:sz w:val="32"/>
          <w:szCs w:val="32"/>
          <w:lang w:val="en-US" w:eastAsia="zh-CN"/>
        </w:rPr>
        <w:t>预算数为0万元，</w:t>
      </w:r>
      <w:r>
        <w:rPr>
          <w:rFonts w:hint="eastAsia" w:ascii="仿宋" w:hAnsi="仿宋" w:eastAsia="仿宋" w:cs="仿宋"/>
          <w:kern w:val="0"/>
          <w:sz w:val="32"/>
          <w:szCs w:val="32"/>
        </w:rPr>
        <w:t>决算为0万元</w:t>
      </w:r>
      <w:r>
        <w:rPr>
          <w:rFonts w:hint="eastAsia" w:ascii="仿宋" w:hAnsi="仿宋" w:eastAsia="仿宋" w:cs="仿宋"/>
          <w:kern w:val="0"/>
          <w:sz w:val="32"/>
          <w:szCs w:val="32"/>
          <w:lang w:eastAsia="zh-CN"/>
        </w:rPr>
        <w:t>。</w:t>
      </w:r>
    </w:p>
    <w:p w14:paraId="4D9BFE14">
      <w:pPr>
        <w:widowControl/>
        <w:spacing w:line="600" w:lineRule="exact"/>
        <w:ind w:firstLine="320" w:firstLineChars="100"/>
        <w:rPr>
          <w:rFonts w:hint="eastAsia" w:ascii="仿宋" w:hAnsi="仿宋" w:eastAsia="仿宋" w:cs="仿宋"/>
          <w:kern w:val="0"/>
          <w:sz w:val="32"/>
          <w:szCs w:val="32"/>
        </w:rPr>
      </w:pPr>
      <w:r>
        <w:rPr>
          <w:rFonts w:hint="eastAsia" w:ascii="仿宋" w:hAnsi="仿宋" w:eastAsia="仿宋" w:cs="仿宋"/>
          <w:kern w:val="0"/>
          <w:sz w:val="32"/>
          <w:szCs w:val="32"/>
        </w:rPr>
        <w:t>公务用车购置及运行费支出</w:t>
      </w:r>
      <w:r>
        <w:rPr>
          <w:rFonts w:hint="eastAsia" w:ascii="仿宋" w:hAnsi="仿宋" w:eastAsia="仿宋" w:cs="仿宋"/>
          <w:kern w:val="0"/>
          <w:sz w:val="32"/>
          <w:szCs w:val="32"/>
          <w:lang w:val="en-US" w:eastAsia="zh-CN"/>
        </w:rPr>
        <w:t>预算数为0万元，</w:t>
      </w:r>
      <w:r>
        <w:rPr>
          <w:rFonts w:hint="eastAsia" w:ascii="仿宋" w:hAnsi="仿宋" w:eastAsia="仿宋" w:cs="仿宋"/>
          <w:kern w:val="0"/>
          <w:sz w:val="32"/>
          <w:szCs w:val="32"/>
        </w:rPr>
        <w:t>决算为0万元；</w:t>
      </w:r>
    </w:p>
    <w:p w14:paraId="7C555E05">
      <w:pPr>
        <w:widowControl/>
        <w:spacing w:line="600" w:lineRule="exact"/>
        <w:ind w:firstLine="320" w:firstLineChars="100"/>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公务接待费支出</w:t>
      </w:r>
      <w:r>
        <w:rPr>
          <w:rFonts w:hint="eastAsia" w:ascii="仿宋" w:hAnsi="仿宋" w:eastAsia="仿宋" w:cs="仿宋"/>
          <w:kern w:val="0"/>
          <w:sz w:val="32"/>
          <w:szCs w:val="32"/>
          <w:lang w:val="en-US" w:eastAsia="zh-CN"/>
        </w:rPr>
        <w:t>预算数为1万元，支出</w:t>
      </w:r>
      <w:r>
        <w:rPr>
          <w:rFonts w:hint="eastAsia" w:ascii="仿宋" w:hAnsi="仿宋" w:eastAsia="仿宋" w:cs="仿宋"/>
          <w:kern w:val="0"/>
          <w:sz w:val="32"/>
          <w:szCs w:val="32"/>
        </w:rPr>
        <w:t>决算为0.1万元。</w:t>
      </w:r>
      <w:r>
        <w:rPr>
          <w:rFonts w:hint="eastAsia" w:ascii="仿宋" w:hAnsi="仿宋" w:eastAsia="仿宋" w:cs="仿宋"/>
          <w:kern w:val="0"/>
          <w:sz w:val="32"/>
          <w:szCs w:val="32"/>
          <w:lang w:val="en-US" w:eastAsia="zh-CN"/>
        </w:rPr>
        <w:t>完成预算数的10%，</w:t>
      </w:r>
      <w:r>
        <w:rPr>
          <w:rFonts w:hint="eastAsia" w:ascii="仿宋" w:hAnsi="仿宋" w:eastAsia="仿宋" w:cs="仿宋"/>
          <w:kern w:val="0"/>
          <w:sz w:val="32"/>
          <w:szCs w:val="32"/>
        </w:rPr>
        <w:t>决算数小于预算数的主要原因是认真贯彻落实中央</w:t>
      </w:r>
      <w:r>
        <w:rPr>
          <w:rFonts w:hint="eastAsia" w:ascii="仿宋" w:hAnsi="仿宋" w:eastAsia="仿宋" w:cs="仿宋"/>
          <w:kern w:val="0"/>
          <w:sz w:val="32"/>
          <w:szCs w:val="32"/>
          <w:lang w:eastAsia="zh-CN"/>
        </w:rPr>
        <w:t>八项规定</w:t>
      </w:r>
      <w:r>
        <w:rPr>
          <w:rFonts w:hint="eastAsia" w:ascii="仿宋" w:hAnsi="仿宋" w:eastAsia="仿宋" w:cs="仿宋"/>
          <w:kern w:val="0"/>
          <w:sz w:val="32"/>
          <w:szCs w:val="32"/>
        </w:rPr>
        <w:t>精神和厉行节约,从严控制“三公”经费开支，</w:t>
      </w:r>
      <w:r>
        <w:rPr>
          <w:rFonts w:hint="eastAsia" w:ascii="仿宋" w:hAnsi="仿宋" w:eastAsia="仿宋" w:cs="仿宋"/>
          <w:kern w:val="0"/>
          <w:sz w:val="32"/>
          <w:szCs w:val="32"/>
          <w:lang w:val="en-US" w:eastAsia="zh-CN"/>
        </w:rPr>
        <w:t>与上年基本持平。</w:t>
      </w:r>
    </w:p>
    <w:p w14:paraId="1A1AB290">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（二）“三公”经费财政拨款支出决算具体情况说明</w:t>
      </w:r>
    </w:p>
    <w:p w14:paraId="02C6E0A7">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2020年度“三公”经费财政拨款支出决算中，2020年度“三公”经费财政拨款支出决算数与2019年基本持平。“三公”经费财政拨款支出决算中，</w:t>
      </w:r>
      <w:r>
        <w:rPr>
          <w:rFonts w:hint="eastAsia" w:ascii="仿宋" w:hAnsi="仿宋" w:eastAsia="仿宋" w:cs="仿宋"/>
          <w:kern w:val="0"/>
          <w:sz w:val="32"/>
          <w:szCs w:val="32"/>
          <w:lang w:val="en-US" w:eastAsia="zh-CN"/>
        </w:rPr>
        <w:t>公务接待费支出决算0.1万元，占100%，</w:t>
      </w:r>
      <w:r>
        <w:rPr>
          <w:rFonts w:hint="eastAsia" w:ascii="仿宋" w:hAnsi="仿宋" w:eastAsia="仿宋" w:cs="仿宋"/>
          <w:kern w:val="0"/>
          <w:sz w:val="32"/>
          <w:szCs w:val="32"/>
        </w:rPr>
        <w:t>，占0%；公务用车购置及运行费支出决算0万元，占0%。</w:t>
      </w:r>
      <w:r>
        <w:rPr>
          <w:rFonts w:hint="eastAsia" w:ascii="仿宋" w:hAnsi="仿宋" w:eastAsia="仿宋" w:cs="仿宋"/>
          <w:kern w:val="0"/>
          <w:sz w:val="32"/>
          <w:szCs w:val="32"/>
          <w:lang w:val="en-US" w:eastAsia="zh-CN"/>
        </w:rPr>
        <w:t>其中：</w:t>
      </w:r>
    </w:p>
    <w:p w14:paraId="0612997A">
      <w:pPr>
        <w:widowControl/>
        <w:numPr>
          <w:ilvl w:val="0"/>
          <w:numId w:val="2"/>
        </w:numPr>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因公出国（境）费支出决算0万元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全年安排因公出国（出境）团组0个，累计0人次，开支内容包括：无</w:t>
      </w:r>
    </w:p>
    <w:p w14:paraId="3BF62EA9">
      <w:pPr>
        <w:widowControl/>
        <w:numPr>
          <w:ilvl w:val="0"/>
          <w:numId w:val="2"/>
        </w:numPr>
        <w:spacing w:line="60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公务接待费支出决算0.1万元，全年共接待来访团组2个，来宾人次25人次，主要是文化市场的执法业务检查与交流发生的接待开支</w:t>
      </w:r>
    </w:p>
    <w:p w14:paraId="6B4B2917">
      <w:pPr>
        <w:widowControl/>
        <w:numPr>
          <w:ilvl w:val="0"/>
          <w:numId w:val="2"/>
        </w:numPr>
        <w:spacing w:line="60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公务用车购置及运行费支出决算0万元，</w:t>
      </w:r>
      <w:r>
        <w:rPr>
          <w:rFonts w:hint="eastAsia" w:ascii="仿宋" w:hAnsi="仿宋" w:eastAsia="仿宋" w:cs="仿宋"/>
          <w:kern w:val="0"/>
          <w:sz w:val="32"/>
          <w:szCs w:val="32"/>
          <w:lang w:val="en-US" w:eastAsia="zh-CN"/>
        </w:rPr>
        <w:t>其中：公务用车购置费0万元，单位本级更新公务用车0辆。截止2020年12月31日，我单位开支财政拨款的公务用车保有量为1辆（2016年公车改革被县车改办收回，但一直挂账未处置）。</w:t>
      </w:r>
    </w:p>
    <w:p w14:paraId="529090BB">
      <w:pPr>
        <w:widowControl/>
        <w:spacing w:line="600" w:lineRule="exact"/>
        <w:rPr>
          <w:rFonts w:ascii="仿宋" w:hAnsi="仿宋" w:eastAsia="仿宋" w:cs="仿宋"/>
          <w:kern w:val="0"/>
          <w:sz w:val="32"/>
          <w:szCs w:val="32"/>
        </w:rPr>
      </w:pPr>
      <w:r>
        <w:rPr>
          <w:rFonts w:hint="eastAsia" w:ascii="仿宋" w:hAnsi="仿宋" w:eastAsia="仿宋" w:cs="仿宋"/>
          <w:kern w:val="0"/>
          <w:sz w:val="32"/>
          <w:szCs w:val="32"/>
        </w:rPr>
        <w:t>八、政府性基金预算收入支出决算情况</w:t>
      </w:r>
    </w:p>
    <w:p w14:paraId="1DFB86C4">
      <w:pPr>
        <w:widowControl/>
        <w:spacing w:line="600" w:lineRule="exact"/>
        <w:ind w:firstLine="320" w:firstLineChars="100"/>
        <w:rPr>
          <w:rFonts w:hint="eastAsia" w:ascii="仿宋" w:hAnsi="仿宋" w:eastAsia="仿宋" w:cs="仿宋"/>
          <w:kern w:val="0"/>
          <w:sz w:val="32"/>
          <w:szCs w:val="32"/>
        </w:rPr>
      </w:pPr>
      <w:r>
        <w:rPr>
          <w:rFonts w:hint="eastAsia" w:ascii="仿宋" w:hAnsi="仿宋" w:eastAsia="仿宋" w:cs="仿宋"/>
          <w:kern w:val="0"/>
          <w:sz w:val="32"/>
          <w:szCs w:val="32"/>
        </w:rPr>
        <w:t>2020年本单位没有使用政府性基金预算拨款安排的支出。</w:t>
      </w:r>
    </w:p>
    <w:p w14:paraId="3F18C1EB">
      <w:pPr>
        <w:widowControl/>
        <w:spacing w:line="600" w:lineRule="exact"/>
        <w:ind w:firstLine="320" w:firstLineChars="100"/>
        <w:rPr>
          <w:rFonts w:hint="eastAsia" w:ascii="仿宋" w:hAnsi="仿宋" w:eastAsia="仿宋" w:cs="仿宋"/>
          <w:kern w:val="0"/>
          <w:sz w:val="32"/>
          <w:szCs w:val="32"/>
        </w:rPr>
      </w:pPr>
    </w:p>
    <w:p w14:paraId="24CADDD2">
      <w:pPr>
        <w:widowControl/>
        <w:spacing w:line="600" w:lineRule="exac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九、关于</w:t>
      </w:r>
      <w:r>
        <w:rPr>
          <w:rFonts w:hint="eastAsia" w:ascii="仿宋" w:hAnsi="仿宋" w:eastAsia="仿宋" w:cs="仿宋"/>
          <w:kern w:val="0"/>
          <w:sz w:val="32"/>
          <w:szCs w:val="32"/>
        </w:rPr>
        <w:t>机关运行经费支出</w:t>
      </w:r>
      <w:r>
        <w:rPr>
          <w:rFonts w:hint="eastAsia" w:ascii="仿宋" w:hAnsi="仿宋" w:eastAsia="仿宋" w:cs="仿宋"/>
          <w:kern w:val="0"/>
          <w:sz w:val="32"/>
          <w:szCs w:val="32"/>
          <w:lang w:val="en-US" w:eastAsia="zh-CN"/>
        </w:rPr>
        <w:t>说明</w:t>
      </w:r>
    </w:p>
    <w:p w14:paraId="35304F58">
      <w:pPr>
        <w:autoSpaceDE w:val="0"/>
        <w:autoSpaceDN w:val="0"/>
        <w:adjustRightInd w:val="0"/>
        <w:spacing w:line="600" w:lineRule="exact"/>
        <w:ind w:firstLine="800" w:firstLineChars="250"/>
        <w:rPr>
          <w:rFonts w:ascii="仿宋" w:hAnsi="仿宋" w:eastAsia="仿宋" w:cs="仿宋"/>
          <w:kern w:val="0"/>
          <w:sz w:val="32"/>
          <w:szCs w:val="32"/>
        </w:rPr>
      </w:pPr>
      <w:r>
        <w:rPr>
          <w:rFonts w:hint="eastAsia" w:ascii="仿宋" w:hAnsi="仿宋" w:eastAsia="仿宋" w:cs="仿宋"/>
          <w:kern w:val="0"/>
          <w:sz w:val="32"/>
          <w:szCs w:val="32"/>
        </w:rPr>
        <w:t>本部门2020年度机关运行经费支出230.22万元，比2019年248.03万元减少17.82万元，减少7.18%。主要原因是：2019年底年有人员退休了，因而减少了人员经费的开支。</w:t>
      </w:r>
    </w:p>
    <w:p w14:paraId="24BFFFDD">
      <w:pPr>
        <w:autoSpaceDE w:val="0"/>
        <w:autoSpaceDN w:val="0"/>
        <w:spacing w:line="60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十、</w:t>
      </w:r>
      <w:r>
        <w:rPr>
          <w:rFonts w:hint="eastAsia" w:ascii="仿宋" w:hAnsi="仿宋" w:eastAsia="仿宋" w:cs="仿宋"/>
          <w:color w:val="000000"/>
          <w:kern w:val="0"/>
          <w:sz w:val="32"/>
          <w:szCs w:val="32"/>
        </w:rPr>
        <w:t>一般性支出情况</w:t>
      </w:r>
    </w:p>
    <w:p w14:paraId="2B5AA9EF">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本部门2020年一般性支出决算共计36.15万元，其中:办公费 3万元、印刷费 0.65万元、咨询费 0万元、手续费0.29万元,水费 0万元、电费 0.5万元、邮电费0 万元、取暖费0万元、物业管理费 0.1万元、差旅费 0.32万元、因公出国（境）费用0万元、维修（护）费 0.24万元、租赁费 0万元、会议费 0 万元、培训费 0.19万元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用于执法业务的培训，人数6人，内容为参加市局举办的执法员的业务培训三天</w:t>
      </w:r>
      <w:r>
        <w:rPr>
          <w:rFonts w:hint="eastAsia" w:ascii="仿宋" w:hAnsi="仿宋" w:eastAsia="仿宋" w:cs="仿宋"/>
          <w:kern w:val="0"/>
          <w:sz w:val="32"/>
          <w:szCs w:val="32"/>
        </w:rPr>
        <w:t>、公务接待费 0.1 万元、被装购置费0万元、劳务费1.46万元、委托业务费 0.26万元、专用材料费1.46万元、工会经费8.35万元、公务用车运行维护费0万元、其他交通费用 5.09万元、福利费4.14万元、其他商品和服务支出10万元、房屋建筑物构建0万元、办公设备购置0万元、专用设备购置0万元、大型修缮0万元、文物和陈列品0万元、其他资本性支出0万元、对企业单位的补助0万元,公务用车购置0万元及其他交通工具购置0万元。</w:t>
      </w:r>
    </w:p>
    <w:p w14:paraId="70F0F5C5">
      <w:pPr>
        <w:autoSpaceDE w:val="0"/>
        <w:autoSpaceDN w:val="0"/>
        <w:adjustRightInd w:val="0"/>
        <w:spacing w:line="600" w:lineRule="exac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十一、</w:t>
      </w:r>
      <w:r>
        <w:rPr>
          <w:rFonts w:hint="eastAsia" w:ascii="仿宋" w:hAnsi="仿宋" w:eastAsia="仿宋" w:cs="仿宋"/>
          <w:kern w:val="0"/>
          <w:sz w:val="32"/>
          <w:szCs w:val="32"/>
        </w:rPr>
        <w:t>政府采购支出情况</w:t>
      </w:r>
    </w:p>
    <w:p w14:paraId="632BD2BA">
      <w:pPr>
        <w:autoSpaceDE w:val="0"/>
        <w:autoSpaceDN w:val="0"/>
        <w:adjustRightInd w:val="0"/>
        <w:spacing w:line="600" w:lineRule="exact"/>
        <w:rPr>
          <w:rFonts w:ascii="仿宋" w:hAnsi="仿宋" w:eastAsia="仿宋" w:cs="仿宋"/>
          <w:kern w:val="0"/>
          <w:sz w:val="32"/>
          <w:szCs w:val="32"/>
        </w:rPr>
      </w:pPr>
      <w:r>
        <w:rPr>
          <w:rFonts w:hint="eastAsia" w:ascii="仿宋" w:hAnsi="仿宋" w:eastAsia="仿宋"/>
          <w:sz w:val="32"/>
          <w:szCs w:val="32"/>
        </w:rPr>
        <w:t>本部门</w:t>
      </w:r>
      <w:r>
        <w:rPr>
          <w:rFonts w:ascii="仿宋" w:hAnsi="仿宋" w:eastAsia="仿宋"/>
          <w:sz w:val="32"/>
          <w:szCs w:val="32"/>
        </w:rPr>
        <w:t>2020</w:t>
      </w:r>
      <w:r>
        <w:rPr>
          <w:rFonts w:hint="eastAsia" w:ascii="仿宋" w:hAnsi="仿宋" w:eastAsia="仿宋"/>
          <w:sz w:val="32"/>
          <w:szCs w:val="32"/>
        </w:rPr>
        <w:t>年度政府采购支出总额</w:t>
      </w:r>
      <w:r>
        <w:rPr>
          <w:rFonts w:ascii="仿宋" w:hAnsi="仿宋" w:eastAsia="仿宋"/>
          <w:sz w:val="32"/>
          <w:szCs w:val="32"/>
        </w:rPr>
        <w:t>0</w:t>
      </w:r>
      <w:r>
        <w:rPr>
          <w:rFonts w:hint="eastAsia" w:ascii="仿宋" w:hAnsi="仿宋" w:eastAsia="仿宋"/>
          <w:sz w:val="32"/>
          <w:szCs w:val="32"/>
        </w:rPr>
        <w:t>万元，其中：政府采购货物支出</w:t>
      </w:r>
      <w:r>
        <w:rPr>
          <w:rFonts w:ascii="仿宋" w:hAnsi="仿宋" w:eastAsia="仿宋"/>
          <w:sz w:val="32"/>
          <w:szCs w:val="32"/>
        </w:rPr>
        <w:t>0</w:t>
      </w:r>
      <w:r>
        <w:rPr>
          <w:rFonts w:hint="eastAsia" w:ascii="仿宋" w:hAnsi="仿宋" w:eastAsia="仿宋"/>
          <w:sz w:val="32"/>
          <w:szCs w:val="32"/>
        </w:rPr>
        <w:t>万元、政府采购工程支出</w:t>
      </w:r>
      <w:r>
        <w:rPr>
          <w:rFonts w:ascii="仿宋" w:hAnsi="仿宋" w:eastAsia="仿宋"/>
          <w:sz w:val="32"/>
          <w:szCs w:val="32"/>
        </w:rPr>
        <w:t>0</w:t>
      </w:r>
      <w:r>
        <w:rPr>
          <w:rFonts w:hint="eastAsia" w:ascii="仿宋" w:hAnsi="仿宋" w:eastAsia="仿宋"/>
          <w:sz w:val="32"/>
          <w:szCs w:val="32"/>
        </w:rPr>
        <w:t>万元、政府采购服务支出</w:t>
      </w:r>
      <w:r>
        <w:rPr>
          <w:rFonts w:ascii="仿宋" w:hAnsi="仿宋" w:eastAsia="仿宋"/>
          <w:sz w:val="32"/>
          <w:szCs w:val="32"/>
        </w:rPr>
        <w:t>0</w:t>
      </w:r>
      <w:r>
        <w:rPr>
          <w:rFonts w:hint="eastAsia" w:ascii="仿宋" w:hAnsi="仿宋" w:eastAsia="仿宋"/>
          <w:sz w:val="32"/>
          <w:szCs w:val="32"/>
        </w:rPr>
        <w:t>万元。授予中小企业合同金额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，其中：授予小微企业合同金额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highlight w:val="white"/>
        </w:rPr>
        <w:t xml:space="preserve">  </w:t>
      </w:r>
    </w:p>
    <w:p w14:paraId="602ED6DA">
      <w:pPr>
        <w:autoSpaceDE w:val="0"/>
        <w:autoSpaceDN w:val="0"/>
        <w:adjustRightInd w:val="0"/>
        <w:spacing w:line="600" w:lineRule="exact"/>
        <w:rPr>
          <w:rFonts w:ascii="仿宋" w:hAnsi="仿宋" w:eastAsia="仿宋" w:cs="仿宋"/>
          <w:color w:val="000000"/>
          <w:kern w:val="0"/>
          <w:sz w:val="32"/>
          <w:szCs w:val="32"/>
        </w:rPr>
      </w:pPr>
      <w:r>
        <w:rPr>
          <w:rFonts w:hint="eastAsia" w:ascii="仿宋" w:hAnsi="仿宋" w:eastAsia="仿宋" w:cs="仿宋"/>
          <w:kern w:val="0"/>
          <w:sz w:val="32"/>
          <w:szCs w:val="32"/>
          <w:lang w:val="en-US" w:eastAsia="zh-CN"/>
        </w:rPr>
        <w:t>十二、</w:t>
      </w:r>
      <w:r>
        <w:rPr>
          <w:rFonts w:hint="eastAsia" w:ascii="仿宋" w:hAnsi="仿宋" w:eastAsia="仿宋" w:cs="仿宋"/>
          <w:kern w:val="0"/>
          <w:sz w:val="32"/>
          <w:szCs w:val="32"/>
        </w:rPr>
        <w:t>国有资产占用情况</w:t>
      </w:r>
      <w:r>
        <w:rPr>
          <w:rFonts w:hint="eastAsia" w:ascii="仿宋" w:hAnsi="仿宋" w:eastAsia="仿宋" w:cs="仿宋"/>
          <w:color w:val="000000"/>
          <w:kern w:val="0"/>
          <w:sz w:val="32"/>
          <w:szCs w:val="32"/>
        </w:rPr>
        <w:t>及新增资产配置情况</w:t>
      </w:r>
    </w:p>
    <w:p w14:paraId="3A644814">
      <w:pPr>
        <w:autoSpaceDE w:val="0"/>
        <w:autoSpaceDN w:val="0"/>
        <w:adjustRightInd w:val="0"/>
        <w:spacing w:line="600" w:lineRule="exact"/>
        <w:ind w:firstLine="800" w:firstLineChars="250"/>
        <w:rPr>
          <w:rFonts w:ascii="仿宋" w:hAnsi="仿宋" w:eastAsia="仿宋" w:cs="仿宋"/>
          <w:kern w:val="0"/>
          <w:sz w:val="32"/>
          <w:szCs w:val="32"/>
        </w:rPr>
      </w:pPr>
      <w:r>
        <w:rPr>
          <w:rFonts w:hint="eastAsia" w:ascii="仿宋" w:hAnsi="仿宋" w:eastAsia="仿宋" w:cs="仿宋"/>
          <w:kern w:val="0"/>
          <w:sz w:val="32"/>
          <w:szCs w:val="32"/>
        </w:rPr>
        <w:t>截至2020年12月31日，年未固定资产总额37.8万元，与上年固定资产总额相同未增减（其中包括车辆挂账一辆，价值14.98万元，于2016年公车改革被收回）。本部门共有车辆1辆，其中，部级领导干部用车0 辆、一般公务用车0辆、一般执法执勤用车1辆（已被公车改革办收回）、特种专业技术用车0辆、其他用车0辆，单位价值50万元以上通用设备0 台（套），单价100 万元以上专用设备0 台（套）。</w:t>
      </w:r>
    </w:p>
    <w:p w14:paraId="7460276D">
      <w:pPr>
        <w:widowControl/>
        <w:spacing w:line="600" w:lineRule="exac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十三、关于2020年度预算绩效情况的说明</w:t>
      </w:r>
    </w:p>
    <w:p w14:paraId="109FB6C0">
      <w:pPr>
        <w:numPr>
          <w:ilvl w:val="0"/>
          <w:numId w:val="0"/>
        </w:numPr>
        <w:ind w:firstLine="320" w:firstLineChars="100"/>
        <w:jc w:val="left"/>
        <w:rPr>
          <w:rFonts w:hint="eastAsia" w:ascii="仿宋" w:hAnsi="仿宋" w:eastAsia="仿宋" w:cs="仿宋"/>
          <w:color w:val="auto"/>
          <w:kern w:val="0"/>
          <w:sz w:val="32"/>
          <w:szCs w:val="24"/>
          <w:highlight w:val="none"/>
          <w:lang w:val="en-US" w:eastAsia="zh-CN"/>
        </w:rPr>
      </w:pPr>
      <w:r>
        <w:rPr>
          <w:rFonts w:hint="eastAsia" w:ascii="仿宋" w:hAnsi="仿宋" w:eastAsia="仿宋" w:cs="仿宋"/>
          <w:color w:val="auto"/>
          <w:kern w:val="0"/>
          <w:sz w:val="32"/>
          <w:szCs w:val="24"/>
          <w:highlight w:val="none"/>
          <w:lang w:val="en-US" w:eastAsia="zh-CN"/>
        </w:rPr>
        <w:t>根据上级文件的要求，为进一步规范财政资金管理，强化绩效和责任意识，切实提高财政资金使用效益，我单位对2020年度部门整体支出、单位项目支出、重点（专项）项目支出进行了绩效自评。</w:t>
      </w:r>
    </w:p>
    <w:p w14:paraId="4A7E25F7">
      <w:pPr>
        <w:numPr>
          <w:ilvl w:val="0"/>
          <w:numId w:val="0"/>
        </w:numPr>
        <w:ind w:firstLine="320" w:firstLineChars="100"/>
        <w:jc w:val="left"/>
        <w:rPr>
          <w:rFonts w:hint="eastAsia" w:ascii="仿宋" w:hAnsi="仿宋" w:eastAsia="仿宋" w:cs="仿宋"/>
          <w:color w:val="auto"/>
          <w:kern w:val="0"/>
          <w:sz w:val="32"/>
          <w:szCs w:val="24"/>
          <w:highlight w:val="none"/>
          <w:lang w:val="en-US" w:eastAsia="zh-CN"/>
        </w:rPr>
      </w:pPr>
      <w:r>
        <w:rPr>
          <w:rFonts w:hint="eastAsia" w:ascii="仿宋" w:hAnsi="仿宋" w:eastAsia="仿宋" w:cs="仿宋"/>
          <w:color w:val="auto"/>
          <w:kern w:val="0"/>
          <w:sz w:val="32"/>
          <w:szCs w:val="24"/>
          <w:highlight w:val="none"/>
          <w:lang w:val="en-US" w:eastAsia="zh-CN"/>
        </w:rPr>
        <w:t>部门整体支出绩效自评得分为98分，评价等级为（优秀）；</w:t>
      </w:r>
    </w:p>
    <w:p w14:paraId="67C20C00">
      <w:pPr>
        <w:numPr>
          <w:ilvl w:val="0"/>
          <w:numId w:val="0"/>
        </w:numPr>
        <w:ind w:firstLine="320" w:firstLineChars="100"/>
        <w:jc w:val="left"/>
        <w:rPr>
          <w:rFonts w:hint="eastAsia" w:ascii="仿宋" w:hAnsi="仿宋" w:eastAsia="仿宋" w:cs="仿宋"/>
          <w:color w:val="auto"/>
          <w:kern w:val="0"/>
          <w:sz w:val="32"/>
          <w:szCs w:val="24"/>
          <w:highlight w:val="none"/>
          <w:lang w:val="en-US" w:eastAsia="zh-CN"/>
        </w:rPr>
      </w:pPr>
      <w:r>
        <w:rPr>
          <w:rFonts w:hint="eastAsia" w:ascii="仿宋" w:hAnsi="仿宋" w:eastAsia="仿宋" w:cs="仿宋"/>
          <w:color w:val="auto"/>
          <w:kern w:val="0"/>
          <w:sz w:val="32"/>
          <w:szCs w:val="24"/>
          <w:highlight w:val="none"/>
          <w:lang w:val="en-US" w:eastAsia="zh-CN"/>
        </w:rPr>
        <w:t>我单位没有部门项目支出绩效自评资金；</w:t>
      </w:r>
    </w:p>
    <w:p w14:paraId="561E4FE0">
      <w:pPr>
        <w:numPr>
          <w:ilvl w:val="0"/>
          <w:numId w:val="0"/>
        </w:numPr>
        <w:ind w:firstLine="320" w:firstLineChars="100"/>
        <w:jc w:val="left"/>
        <w:rPr>
          <w:rFonts w:hint="eastAsia" w:ascii="仿宋" w:hAnsi="仿宋" w:eastAsia="仿宋" w:cs="仿宋"/>
          <w:color w:val="auto"/>
          <w:kern w:val="0"/>
          <w:sz w:val="32"/>
          <w:szCs w:val="24"/>
          <w:highlight w:val="none"/>
          <w:lang w:val="en-US" w:eastAsia="zh-CN"/>
        </w:rPr>
      </w:pPr>
      <w:r>
        <w:rPr>
          <w:rFonts w:hint="eastAsia" w:ascii="仿宋" w:hAnsi="仿宋" w:eastAsia="仿宋" w:cs="仿宋"/>
          <w:color w:val="auto"/>
          <w:kern w:val="0"/>
          <w:sz w:val="32"/>
          <w:szCs w:val="24"/>
          <w:highlight w:val="none"/>
          <w:lang w:val="en-US" w:eastAsia="zh-CN"/>
        </w:rPr>
        <w:t>我单位没有重点（专项）项目支出绩效自评资金。</w:t>
      </w:r>
    </w:p>
    <w:p w14:paraId="4BAEE0CB">
      <w:pPr>
        <w:numPr>
          <w:ilvl w:val="0"/>
          <w:numId w:val="0"/>
        </w:numPr>
        <w:ind w:firstLine="320" w:firstLineChars="100"/>
        <w:jc w:val="left"/>
        <w:rPr>
          <w:rFonts w:hint="eastAsia" w:ascii="仿宋" w:hAnsi="仿宋" w:eastAsia="仿宋" w:cs="仿宋"/>
          <w:color w:val="auto"/>
          <w:kern w:val="0"/>
          <w:sz w:val="32"/>
          <w:szCs w:val="24"/>
          <w:highlight w:val="none"/>
          <w:lang w:val="en-US" w:eastAsia="zh-CN"/>
        </w:rPr>
      </w:pPr>
    </w:p>
    <w:p w14:paraId="576657C3">
      <w:pPr>
        <w:widowControl/>
        <w:spacing w:line="600" w:lineRule="exact"/>
        <w:rPr>
          <w:rFonts w:ascii="仿宋" w:hAnsi="仿宋" w:eastAsia="仿宋" w:cs="仿宋"/>
          <w:color w:val="000000"/>
          <w:kern w:val="0"/>
          <w:sz w:val="32"/>
          <w:szCs w:val="32"/>
        </w:rPr>
      </w:pPr>
    </w:p>
    <w:p w14:paraId="71FA9BDD">
      <w:pPr>
        <w:widowControl/>
        <w:spacing w:line="60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四部分名词解释</w:t>
      </w:r>
    </w:p>
    <w:p w14:paraId="183ECC10">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财政拨款收入：指本级财政当年拨付的资金。</w:t>
      </w:r>
    </w:p>
    <w:p w14:paraId="11DA4D0A">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其他收入：指除上述“财政拨款收入”、“上级补助收入”、“事业收入”、“经营收入”、“附属单位上缴收入”等以外的收入。</w:t>
      </w:r>
    </w:p>
    <w:p w14:paraId="10A0654B">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14:paraId="3CF8082B">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文化体育与传媒支出（类）：是指用于文化、文物、体育、新闻出版广播影视等方面的支出，包括保障机构正常运转、完成日常和特定的工作任务或事业发展目标的支出。</w:t>
      </w:r>
    </w:p>
    <w:p w14:paraId="35B05745">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商业服务业等支出（类）：是指用于商业服务业等方面的支出。包括保障机构正常运转、完成日常和特定的工作任务或事业发展目标的支出。</w:t>
      </w:r>
    </w:p>
    <w:p w14:paraId="737263E9">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基本支出：指保障机构正常运转、完成支日常工作任务而发生的人员支出和公用支出。</w:t>
      </w:r>
    </w:p>
    <w:p w14:paraId="78569B25">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项目支出：指在基本支出之外为完成特定行政任务和事业发展目标所发生的支出。</w:t>
      </w:r>
    </w:p>
    <w:p w14:paraId="48C0ED32">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14:paraId="65D487F2">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0AF8A452">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工资福利支出：反映单位开支的在职职工和编制外长期聘用人员的各类劳动报酬，以及为上述人员缴纳的各项社会保险费等。</w:t>
      </w:r>
    </w:p>
    <w:p w14:paraId="6554CC5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02BC5607">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津贴补贴：反映经国家批准建立的机关事业单位艰苦边远地区津贴、机关工作人员地区附加津贴、机关工作人员岗位津贴、事业单位工作人员特殊岗位津贴补贴等。</w:t>
      </w:r>
    </w:p>
    <w:p w14:paraId="0617DE5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奖金：反映机关工作人员年终一次性奖金。</w:t>
      </w:r>
    </w:p>
    <w:p w14:paraId="283C04C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机关事业单位基本养老保险缴费：反映机关事业单位缴纳的基本养老保险费。由单位代扣的工作人员基本养老保险缴费，不在此科目反映。</w:t>
      </w:r>
    </w:p>
    <w:p w14:paraId="239860D5">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职业年金缴费：反映机关事业单位实际缴纳的职业年金支出。由单位代扣的工作人员职业年金缴费，不在此科目反映。</w:t>
      </w:r>
    </w:p>
    <w:p w14:paraId="783EE16A">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职工基本医疗保险缴费：反映单位为职工缴纳的基本医疗保险费。</w:t>
      </w:r>
    </w:p>
    <w:p w14:paraId="29EE6657">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其他社会保障缴费：反映单位为职工缴纳的基本医疗、失业、工伤、生育等社会保险费，残疾人就业保障金，军队（含武警）为军人缴纳的伤亡、退役医疗等社会保险费。</w:t>
      </w:r>
    </w:p>
    <w:p w14:paraId="1BC6F015">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住房公积金：反映行政事业单位按人力资源和社会保障部、财政部规定的基本工资和津贴补贴以及规定比例为职工缴纳的住房公积金。</w:t>
      </w:r>
    </w:p>
    <w:p w14:paraId="1F1E6D74">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医疗费：反映未参加医疗保险单位的医疗经费和单位按规定为职工支出的其他医疗费用。</w:t>
      </w:r>
    </w:p>
    <w:p w14:paraId="04356E36">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其</w:t>
      </w:r>
      <w:r>
        <w:rPr>
          <w:rFonts w:hint="eastAsia" w:ascii="仿宋" w:hAnsi="仿宋" w:eastAsia="仿宋" w:cs="仿宋"/>
          <w:kern w:val="0"/>
          <w:sz w:val="32"/>
          <w:szCs w:val="32"/>
        </w:rPr>
        <w:t>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976D3FA">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商品和服务支出：反映单位购买商品和服务的支出（不包括用于购置固定资产的支出、战略性和应急储备支出）。</w:t>
      </w:r>
    </w:p>
    <w:p w14:paraId="12BD38BD">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办公费：反映单位购买按财务会计制度规定不符合固定资产确认标准的日常办公用品、书报杂志等支出。</w:t>
      </w:r>
    </w:p>
    <w:p w14:paraId="0A95FF7F">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印刷费：反映单位的印刷费支出。</w:t>
      </w:r>
    </w:p>
    <w:p w14:paraId="503CD654">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手续费：反映单位支付的各类手续费支出。</w:t>
      </w:r>
    </w:p>
    <w:p w14:paraId="23DC3D8C">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水费：反映单位支付的水费、污水处理费等支出。</w:t>
      </w:r>
    </w:p>
    <w:p w14:paraId="4B5D9814">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电费：反映单位的电费支出。</w:t>
      </w:r>
    </w:p>
    <w:p w14:paraId="536DED92">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邮电费：反映单位开支的信函、包裹、货物等物品的邮寄费及电话费、电报费、传真费、网络通讯费等。</w:t>
      </w:r>
    </w:p>
    <w:p w14:paraId="450AA131">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物业管理费：反映单位开支的办公用房以及未实行职工住宅物业服务改革的在职职工和离退休人员宿舍等的物业管理费，包括综合治理、绿化、卫生等方面的支出。</w:t>
      </w:r>
    </w:p>
    <w:p w14:paraId="1BDD3F21">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差旅费：反映单位工作人员出差发生的城市间交通费、住宿费、伙食补贴费和市内交通费。</w:t>
      </w:r>
    </w:p>
    <w:p w14:paraId="34626686">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维修(护)费：反映单位日常开支的固定资产（不包括车船等交通工具）修理和维护费用，网络信息系统运行与维护费用，以及按规定提取的修购基金。</w:t>
      </w:r>
    </w:p>
    <w:p w14:paraId="35A16A74">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租赁费：反映租赁办公用房、宿舍、专用通讯网以及其他设备等方面的费用。</w:t>
      </w:r>
    </w:p>
    <w:p w14:paraId="7A853E2F">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会议费：反映会议中按规定开支的住宿费、伙食费、会议室租金、交通费、文件印刷费、医药费等。</w:t>
      </w:r>
    </w:p>
    <w:p w14:paraId="5D774741">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培训费：反映除因公出国（境）培训费以外的各类培训支出。</w:t>
      </w:r>
    </w:p>
    <w:p w14:paraId="303E0EF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公务接待费：反映单位按规定开支的各类公务接待（含外宾接待）费用。</w:t>
      </w:r>
    </w:p>
    <w:p w14:paraId="4D00D33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121C265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劳务费：反映支付给单位和个人的劳务费用，如临时聘用人员、钟点工工资，稿费、翻译费，评审费等。</w:t>
      </w:r>
    </w:p>
    <w:p w14:paraId="5F323E7A">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委托业务费：反映因委托外单位办理业务而支付的委托业务费。</w:t>
      </w:r>
    </w:p>
    <w:p w14:paraId="754C0EE7">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工会经费：反映单位按规定提取的工会经费。</w:t>
      </w:r>
    </w:p>
    <w:p w14:paraId="0F1F3E86">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公务用车运行维护费：反映单位按规定保留的公务用车燃料费、维修费、过桥过路费、保险费、安全奖励费用等支出。</w:t>
      </w:r>
    </w:p>
    <w:p w14:paraId="21234AAC">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其他交通费用：反映单位除公务用车运行维护费以外的其他交通费用。如公务交通补贴，租车费用、出租车费用，飞机、船舶等的燃料费、维修费、保险费等。</w:t>
      </w:r>
    </w:p>
    <w:p w14:paraId="04F4B22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其他商品和服务支出：反映上述科目未包括的日常公用支出。如行政赔偿费和诉讼费、国内组织的会员费、来访费、广告宣传、其他劳务费及离休人员特需费、公用经费等。</w:t>
      </w:r>
    </w:p>
    <w:p w14:paraId="3D045EFE">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对个人和家庭的补助：反映政府用于对个人和家庭的补助支出。</w:t>
      </w:r>
    </w:p>
    <w:p w14:paraId="54F58BAB">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14:paraId="69448F6D">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3AC911BB">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14:paraId="12BEB531">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14:paraId="47498EEA">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办公设备购置：反映用于购置并按财务会计制度规定纳入固定资产核算范围的办公家具和办公设备的支出，以及按规定提取的修购基金。</w:t>
      </w:r>
    </w:p>
    <w:p w14:paraId="4DD63961">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0E85BAAF">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第五部分 附件</w:t>
      </w:r>
    </w:p>
    <w:p w14:paraId="0BA9D5E1">
      <w:pPr>
        <w:widowControl/>
        <w:spacing w:line="600" w:lineRule="exact"/>
        <w:rPr>
          <w:rFonts w:ascii="仿宋" w:hAnsi="仿宋" w:eastAsia="仿宋" w:cs="仿宋"/>
          <w:kern w:val="0"/>
          <w:sz w:val="32"/>
          <w:szCs w:val="32"/>
          <w:lang w:val="zh-CN"/>
        </w:rPr>
      </w:pPr>
      <w:r>
        <w:rPr>
          <w:rFonts w:hint="eastAsia" w:ascii="仿宋" w:hAnsi="仿宋" w:eastAsia="仿宋" w:cs="仿宋"/>
          <w:kern w:val="0"/>
          <w:sz w:val="32"/>
          <w:szCs w:val="32"/>
        </w:rPr>
        <w:t>附件：2020年度岳阳县文化旅游市场综合执法大队部门决算公开表格</w:t>
      </w:r>
    </w:p>
    <w:p w14:paraId="0E1440AC">
      <w:pPr>
        <w:widowControl/>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lang w:val="zh-CN"/>
        </w:rPr>
        <w:t xml:space="preserve">    </w:t>
      </w:r>
      <w:r>
        <w:rPr>
          <w:rFonts w:hint="eastAsia" w:ascii="仿宋" w:hAnsi="仿宋" w:eastAsia="仿宋" w:cs="仿宋"/>
          <w:sz w:val="32"/>
          <w:szCs w:val="32"/>
        </w:rPr>
        <w:t>附表：（在此处以附件形式上传）</w:t>
      </w:r>
    </w:p>
    <w:p w14:paraId="5047461E">
      <w:pPr>
        <w:rPr>
          <w:rFonts w:ascii="仿宋" w:hAnsi="仿宋" w:eastAsia="仿宋" w:cs="仿宋"/>
          <w:sz w:val="32"/>
          <w:szCs w:val="32"/>
        </w:rPr>
      </w:pPr>
    </w:p>
    <w:p w14:paraId="119DCECC">
      <w:pPr>
        <w:rPr>
          <w:rFonts w:ascii="仿宋" w:hAnsi="仿宋" w:eastAsia="仿宋" w:cs="仿宋"/>
          <w:sz w:val="32"/>
          <w:szCs w:val="32"/>
        </w:rPr>
      </w:pPr>
    </w:p>
    <w:p w14:paraId="35E024A2">
      <w:pPr>
        <w:rPr>
          <w:rFonts w:ascii="仿宋" w:hAnsi="仿宋" w:eastAsia="仿宋" w:cs="仿宋"/>
          <w:sz w:val="32"/>
          <w:szCs w:val="32"/>
        </w:rPr>
      </w:pPr>
    </w:p>
    <w:bookmarkEnd w:i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9B8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E61B5"/>
    <w:multiLevelType w:val="singleLevel"/>
    <w:tmpl w:val="BCBE61B5"/>
    <w:lvl w:ilvl="0" w:tentative="0">
      <w:start w:val="1"/>
      <w:numFmt w:val="decimal"/>
      <w:suff w:val="nothing"/>
      <w:lvlText w:val="%1、"/>
      <w:lvlJc w:val="left"/>
    </w:lvl>
  </w:abstractNum>
  <w:abstractNum w:abstractNumId="1">
    <w:nsid w:val="71466912"/>
    <w:multiLevelType w:val="multilevel"/>
    <w:tmpl w:val="7146691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4ODk0NzM2ZTlhZmRjMmU3YmRjN2NiZDIwYmYyMjIifQ=="/>
  </w:docVars>
  <w:rsids>
    <w:rsidRoot w:val="00CA5057"/>
    <w:rsid w:val="00001697"/>
    <w:rsid w:val="000034D6"/>
    <w:rsid w:val="00007B22"/>
    <w:rsid w:val="0006270B"/>
    <w:rsid w:val="00065DA2"/>
    <w:rsid w:val="00073320"/>
    <w:rsid w:val="0009790F"/>
    <w:rsid w:val="00117900"/>
    <w:rsid w:val="001336FC"/>
    <w:rsid w:val="00165DDA"/>
    <w:rsid w:val="00193395"/>
    <w:rsid w:val="001A0136"/>
    <w:rsid w:val="001A3382"/>
    <w:rsid w:val="001A3861"/>
    <w:rsid w:val="001A6377"/>
    <w:rsid w:val="001C6E63"/>
    <w:rsid w:val="001D154A"/>
    <w:rsid w:val="001F365A"/>
    <w:rsid w:val="00203B0A"/>
    <w:rsid w:val="00247F3E"/>
    <w:rsid w:val="0025517E"/>
    <w:rsid w:val="00262741"/>
    <w:rsid w:val="00270E85"/>
    <w:rsid w:val="0027501C"/>
    <w:rsid w:val="002B0968"/>
    <w:rsid w:val="002C117B"/>
    <w:rsid w:val="002F5747"/>
    <w:rsid w:val="002F57F8"/>
    <w:rsid w:val="00300291"/>
    <w:rsid w:val="00310DE6"/>
    <w:rsid w:val="00312D1E"/>
    <w:rsid w:val="0033374A"/>
    <w:rsid w:val="00344D3D"/>
    <w:rsid w:val="003457B4"/>
    <w:rsid w:val="00353A48"/>
    <w:rsid w:val="00355284"/>
    <w:rsid w:val="003B4FC5"/>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56AA2"/>
    <w:rsid w:val="00580473"/>
    <w:rsid w:val="005A0CEA"/>
    <w:rsid w:val="005B6EEE"/>
    <w:rsid w:val="005E6320"/>
    <w:rsid w:val="006137D9"/>
    <w:rsid w:val="00617392"/>
    <w:rsid w:val="00637664"/>
    <w:rsid w:val="0067747A"/>
    <w:rsid w:val="00687143"/>
    <w:rsid w:val="00695750"/>
    <w:rsid w:val="006C1259"/>
    <w:rsid w:val="006E013D"/>
    <w:rsid w:val="006E335E"/>
    <w:rsid w:val="006F2FD2"/>
    <w:rsid w:val="00714685"/>
    <w:rsid w:val="007460A4"/>
    <w:rsid w:val="00752EAB"/>
    <w:rsid w:val="00754296"/>
    <w:rsid w:val="00755471"/>
    <w:rsid w:val="00790197"/>
    <w:rsid w:val="00797C5B"/>
    <w:rsid w:val="007B0161"/>
    <w:rsid w:val="007C48A3"/>
    <w:rsid w:val="007E7180"/>
    <w:rsid w:val="0080606C"/>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76BBF"/>
    <w:rsid w:val="00990520"/>
    <w:rsid w:val="00995AF1"/>
    <w:rsid w:val="009D1CA3"/>
    <w:rsid w:val="009D450C"/>
    <w:rsid w:val="009E5041"/>
    <w:rsid w:val="009E7921"/>
    <w:rsid w:val="00A0350C"/>
    <w:rsid w:val="00A03C0E"/>
    <w:rsid w:val="00A43A32"/>
    <w:rsid w:val="00A63B70"/>
    <w:rsid w:val="00A867C6"/>
    <w:rsid w:val="00AA3A04"/>
    <w:rsid w:val="00AA481C"/>
    <w:rsid w:val="00AB576D"/>
    <w:rsid w:val="00AB6861"/>
    <w:rsid w:val="00AB7710"/>
    <w:rsid w:val="00AC160E"/>
    <w:rsid w:val="00B0403C"/>
    <w:rsid w:val="00B21CBD"/>
    <w:rsid w:val="00B366B4"/>
    <w:rsid w:val="00B82665"/>
    <w:rsid w:val="00BC04D7"/>
    <w:rsid w:val="00BE4229"/>
    <w:rsid w:val="00BF5A08"/>
    <w:rsid w:val="00C36022"/>
    <w:rsid w:val="00C45E3C"/>
    <w:rsid w:val="00C5316A"/>
    <w:rsid w:val="00C53F11"/>
    <w:rsid w:val="00CA5057"/>
    <w:rsid w:val="00CB1E6F"/>
    <w:rsid w:val="00CB5C8F"/>
    <w:rsid w:val="00CD2425"/>
    <w:rsid w:val="00CF2BA3"/>
    <w:rsid w:val="00D1730A"/>
    <w:rsid w:val="00D279D7"/>
    <w:rsid w:val="00D4213F"/>
    <w:rsid w:val="00D60DAB"/>
    <w:rsid w:val="00D75CFA"/>
    <w:rsid w:val="00D84D40"/>
    <w:rsid w:val="00D9526C"/>
    <w:rsid w:val="00D96317"/>
    <w:rsid w:val="00DB63BF"/>
    <w:rsid w:val="00DD2BA7"/>
    <w:rsid w:val="00DD573A"/>
    <w:rsid w:val="00E01BD5"/>
    <w:rsid w:val="00E179D0"/>
    <w:rsid w:val="00E24DC7"/>
    <w:rsid w:val="00E419D9"/>
    <w:rsid w:val="00E5547E"/>
    <w:rsid w:val="00E75085"/>
    <w:rsid w:val="00E756B3"/>
    <w:rsid w:val="00E9781D"/>
    <w:rsid w:val="00EA5C43"/>
    <w:rsid w:val="00EC052E"/>
    <w:rsid w:val="00F05F5B"/>
    <w:rsid w:val="00F06D7F"/>
    <w:rsid w:val="00F078E9"/>
    <w:rsid w:val="00F24836"/>
    <w:rsid w:val="00F24E88"/>
    <w:rsid w:val="00F36C19"/>
    <w:rsid w:val="00F74B02"/>
    <w:rsid w:val="00F812C9"/>
    <w:rsid w:val="00FB0434"/>
    <w:rsid w:val="00FB1B41"/>
    <w:rsid w:val="00FB3CC9"/>
    <w:rsid w:val="00FE2E8C"/>
    <w:rsid w:val="07EA6F3F"/>
    <w:rsid w:val="08217DD2"/>
    <w:rsid w:val="0C214A7E"/>
    <w:rsid w:val="0DD0573D"/>
    <w:rsid w:val="141E7E77"/>
    <w:rsid w:val="16842F15"/>
    <w:rsid w:val="2BFE7277"/>
    <w:rsid w:val="389A15E8"/>
    <w:rsid w:val="39D018E8"/>
    <w:rsid w:val="3FA33CF8"/>
    <w:rsid w:val="467A191B"/>
    <w:rsid w:val="520A77DE"/>
    <w:rsid w:val="625669D0"/>
    <w:rsid w:val="73C22DCA"/>
    <w:rsid w:val="7A2226BF"/>
    <w:rsid w:val="7E7F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Date"/>
    <w:basedOn w:val="1"/>
    <w:next w:val="1"/>
    <w:link w:val="14"/>
    <w:qFormat/>
    <w:uiPriority w:val="0"/>
    <w:pPr>
      <w:ind w:left="100" w:leftChars="2500"/>
    </w:pPr>
  </w:style>
  <w:style w:type="paragraph" w:styleId="4">
    <w:name w:val="Balloon Text"/>
    <w:basedOn w:val="1"/>
    <w:link w:val="13"/>
    <w:semiHidden/>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脚 Char"/>
    <w:link w:val="5"/>
    <w:qFormat/>
    <w:locked/>
    <w:uiPriority w:val="0"/>
    <w:rPr>
      <w:rFonts w:eastAsia="宋体"/>
      <w:kern w:val="2"/>
      <w:sz w:val="18"/>
      <w:szCs w:val="18"/>
      <w:lang w:val="en-US" w:eastAsia="zh-CN" w:bidi="ar-SA"/>
    </w:rPr>
  </w:style>
  <w:style w:type="character" w:customStyle="1" w:styleId="11">
    <w:name w:val="页眉 Char"/>
    <w:link w:val="6"/>
    <w:qFormat/>
    <w:locked/>
    <w:uiPriority w:val="0"/>
    <w:rPr>
      <w:rFonts w:eastAsia="宋体"/>
      <w:kern w:val="2"/>
      <w:sz w:val="18"/>
      <w:szCs w:val="18"/>
      <w:lang w:val="en-US" w:eastAsia="zh-CN" w:bidi="ar-SA"/>
    </w:rPr>
  </w:style>
  <w:style w:type="character" w:customStyle="1" w:styleId="12">
    <w:name w:val="正文文本 Char"/>
    <w:link w:val="2"/>
    <w:qFormat/>
    <w:locked/>
    <w:uiPriority w:val="0"/>
    <w:rPr>
      <w:rFonts w:eastAsia="宋体"/>
      <w:kern w:val="2"/>
      <w:sz w:val="21"/>
      <w:szCs w:val="21"/>
      <w:lang w:val="en-US" w:eastAsia="zh-CN" w:bidi="ar-SA"/>
    </w:rPr>
  </w:style>
  <w:style w:type="character" w:customStyle="1" w:styleId="13">
    <w:name w:val="批注框文本 Char"/>
    <w:link w:val="4"/>
    <w:qFormat/>
    <w:locked/>
    <w:uiPriority w:val="0"/>
    <w:rPr>
      <w:rFonts w:eastAsia="宋体"/>
      <w:kern w:val="2"/>
      <w:sz w:val="18"/>
      <w:szCs w:val="18"/>
      <w:lang w:val="en-US" w:eastAsia="zh-CN" w:bidi="ar-SA"/>
    </w:rPr>
  </w:style>
  <w:style w:type="character" w:customStyle="1" w:styleId="14">
    <w:name w:val="日期 Char"/>
    <w:link w:val="3"/>
    <w:qFormat/>
    <w:locked/>
    <w:uiPriority w:val="0"/>
    <w:rPr>
      <w:rFonts w:eastAsia="宋体"/>
      <w:kern w:val="2"/>
      <w:sz w:val="21"/>
      <w:szCs w:val="21"/>
      <w:lang w:val="en-US" w:eastAsia="zh-CN" w:bidi="ar-SA"/>
    </w:rPr>
  </w:style>
  <w:style w:type="paragraph" w:customStyle="1" w:styleId="15">
    <w:name w:val="表格内容"/>
    <w:basedOn w:val="2"/>
    <w:qFormat/>
    <w:uiPriority w:val="0"/>
    <w:pPr>
      <w:suppressLineNumbers/>
      <w:suppressAutoHyphens/>
      <w:jc w:val="left"/>
    </w:pPr>
    <w:rPr>
      <w:kern w:val="0"/>
      <w:sz w:val="24"/>
      <w:szCs w:val="24"/>
    </w:rPr>
  </w:style>
  <w:style w:type="paragraph" w:styleId="16">
    <w:name w:val="List Paragraph"/>
    <w:basedOn w:val="1"/>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15</Pages>
  <Words>6455</Words>
  <Characters>6874</Characters>
  <Lines>48</Lines>
  <Paragraphs>13</Paragraphs>
  <TotalTime>5</TotalTime>
  <ScaleCrop>false</ScaleCrop>
  <LinksUpToDate>false</LinksUpToDate>
  <CharactersWithSpaces>6921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2021-08-10T09:03:00Z</dcterms:created>
  <dc:creator>周继恩 10.105.113.143</dc:creator>
  <cp:lastModifiedBy>悬剑</cp:lastModifiedBy>
  <cp:lastPrinted>2019-12-06T06:15:00Z</cp:lastPrinted>
  <dcterms:modified xsi:type="dcterms:W3CDTF">2024-08-19T02:32:13Z</dcterms:modified>
  <dc:title>××单位2018年度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9F49B9D27487480CB9BE1EF7C275B830</vt:lpwstr>
  </property>
</Properties>
</file>