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88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ind w:firstLine="880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年度岳阳县信访局整体支出</w:t>
      </w:r>
    </w:p>
    <w:p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绩效自评报告</w:t>
      </w: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>
      <w:pPr>
        <w:spacing w:before="274" w:line="225" w:lineRule="auto"/>
        <w:ind w:firstLine="617"/>
        <w:jc w:val="center"/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2024年6月12日</w:t>
      </w:r>
    </w:p>
    <w:p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>
      <w:pPr>
        <w:pStyle w:val="5"/>
        <w:ind w:firstLine="360"/>
        <w:rPr>
          <w:rFonts w:ascii="宋体" w:hAnsi="宋体" w:eastAsia="宋体"/>
          <w:lang w:eastAsia="zh-CN"/>
        </w:rPr>
      </w:pPr>
    </w:p>
    <w:p>
      <w:pPr>
        <w:pStyle w:val="3"/>
        <w:widowControl/>
        <w:kinsoku w:val="0"/>
        <w:wordWrap/>
        <w:autoSpaceDE w:val="0"/>
        <w:autoSpaceDN w:val="0"/>
        <w:adjustRightInd w:val="0"/>
        <w:snapToGrid w:val="0"/>
        <w:spacing w:before="211" w:after="0" w:line="560" w:lineRule="exact"/>
        <w:ind w:left="0" w:leftChars="0" w:right="0" w:firstLine="638"/>
        <w:jc w:val="both"/>
        <w:outlineLvl w:val="9"/>
        <w:rPr>
          <w:b/>
          <w:bCs/>
          <w:spacing w:val="18"/>
          <w:sz w:val="30"/>
          <w:szCs w:val="30"/>
          <w:lang w:eastAsia="zh-CN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pStyle w:val="3"/>
        <w:widowControl/>
        <w:kinsoku w:val="0"/>
        <w:wordWrap/>
        <w:autoSpaceDE w:val="0"/>
        <w:autoSpaceDN w:val="0"/>
        <w:adjustRightInd w:val="0"/>
        <w:snapToGrid w:val="0"/>
        <w:spacing w:before="211" w:after="0" w:line="560" w:lineRule="exact"/>
        <w:ind w:left="0" w:leftChars="0" w:right="0" w:firstLine="638"/>
        <w:jc w:val="both"/>
        <w:outlineLvl w:val="9"/>
        <w:rPr>
          <w:b/>
          <w:bCs/>
          <w:spacing w:val="18"/>
          <w:sz w:val="30"/>
          <w:szCs w:val="30"/>
          <w:lang w:eastAsia="zh-CN"/>
        </w:rPr>
      </w:pPr>
    </w:p>
    <w:p>
      <w:pPr>
        <w:pStyle w:val="3"/>
        <w:widowControl/>
        <w:numPr>
          <w:ilvl w:val="0"/>
          <w:numId w:val="1"/>
        </w:numPr>
        <w:kinsoku w:val="0"/>
        <w:wordWrap/>
        <w:autoSpaceDE w:val="0"/>
        <w:autoSpaceDN w:val="0"/>
        <w:adjustRightInd w:val="0"/>
        <w:snapToGrid w:val="0"/>
        <w:spacing w:before="211" w:after="0" w:line="560" w:lineRule="exact"/>
        <w:ind w:left="0" w:leftChars="0" w:right="0" w:firstLine="64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outlineLvl w:val="9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pStyle w:val="7"/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0" w:leftChars="0" w:right="0" w:firstLine="480"/>
        <w:jc w:val="both"/>
        <w:textAlignment w:val="center"/>
        <w:outlineLvl w:val="9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ascii="仿宋" w:hAnsi="仿宋" w:eastAsia="仿宋"/>
          <w:kern w:val="2"/>
          <w:sz w:val="32"/>
          <w:szCs w:val="32"/>
        </w:rPr>
        <w:t>1、</w:t>
      </w:r>
      <w:r>
        <w:rPr>
          <w:rFonts w:ascii="仿宋" w:hAnsi="仿宋" w:eastAsia="仿宋"/>
          <w:kern w:val="2"/>
          <w:sz w:val="32"/>
          <w:szCs w:val="32"/>
        </w:rPr>
        <w:t>负责处理人民群众给县委、县政府及其领导同志的来信，接待处理群众来访，受理处理网络信访，为领导同志接待上访群众做好组织服务工作。</w:t>
      </w:r>
    </w:p>
    <w:p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承办中央、省、市、县委、县政府交办的信访事项，县乡镇（办事处）、县直各单位交办信访事项，督促检查处理落实情况。</w:t>
      </w:r>
    </w:p>
    <w:p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综合、反映人民群众在信访中提出的重要意见、建议和问题，开展调查研究，为县委、县政府提供信访信息。</w:t>
      </w:r>
    </w:p>
    <w:p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协同有关部门处理跨地区、跨部门的重大信访问题，协调处理群众到市赴省进京上访，协调全县各级党政机关的信访工作。</w:t>
      </w:r>
    </w:p>
    <w:p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ascii="仿宋" w:hAnsi="仿宋" w:eastAsia="仿宋"/>
          <w:sz w:val="32"/>
          <w:szCs w:val="32"/>
        </w:rPr>
        <w:t>研究、起草有关信访工作的政策规定;开展信访工作宣传和调研；指导全县信访工作业务，总结推广信访工作经验，提出加强和改进信访工作的意见。</w:t>
      </w:r>
    </w:p>
    <w:p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</w:t>
      </w:r>
      <w:r>
        <w:rPr>
          <w:rFonts w:ascii="仿宋" w:hAnsi="仿宋" w:eastAsia="仿宋"/>
          <w:sz w:val="32"/>
          <w:szCs w:val="32"/>
        </w:rPr>
        <w:t>掌握全县信访工作队伍建设情况，提出加强信访队伍建设的措施，对信访工作中失职、渎职行为提出处理建议，组织信访干部培训，指导信访部门办公自动化建设。</w:t>
      </w:r>
    </w:p>
    <w:p>
      <w:pPr>
        <w:widowControl/>
        <w:shd w:val="clear" w:color="auto" w:fill="FFFFFF"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800" w:firstLineChars="250"/>
        <w:jc w:val="both"/>
        <w:textAlignment w:val="center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</w:t>
      </w:r>
      <w:r>
        <w:rPr>
          <w:rFonts w:ascii="仿宋" w:hAnsi="仿宋" w:eastAsia="仿宋"/>
          <w:sz w:val="32"/>
          <w:szCs w:val="32"/>
        </w:rPr>
        <w:t>协助县委、县政府交办的其他事项。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outlineLvl w:val="9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岳阳县信访局，现有干部职工1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人，设局长1名，副局长3名。</w:t>
      </w:r>
      <w:r>
        <w:rPr>
          <w:rFonts w:ascii="仿宋" w:hAnsi="仿宋" w:eastAsia="仿宋"/>
          <w:sz w:val="32"/>
          <w:szCs w:val="32"/>
        </w:rPr>
        <w:t>内设办公室、办信网信室、协调督查室、政策法规室4个股室，下设正股级公益一类事业单位——岳阳县人民来访接待中心。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>
      <w:pPr>
        <w:pStyle w:val="10"/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3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年基本支出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439.62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万元，其中人员经费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181.54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万元，主要包括：基本工资、津贴补贴、奖金、机关事业单位基本养老保险缴费、职工基本医疗保险缴费、公务员医疗补助缴费、其他社会保障缴费、住房公积金、医疗费、其他职工福利支出等；日常公用经费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258.07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办公费、印刷费、咨询费、手续费、水费、电费、邮电费、物业管理费、差旅费、维修（护）费、会议费、培训费、专用材料费、劳务费等，其中三公经费支出0.33万元：因公出国（境）费用0元，公务接待费0.33万元，公务用车运行维护费0元。年初我局制定经费预算时，明确了“三公经费”控制标准。</w:t>
      </w:r>
    </w:p>
    <w:p>
      <w:pPr>
        <w:pStyle w:val="10"/>
        <w:widowControl/>
        <w:numPr>
          <w:ilvl w:val="0"/>
          <w:numId w:val="2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3"/>
        <w:jc w:val="both"/>
        <w:outlineLvl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>
      <w:pPr>
        <w:pStyle w:val="10"/>
        <w:widowControl/>
        <w:numPr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年信访局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支出为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62.89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万元。主要用于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信访专项业务项目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支出。</w:t>
      </w:r>
    </w:p>
    <w:p>
      <w:pPr>
        <w:pStyle w:val="10"/>
        <w:widowControl/>
        <w:numPr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widowControl/>
        <w:numPr>
          <w:ilvl w:val="0"/>
          <w:numId w:val="3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政府性基金预算支出情况</w:t>
      </w:r>
    </w:p>
    <w:p>
      <w:pPr>
        <w:widowControl/>
        <w:numPr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政府性基金预算支出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0万元。</w:t>
      </w:r>
    </w:p>
    <w:p>
      <w:pPr>
        <w:widowControl/>
        <w:numPr>
          <w:ilvl w:val="0"/>
          <w:numId w:val="4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国有资本经营预算支出情况</w:t>
      </w:r>
    </w:p>
    <w:p>
      <w:pPr>
        <w:widowControl/>
        <w:numPr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2023年度国有资本经营预算支出10万元。</w:t>
      </w:r>
    </w:p>
    <w:p>
      <w:pPr>
        <w:widowControl/>
        <w:numPr>
          <w:ilvl w:val="0"/>
          <w:numId w:val="5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>
      <w:pPr>
        <w:widowControl/>
        <w:numPr>
          <w:numId w:val="0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2023年度社会保险基金预算支出0万元。</w:t>
      </w:r>
    </w:p>
    <w:p>
      <w:pPr>
        <w:widowControl/>
        <w:numPr>
          <w:ilvl w:val="0"/>
          <w:numId w:val="6"/>
        </w:numPr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部门整体支出绩效情况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岳阳县信访局在县领导的支持和县财政局的具体指导下，积极推进预算绩效管理工作，不断提高绩效管理工作的质量和水平，提高财政资金的使用效益，取得了较好成效。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1、资金支付过程中存在没有对应资金的用途性质使用的情况，主要原因为部分项目资金指标在年中下达，但资金使用可能在上半年就发生了，导致部分资金指标混用。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预算编制工作有待细化。预算编制不够明确和细化，预算编制的合理性需要提高，预算执行力度还要进一步加强。 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、人员素质有待进一步提高。由于预算绩效管理工作开展时间较短，加上缺乏系统的培训，会计人员对预算绩效管理认识不到位、理解不充分，对工作重点把握不到位。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八、下一步改进措施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1.细化预算编制工作，认真做好预算的编制。进一步加强单位内部机构各办公室的预算管理意识， 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 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2.加强财务管理，严格财务审核。加强单位财务管理，健全单位财务管理制度体系，规范单位财务行为。在费用报账支付时，按照预算规定的费用项目和用途进行资金使用审核、列报支付、财务核算， 杜绝超支现象的发生。 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3.对相关人员加强培训，特别是针对《预算法》《行政事业单位会计制度》等学习培训，规范部门预算收支核算，切实提高部门预算收支管理水平。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九、部门整体支出绩效自评结果拟应用和公开情况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1、我单位逐步建立绩效评价与部门预算相结合的结果应用机制，实行绩效评价结果在部门预算编制和执行中的应用，促进财政资金的合理分配与有效使用。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2、我单位按规定在政府门户网站公开了绩效自评的相关信息。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>
      <w:pPr>
        <w:spacing w:line="600" w:lineRule="exact"/>
        <w:ind w:firstLine="640" w:firstLineChars="200"/>
        <w:jc w:val="distribute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600" w:lineRule="exact"/>
        <w:jc w:val="both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jc w:val="both"/>
        <w:rPr>
          <w:rFonts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rPr>
          <w:lang w:eastAsia="zh-CN"/>
        </w:rPr>
      </w:pPr>
    </w:p>
    <w:tbl>
      <w:tblPr>
        <w:tblW w:w="94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财政供养人员情况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人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经费控制情况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278.38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hint="eastAsia" w:ascii="仿宋_GB2312" w:hAnsi="宋体" w:eastAsia="仿宋_GB2312" w:cs="宋体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278.38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、县级专项资金</w:t>
            </w:r>
            <w:r>
              <w:rPr>
                <w:rFonts w:hint="eastAsia" w:ascii="仿宋_GB2312" w:eastAsia="仿宋_GB2312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73.39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260.01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258.07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5.34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20.38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16.10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5.67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楼堂馆所控制情况</w:t>
            </w:r>
          </w:p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批复规模</w:t>
            </w:r>
            <w:r>
              <w:rPr>
                <w:rFonts w:hint="eastAsia" w:ascii="仿宋_GB2312" w:eastAsia="仿宋_GB2312"/>
              </w:rPr>
              <w:t xml:space="preserve"> 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实际规模</w:t>
            </w:r>
            <w:r>
              <w:rPr>
                <w:rFonts w:hint="eastAsia" w:ascii="仿宋_GB2312" w:eastAsia="仿宋_GB2312"/>
              </w:rPr>
              <w:t>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规规模控制率</w:t>
            </w:r>
          </w:p>
        </w:tc>
        <w:tc>
          <w:tcPr>
            <w:tcW w:w="1079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预算投资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实际投资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资概控</w:t>
            </w:r>
          </w:p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  <w:ind w:firstLine="420"/>
              <w:jc w:val="center"/>
            </w:pPr>
          </w:p>
        </w:tc>
        <w:tc>
          <w:tcPr>
            <w:tcW w:w="1158" w:type="dxa"/>
            <w:vAlign w:val="top"/>
          </w:tcPr>
          <w:p>
            <w:pPr>
              <w:pStyle w:val="9"/>
              <w:ind w:firstLine="420"/>
              <w:jc w:val="center"/>
            </w:pPr>
          </w:p>
        </w:tc>
        <w:tc>
          <w:tcPr>
            <w:tcW w:w="958" w:type="dxa"/>
            <w:vAlign w:val="top"/>
          </w:tcPr>
          <w:p>
            <w:pPr>
              <w:pStyle w:val="9"/>
              <w:ind w:firstLine="420"/>
              <w:jc w:val="center"/>
            </w:pPr>
          </w:p>
        </w:tc>
        <w:tc>
          <w:tcPr>
            <w:tcW w:w="960" w:type="dxa"/>
            <w:vAlign w:val="top"/>
          </w:tcPr>
          <w:p>
            <w:pPr>
              <w:pStyle w:val="9"/>
              <w:ind w:firstLine="420"/>
              <w:jc w:val="center"/>
            </w:pPr>
          </w:p>
        </w:tc>
        <w:tc>
          <w:tcPr>
            <w:tcW w:w="1079" w:type="dxa"/>
            <w:vAlign w:val="top"/>
          </w:tcPr>
          <w:p>
            <w:pPr>
              <w:pStyle w:val="9"/>
              <w:ind w:firstLine="420"/>
              <w:jc w:val="center"/>
            </w:pPr>
          </w:p>
        </w:tc>
        <w:tc>
          <w:tcPr>
            <w:tcW w:w="1039" w:type="dxa"/>
            <w:vAlign w:val="top"/>
          </w:tcPr>
          <w:p>
            <w:pPr>
              <w:pStyle w:val="9"/>
              <w:ind w:firstLine="420"/>
              <w:jc w:val="center"/>
            </w:pPr>
          </w:p>
        </w:tc>
        <w:tc>
          <w:tcPr>
            <w:tcW w:w="944" w:type="dxa"/>
            <w:vAlign w:val="top"/>
          </w:tcPr>
          <w:p>
            <w:pPr>
              <w:pStyle w:val="9"/>
              <w:ind w:firstLine="42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top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top"/>
          </w:tcPr>
          <w:p>
            <w:pPr>
              <w:pStyle w:val="9"/>
              <w:ind w:firstLine="420"/>
              <w:jc w:val="both"/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  <w:t>严格落实中央八项规定和过“紧日子”相关要求，坚持勤俭节约、反对铺张浪费，细化预算，确保机关运转。</w:t>
            </w:r>
          </w:p>
        </w:tc>
      </w:tr>
    </w:tbl>
    <w:p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>
      <w:pPr>
        <w:pStyle w:val="3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张瑜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2024.05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13638409592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单位负责人签字：</w:t>
      </w:r>
    </w:p>
    <w:p>
      <w:pPr>
        <w:spacing w:line="228" w:lineRule="auto"/>
        <w:ind w:firstLine="400"/>
        <w:rPr>
          <w:rFonts w:eastAsia="宋体"/>
          <w:sz w:val="20"/>
          <w:szCs w:val="20"/>
          <w:lang w:eastAsia="zh-CN"/>
        </w:rPr>
        <w:sectPr>
          <w:footerReference r:id="rId10" w:type="first"/>
          <w:footerReference r:id="rId8" w:type="default"/>
          <w:footerReference r:id="rId9" w:type="even"/>
          <w:pgSz w:w="11907" w:h="16839"/>
          <w:pgMar w:top="2098" w:right="1474" w:bottom="1985" w:left="1588" w:header="0" w:footer="1588" w:gutter="0"/>
          <w:pgNumType w:fmt="numberInDash" w:start="1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>
      <w:pPr>
        <w:spacing w:line="237" w:lineRule="exact"/>
        <w:ind w:firstLine="420"/>
        <w:rPr>
          <w:lang w:eastAsia="zh-CN"/>
        </w:rPr>
      </w:pPr>
    </w:p>
    <w:tbl>
      <w:tblPr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岳阳县信访局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186.15</w:t>
            </w: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504.14</w:t>
            </w: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502.21</w:t>
            </w: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99.00%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482.05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439.62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62.59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18.62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目标1：全年预算申请到位和下达数量在95%以上，三公经费变动率≤0；</w:t>
            </w:r>
          </w:p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目标2：社会效益、经济效益、生态效益、可持续影响和社会公众满意度达到预期目标。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1：全年预算申请到位和下达数量在95%以上，三公经费变动率≤0；</w:t>
            </w:r>
          </w:p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2：社会效益、经济效益、生态效益、可持续影响和社会公众满意度达到预期目标。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信访工作联席会议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≥5次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组织召开信访工作联席会议不低于5次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诉签订息息访协议书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≥30份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签订息诉息访协议书达到30份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信访劝返人次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≥100人次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信访劝返人次达到100人次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信访接待群众人数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≥300人次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信访接待群众达到300人次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接访件交办率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100%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劝返成功率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≥80%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≥80%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访求件答复及时率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=100%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接访事件升级概率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定性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降低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信访积案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定性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减少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信访群众满意度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≥95%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信访群众满意度≥95%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4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成本指标</w:t>
            </w:r>
          </w:p>
        </w:tc>
        <w:tc>
          <w:tcPr>
            <w:tcW w:w="102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宋体" w:eastAsia="仿宋_GB2312" w:cs="宋体"/>
                <w:lang w:eastAsia="zh-CN"/>
              </w:rPr>
              <w:t>经济成本指标</w:t>
            </w:r>
          </w:p>
        </w:tc>
        <w:tc>
          <w:tcPr>
            <w:tcW w:w="124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" w:hAnsi="宋体"/>
                <w:b w:val="0"/>
                <w:i w:val="0"/>
                <w:color w:val="000000"/>
                <w:sz w:val="20"/>
                <w:u w:val="none"/>
              </w:rPr>
              <w:t>预算控制数</w:t>
            </w:r>
          </w:p>
        </w:tc>
        <w:tc>
          <w:tcPr>
            <w:tcW w:w="129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186.15</w:t>
            </w:r>
          </w:p>
        </w:tc>
        <w:tc>
          <w:tcPr>
            <w:tcW w:w="126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186.15</w:t>
            </w:r>
          </w:p>
        </w:tc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869" w:type="dxa"/>
            <w:textDirection w:val="lrTb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eastAsia="仿宋_GB2312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0"/>
                <w:u w:val="none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88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90</w:t>
            </w:r>
          </w:p>
        </w:tc>
        <w:tc>
          <w:tcPr>
            <w:tcW w:w="869" w:type="dxa"/>
            <w:vAlign w:val="center"/>
          </w:tcPr>
          <w:p>
            <w:pPr>
              <w:ind w:firstLine="42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423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pStyle w:val="3"/>
        <w:spacing w:before="65" w:line="228" w:lineRule="auto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>张瑜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填报日期：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2024.05</w:t>
      </w:r>
      <w:r>
        <w:rPr>
          <w:rFonts w:hint="eastAsia" w:ascii="仿宋_GB2312" w:hAnsi="宋体" w:eastAsia="仿宋_GB2312" w:cs="宋体"/>
          <w:sz w:val="21"/>
          <w:szCs w:val="21"/>
          <w:lang w:eastAsia="zh-CN"/>
        </w:rPr>
        <w:t xml:space="preserve">  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联系电话： </w:t>
      </w:r>
      <w:r>
        <w:rPr>
          <w:rFonts w:hint="eastAsia" w:ascii="仿宋_GB2312" w:hAnsi="宋体" w:eastAsia="仿宋_GB2312" w:cs="宋体"/>
          <w:sz w:val="21"/>
          <w:szCs w:val="21"/>
          <w:lang w:val="en-US" w:eastAsia="zh-CN"/>
        </w:rPr>
        <w:t>13638409592</w:t>
      </w:r>
      <w:r>
        <w:rPr>
          <w:rFonts w:ascii="仿宋_GB2312" w:hAnsi="宋体" w:eastAsia="仿宋_GB2312" w:cs="宋体"/>
          <w:sz w:val="21"/>
          <w:szCs w:val="21"/>
          <w:lang w:eastAsia="zh-CN"/>
        </w:rPr>
        <w:t xml:space="preserve">   单位负责人签字：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before="114" w:line="219" w:lineRule="auto"/>
        <w:ind w:firstLine="857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  <w:lang w:eastAsia="zh-CN"/>
        </w:rPr>
        <w:t>部门整体支出绩效自评工作考核评分表</w:t>
      </w:r>
    </w:p>
    <w:p>
      <w:pPr>
        <w:spacing w:line="220" w:lineRule="exact"/>
        <w:ind w:firstLine="420"/>
        <w:rPr>
          <w:lang w:eastAsia="zh-CN"/>
        </w:rPr>
      </w:pPr>
    </w:p>
    <w:tbl>
      <w:tblPr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46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</w:t>
            </w:r>
          </w:p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指标</w:t>
            </w:r>
          </w:p>
        </w:tc>
        <w:tc>
          <w:tcPr>
            <w:tcW w:w="11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评分标准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所需佐证材料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布置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自评通知</w:t>
            </w:r>
            <w:r>
              <w:rPr>
                <w:rFonts w:hint="eastAsia" w:ascii="仿宋_GB2312" w:eastAsia="仿宋_GB2312"/>
              </w:rPr>
              <w:t>(8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印发绩效自评通知的得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分；否则缺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项扣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绩效自评通知盖章的电子版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工作小组</w:t>
            </w:r>
            <w:r>
              <w:rPr>
                <w:rFonts w:hint="eastAsia" w:ascii="仿宋_GB2312" w:eastAsia="仿宋_GB2312"/>
              </w:rPr>
              <w:t>(2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成立绩效自评工作小组的得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本部门、本单位预算绩效管理领导小组</w:t>
            </w:r>
            <w:r>
              <w:rPr>
                <w:rFonts w:hint="eastAsia" w:ascii="仿宋_GB2312" w:eastAsia="仿宋_GB2312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绩效评价工作小组有关文件盖章的电子版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实施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评价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单位自查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、转移支付项目单位名称和资金情况清单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eastAsia="仿宋_GB2312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提交报告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按时向县财政局报送报告的得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分；每推迟一个工作日报送报告的扣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报告</w:t>
            </w:r>
          </w:p>
          <w:p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完整性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绩效自评报告正文部分内容齐全的，得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  <w:r>
              <w:rPr>
                <w:rFonts w:hint="eastAsia" w:ascii="仿宋_GB2312" w:eastAsia="仿宋_GB2312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绩效自评报告附件部分内容齐全的，得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绩效自评表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分，否则按比例扣除相应的分数。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分；部分细化的，酌情扣分；没有细化的，不得分。</w:t>
            </w:r>
          </w:p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分；突出核心指标，精简实用的得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分；否则，每项酌情扣分，最多扣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反映问题情况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eastAsia="仿宋_GB2312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分；反映问题、分析原因较全面的，得</w:t>
            </w:r>
            <w:r>
              <w:rPr>
                <w:rFonts w:hint="eastAsia" w:ascii="仿宋_GB2312" w:eastAsia="仿宋_GB2312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分；反映问题、分析原因不全面的，得</w:t>
            </w:r>
            <w:r>
              <w:rPr>
                <w:rFonts w:hint="eastAsia" w:ascii="仿宋_GB2312" w:eastAsia="仿宋_GB2312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分；问题未归纳且过于简单的，得</w:t>
            </w:r>
            <w:r>
              <w:rPr>
                <w:rFonts w:hint="eastAsia" w:ascii="仿宋_GB2312" w:eastAsia="仿宋_GB2312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分；只提出资金不足问题的不得分；其他情况酌情扣分。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建议情况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建议与问题对应且全面的得</w:t>
            </w:r>
            <w:r>
              <w:rPr>
                <w:rFonts w:hint="eastAsia" w:ascii="仿宋_GB2312" w:eastAsia="仿宋_GB2312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分，建议比较全面的得</w:t>
            </w:r>
            <w:r>
              <w:rPr>
                <w:rFonts w:hint="eastAsia" w:ascii="仿宋_GB2312" w:eastAsia="仿宋_GB2312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分，建议不全面的得</w:t>
            </w:r>
            <w:r>
              <w:rPr>
                <w:rFonts w:hint="eastAsia" w:ascii="仿宋_GB2312" w:eastAsia="仿宋_GB2312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分，建议过于简单的得</w:t>
            </w:r>
            <w:r>
              <w:rPr>
                <w:rFonts w:hint="eastAsia" w:ascii="仿宋_GB2312" w:eastAsia="仿宋_GB2312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分，只提出加大资金投入建议的不得分；其他情况酌情扣分。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6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合计</w:t>
            </w:r>
          </w:p>
        </w:tc>
        <w:tc>
          <w:tcPr>
            <w:tcW w:w="1157" w:type="dxa"/>
            <w:vAlign w:val="center"/>
          </w:tcPr>
          <w:p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11" w:type="default"/>
      <w:footerReference r:id="rId12" w:type="even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微软雅黑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auto"/>
    <w:pitch w:val="default"/>
    <w:sig w:usb0="E00006FF" w:usb1="420024FF" w:usb2="02000000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t>- 3 -</w:t>
    </w:r>
    <w:r>
      <w:rPr>
        <w:rFonts w:ascii="宋体" w:hAnsi="宋体" w:eastAsia="宋体"/>
        <w:sz w:val="28"/>
        <w:szCs w:val="28"/>
      </w:rPr>
      <w:fldChar w:fldCharType="end"/>
    </w:r>
  </w:p>
  <w:p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  <w:rPr>
        <w:rFonts w:eastAsia="宋体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- 3 -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2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rPr>
        <w:rFonts w:eastAsia="宋体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  <w:pict>
        <v:shape id="文本框13" o:spid="_x0000_s1027" type="#_x0000_t202" style="position:absolute;left:0;margin-top:0pt;height:144pt;width:144pt;mso-position-horizontal:center;mso-position-horizontal-relative:margin;mso-wrap-style:none;rotation:0f;z-index:25166028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4" o:spid="_x0000_s1028" type="#_x0000_t202" style="position:absolute;left:0;margin-top:0pt;height:144pt;width:144pt;mso-position-horizontal:center;mso-position-horizontal-relative:margin;mso-wrap-style:none;rotation:0f;z-index:251661312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jc w:val="right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- 9 -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rFonts w:ascii="宋体" w:hAnsi="宋体" w:eastAsia="宋体"/>
        <w:sz w:val="28"/>
        <w:szCs w:val="28"/>
      </w:rPr>
    </w:pPr>
    <w:r>
      <w:rPr>
        <w:rFonts w:ascii="Arial" w:hAnsi="Arial" w:eastAsia="Arial" w:cs="Arial"/>
        <w:snapToGrid w:val="0"/>
        <w:color w:val="000000"/>
        <w:sz w:val="28"/>
        <w:szCs w:val="18"/>
        <w:lang w:val="en-US" w:eastAsia="en-US" w:bidi="ar-SA"/>
      </w:rPr>
      <w:pict>
        <v:shape id="文本框15" o:spid="_x0000_s1029" type="#_x0000_t202" style="position:absolute;left:0;margin-top:0pt;height:144pt;width:144pt;mso-position-horizontal:center;mso-position-horizontal-relative:margin;mso-wrap-style:none;rotation:0f;z-index:251662336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t>- 10 -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  <w:rPr>
        <w:rFonts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18164520">
    <w:nsid w:val="66691C28"/>
    <w:multiLevelType w:val="singleLevel"/>
    <w:tmpl w:val="66691C28"/>
    <w:lvl w:ilvl="0" w:tentative="1">
      <w:start w:val="4"/>
      <w:numFmt w:val="chineseCounting"/>
      <w:suff w:val="nothing"/>
      <w:lvlText w:val="%1、"/>
      <w:lvlJc w:val="left"/>
    </w:lvl>
  </w:abstractNum>
  <w:abstractNum w:abstractNumId="1718164543">
    <w:nsid w:val="66691C3F"/>
    <w:multiLevelType w:val="singleLevel"/>
    <w:tmpl w:val="66691C3F"/>
    <w:lvl w:ilvl="0" w:tentative="1">
      <w:start w:val="5"/>
      <w:numFmt w:val="chineseCounting"/>
      <w:suff w:val="nothing"/>
      <w:lvlText w:val="%1、"/>
      <w:lvlJc w:val="left"/>
    </w:lvl>
  </w:abstractNum>
  <w:abstractNum w:abstractNumId="1718164498">
    <w:nsid w:val="66691C12"/>
    <w:multiLevelType w:val="singleLevel"/>
    <w:tmpl w:val="66691C12"/>
    <w:lvl w:ilvl="0" w:tentative="1">
      <w:start w:val="3"/>
      <w:numFmt w:val="chineseCounting"/>
      <w:suff w:val="nothing"/>
      <w:lvlText w:val="%1、"/>
      <w:lvlJc w:val="left"/>
    </w:lvl>
  </w:abstractNum>
  <w:abstractNum w:abstractNumId="1718162572">
    <w:nsid w:val="6669148C"/>
    <w:multiLevelType w:val="singleLevel"/>
    <w:tmpl w:val="6669148C"/>
    <w:lvl w:ilvl="0" w:tentative="1">
      <w:start w:val="1"/>
      <w:numFmt w:val="chineseCounting"/>
      <w:suff w:val="nothing"/>
      <w:lvlText w:val="%1、"/>
      <w:lvlJc w:val="left"/>
    </w:lvl>
  </w:abstractNum>
  <w:abstractNum w:abstractNumId="1718164590">
    <w:nsid w:val="66691C6E"/>
    <w:multiLevelType w:val="singleLevel"/>
    <w:tmpl w:val="66691C6E"/>
    <w:lvl w:ilvl="0" w:tentative="1">
      <w:start w:val="6"/>
      <w:numFmt w:val="chineseCounting"/>
      <w:suff w:val="nothing"/>
      <w:lvlText w:val="%1、"/>
      <w:lvlJc w:val="left"/>
    </w:lvl>
  </w:abstractNum>
  <w:abstractNum w:abstractNumId="1718164171">
    <w:nsid w:val="66691ACB"/>
    <w:multiLevelType w:val="singleLevel"/>
    <w:tmpl w:val="66691ACB"/>
    <w:lvl w:ilvl="0" w:tentative="1">
      <w:start w:val="2"/>
      <w:numFmt w:val="chineseCounting"/>
      <w:suff w:val="nothing"/>
      <w:lvlText w:val="（%1）"/>
      <w:lvlJc w:val="left"/>
    </w:lvl>
  </w:abstractNum>
  <w:num w:numId="1">
    <w:abstractNumId w:val="1718162572"/>
  </w:num>
  <w:num w:numId="2">
    <w:abstractNumId w:val="1718164171"/>
  </w:num>
  <w:num w:numId="3">
    <w:abstractNumId w:val="1718164498"/>
  </w:num>
  <w:num w:numId="4">
    <w:abstractNumId w:val="1718164520"/>
  </w:num>
  <w:num w:numId="5">
    <w:abstractNumId w:val="1718164543"/>
  </w:num>
  <w:num w:numId="6">
    <w:abstractNumId w:val="17181645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paragraph" w:styleId="2">
    <w:name w:val="toa heading"/>
    <w:basedOn w:val="1"/>
    <w:next w:val="1"/>
    <w:uiPriority w:val="0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Table Text"/>
    <w:basedOn w:val="1"/>
    <w:semiHidden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脚 Char"/>
    <w:basedOn w:val="8"/>
    <w:link w:val="5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 textRotate="1"/>
    <customShpInfo spid="_x0000_s1026" textRotate="1"/>
    <customShpInfo spid="_x0000_s1027" textRotate="1"/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884</Words>
  <Characters>5043</Characters>
  <Lines>42</Lines>
  <Paragraphs>11</Paragraphs>
  <ScaleCrop>false</ScaleCrop>
  <LinksUpToDate>false</LinksUpToDate>
  <CharactersWithSpaces>0</CharactersWithSpaces>
  <Application>Kingsoft Office_9.1.0.4560_{F1E327BC-269C-435d-A152-05C5408002CA}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www.dayanzai.me</cp:lastModifiedBy>
  <cp:lastPrinted>2024-06-12T07:08:00Z</cp:lastPrinted>
  <dcterms:modified xsi:type="dcterms:W3CDTF">2024-06-12T08:29:32Z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2024-03-21T15:29:00Z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1033-9.1.0.4560</vt:lpwstr>
  </property>
  <property fmtid="{D5CDD505-2E9C-101B-9397-08002B2CF9AE}" pid="6" name="ICV">
    <vt:lpwstr>7863570836064237B5B0EE3419BAB8E8_13</vt:lpwstr>
  </property>
</Properties>
</file>