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ind w:firstLine="880"/>
        <w:jc w:val="center"/>
        <w:textAlignment w:val="baseline"/>
        <w:rPr>
          <w:rFonts w:hint="eastAsia" w:ascii="方正小标宋简体" w:hAnsi="Arial" w:eastAsia="方正小标宋简体" w:cs="Arial"/>
          <w:snapToGrid w:val="0"/>
          <w:color w:val="000000"/>
          <w:kern w:val="0"/>
          <w:sz w:val="44"/>
          <w:szCs w:val="44"/>
          <w:lang w:eastAsia="zh-CN"/>
        </w:rPr>
      </w:pPr>
    </w:p>
    <w:p>
      <w:pPr>
        <w:widowControl/>
        <w:kinsoku w:val="0"/>
        <w:autoSpaceDE w:val="0"/>
        <w:autoSpaceDN w:val="0"/>
        <w:adjustRightInd w:val="0"/>
        <w:snapToGrid w:val="0"/>
        <w:jc w:val="center"/>
        <w:textAlignment w:val="baseline"/>
        <w:rPr>
          <w:rFonts w:hint="eastAsia" w:ascii="方正小标宋简体" w:hAnsi="Arial" w:eastAsia="方正小标宋简体" w:cs="Arial"/>
          <w:snapToGrid w:val="0"/>
          <w:color w:val="000000"/>
          <w:kern w:val="0"/>
          <w:sz w:val="44"/>
          <w:szCs w:val="44"/>
          <w:lang w:val="en-US" w:eastAsia="zh-CN"/>
        </w:rPr>
      </w:pPr>
      <w:r>
        <w:rPr>
          <w:rFonts w:hint="eastAsia" w:ascii="方正小标宋简体" w:hAnsi="Arial" w:eastAsia="方正小标宋简体" w:cs="Arial"/>
          <w:snapToGrid w:val="0"/>
          <w:color w:val="000000"/>
          <w:kern w:val="0"/>
          <w:sz w:val="44"/>
          <w:szCs w:val="44"/>
          <w:lang w:eastAsia="zh-CN"/>
        </w:rPr>
        <w:t>2023</w:t>
      </w:r>
      <w:r>
        <w:rPr>
          <w:rFonts w:hint="eastAsia" w:ascii="方正小标宋简体" w:hAnsi="宋体" w:eastAsia="方正小标宋简体" w:cs="宋体"/>
          <w:snapToGrid w:val="0"/>
          <w:color w:val="000000"/>
          <w:kern w:val="0"/>
          <w:sz w:val="44"/>
          <w:szCs w:val="44"/>
          <w:lang w:eastAsia="zh-CN"/>
        </w:rPr>
        <w:t>年度</w:t>
      </w:r>
      <w:r>
        <w:rPr>
          <w:rFonts w:hint="eastAsia" w:ascii="方正小标宋简体" w:hAnsi="Arial" w:eastAsia="方正小标宋简体" w:cs="Arial"/>
          <w:snapToGrid w:val="0"/>
          <w:color w:val="000000"/>
          <w:kern w:val="0"/>
          <w:sz w:val="44"/>
          <w:szCs w:val="44"/>
          <w:lang w:val="en-US" w:eastAsia="zh-CN"/>
        </w:rPr>
        <w:t>岳阳县工业和信息化局</w:t>
      </w:r>
    </w:p>
    <w:p>
      <w:pPr>
        <w:widowControl/>
        <w:kinsoku w:val="0"/>
        <w:autoSpaceDE w:val="0"/>
        <w:autoSpaceDN w:val="0"/>
        <w:adjustRightInd w:val="0"/>
        <w:snapToGrid w:val="0"/>
        <w:jc w:val="center"/>
        <w:textAlignment w:val="baseline"/>
        <w:rPr>
          <w:rFonts w:ascii="方正小标宋简体" w:hAnsi="Arial" w:eastAsia="方正小标宋简体" w:cs="Arial"/>
          <w:snapToGrid w:val="0"/>
          <w:color w:val="000000"/>
          <w:kern w:val="0"/>
          <w:sz w:val="44"/>
          <w:szCs w:val="44"/>
          <w:lang w:eastAsia="zh-CN"/>
        </w:rPr>
      </w:pPr>
      <w:r>
        <w:rPr>
          <w:rFonts w:hint="eastAsia" w:ascii="方正小标宋简体" w:hAnsi="宋体" w:eastAsia="方正小标宋简体" w:cs="宋体"/>
          <w:snapToGrid w:val="0"/>
          <w:color w:val="000000"/>
          <w:kern w:val="0"/>
          <w:sz w:val="44"/>
          <w:szCs w:val="44"/>
          <w:lang w:eastAsia="zh-CN"/>
        </w:rPr>
        <w:t>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jc w:val="center"/>
        <w:textAlignment w:val="baseline"/>
        <w:rPr>
          <w:rFonts w:hint="eastAsia" w:ascii="楷体" w:hAnsi="楷体" w:eastAsia="楷体" w:cs="楷体"/>
          <w:b/>
          <w:bCs/>
          <w:snapToGrid w:val="0"/>
          <w:color w:val="000000"/>
          <w:sz w:val="32"/>
          <w:szCs w:val="32"/>
          <w:lang w:val="en-US" w:eastAsia="zh-CN" w:bidi="ar-SA"/>
        </w:rPr>
      </w:pPr>
      <w:r>
        <w:rPr>
          <w:rFonts w:hint="eastAsia" w:ascii="楷体" w:hAnsi="楷体" w:eastAsia="楷体" w:cs="楷体"/>
          <w:b/>
          <w:bCs/>
          <w:snapToGrid w:val="0"/>
          <w:color w:val="000000"/>
          <w:spacing w:val="-28"/>
          <w:sz w:val="32"/>
          <w:szCs w:val="32"/>
          <w:lang w:val="en-US" w:eastAsia="zh-CN" w:bidi="ar-SA"/>
        </w:rPr>
        <w:t>部门(单位)名称：</w:t>
      </w:r>
      <w:r>
        <w:rPr>
          <w:rFonts w:hint="eastAsia" w:ascii="楷体" w:hAnsi="楷体" w:eastAsia="楷体" w:cs="楷体"/>
          <w:b/>
          <w:bCs/>
          <w:snapToGrid w:val="0"/>
          <w:color w:val="000000"/>
          <w:spacing w:val="-28"/>
          <w:sz w:val="32"/>
          <w:szCs w:val="32"/>
          <w:u w:val="single"/>
          <w:lang w:val="en-US" w:eastAsia="zh-CN" w:bidi="ar-SA"/>
        </w:rPr>
        <w:t>岳阳县工业和信息化局</w:t>
      </w:r>
    </w:p>
    <w:p>
      <w:pPr>
        <w:widowControl/>
        <w:kinsoku w:val="0"/>
        <w:autoSpaceDE w:val="0"/>
        <w:autoSpaceDN w:val="0"/>
        <w:adjustRightInd w:val="0"/>
        <w:snapToGrid w:val="0"/>
        <w:spacing w:before="274" w:line="225" w:lineRule="auto"/>
        <w:jc w:val="center"/>
        <w:textAlignment w:val="baseline"/>
        <w:rPr>
          <w:rFonts w:hint="eastAsia" w:ascii="楷体" w:hAnsi="楷体" w:eastAsia="楷体" w:cs="楷体"/>
          <w:b/>
          <w:bCs/>
          <w:snapToGrid w:val="0"/>
          <w:color w:val="000000"/>
          <w:kern w:val="0"/>
          <w:sz w:val="32"/>
          <w:szCs w:val="32"/>
          <w:lang w:eastAsia="zh-CN"/>
        </w:rPr>
      </w:pPr>
      <w:r>
        <w:rPr>
          <w:rFonts w:hint="eastAsia" w:ascii="楷体" w:hAnsi="楷体" w:eastAsia="楷体" w:cs="楷体"/>
          <w:b/>
          <w:bCs/>
          <w:snapToGrid w:val="0"/>
          <w:color w:val="000000"/>
          <w:spacing w:val="-13"/>
          <w:kern w:val="0"/>
          <w:sz w:val="32"/>
          <w:szCs w:val="32"/>
          <w:lang w:val="en-US" w:eastAsia="zh-CN"/>
        </w:rPr>
        <w:t>2024</w:t>
      </w:r>
      <w:r>
        <w:rPr>
          <w:rFonts w:hint="eastAsia" w:ascii="楷体" w:hAnsi="楷体" w:eastAsia="楷体" w:cs="楷体"/>
          <w:b/>
          <w:bCs/>
          <w:snapToGrid w:val="0"/>
          <w:color w:val="000000"/>
          <w:spacing w:val="-13"/>
          <w:kern w:val="0"/>
          <w:sz w:val="32"/>
          <w:szCs w:val="32"/>
          <w:lang w:eastAsia="zh-CN"/>
        </w:rPr>
        <w:t>年</w:t>
      </w:r>
      <w:r>
        <w:rPr>
          <w:rFonts w:hint="eastAsia" w:ascii="楷体" w:hAnsi="楷体" w:eastAsia="楷体" w:cs="楷体"/>
          <w:b/>
          <w:bCs/>
          <w:snapToGrid w:val="0"/>
          <w:color w:val="000000"/>
          <w:spacing w:val="-13"/>
          <w:kern w:val="0"/>
          <w:sz w:val="32"/>
          <w:szCs w:val="32"/>
          <w:lang w:val="en-US" w:eastAsia="zh-CN"/>
        </w:rPr>
        <w:t>6</w:t>
      </w:r>
      <w:r>
        <w:rPr>
          <w:rFonts w:hint="eastAsia" w:ascii="楷体" w:hAnsi="楷体" w:eastAsia="楷体" w:cs="楷体"/>
          <w:b/>
          <w:bCs/>
          <w:snapToGrid w:val="0"/>
          <w:color w:val="000000"/>
          <w:spacing w:val="-13"/>
          <w:kern w:val="0"/>
          <w:sz w:val="32"/>
          <w:szCs w:val="32"/>
          <w:lang w:eastAsia="zh-CN"/>
        </w:rPr>
        <w:t>月</w:t>
      </w:r>
      <w:r>
        <w:rPr>
          <w:rFonts w:hint="eastAsia" w:ascii="楷体" w:hAnsi="楷体" w:eastAsia="楷体" w:cs="楷体"/>
          <w:b/>
          <w:bCs/>
          <w:snapToGrid w:val="0"/>
          <w:color w:val="000000"/>
          <w:spacing w:val="-13"/>
          <w:kern w:val="0"/>
          <w:sz w:val="32"/>
          <w:szCs w:val="32"/>
          <w:lang w:val="en-US" w:eastAsia="zh-CN"/>
        </w:rPr>
        <w:t>18</w:t>
      </w:r>
      <w:r>
        <w:rPr>
          <w:rFonts w:hint="eastAsia" w:ascii="楷体" w:hAnsi="楷体" w:eastAsia="楷体" w:cs="楷体"/>
          <w:b/>
          <w:bCs/>
          <w:snapToGrid w:val="0"/>
          <w:color w:val="000000"/>
          <w:spacing w:val="-13"/>
          <w:kern w:val="0"/>
          <w:sz w:val="32"/>
          <w:szCs w:val="32"/>
          <w:lang w:eastAsia="zh-CN"/>
        </w:rPr>
        <w:t>日</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tabs>
          <w:tab w:val="center" w:pos="4153"/>
          <w:tab w:val="right" w:pos="8306"/>
        </w:tabs>
        <w:kinsoku w:val="0"/>
        <w:autoSpaceDE w:val="0"/>
        <w:autoSpaceDN w:val="0"/>
        <w:adjustRightInd w:val="0"/>
        <w:snapToGrid w:val="0"/>
        <w:spacing w:line="240" w:lineRule="auto"/>
        <w:ind w:firstLine="0"/>
        <w:textAlignment w:val="baseline"/>
        <w:rPr>
          <w:rFonts w:ascii="宋体" w:hAnsi="宋体" w:eastAsia="宋体" w:cs="Arial"/>
          <w:snapToGrid w:val="0"/>
          <w:color w:val="000000"/>
          <w:sz w:val="18"/>
          <w:szCs w:val="18"/>
          <w:lang w:val="en-US" w:eastAsia="zh-CN" w:bidi="ar-SA"/>
        </w:rPr>
      </w:pPr>
    </w:p>
    <w:p>
      <w:pPr>
        <w:tabs>
          <w:tab w:val="center" w:pos="4153"/>
          <w:tab w:val="right" w:pos="8306"/>
        </w:tabs>
        <w:kinsoku w:val="0"/>
        <w:autoSpaceDE w:val="0"/>
        <w:autoSpaceDN w:val="0"/>
        <w:adjustRightInd w:val="0"/>
        <w:snapToGrid w:val="0"/>
        <w:spacing w:line="240" w:lineRule="auto"/>
        <w:ind w:firstLine="0"/>
        <w:textAlignment w:val="baseline"/>
        <w:rPr>
          <w:rFonts w:ascii="宋体" w:hAnsi="宋体" w:eastAsia="宋体" w:cs="Arial"/>
          <w:snapToGrid w:val="0"/>
          <w:color w:val="000000"/>
          <w:sz w:val="18"/>
          <w:szCs w:val="18"/>
          <w:lang w:val="en-US" w:eastAsia="zh-CN" w:bidi="ar-SA"/>
        </w:rPr>
      </w:pPr>
    </w:p>
    <w:p>
      <w:pPr>
        <w:tabs>
          <w:tab w:val="center" w:pos="4153"/>
          <w:tab w:val="right" w:pos="8306"/>
        </w:tabs>
        <w:kinsoku w:val="0"/>
        <w:autoSpaceDE w:val="0"/>
        <w:autoSpaceDN w:val="0"/>
        <w:adjustRightInd w:val="0"/>
        <w:snapToGrid w:val="0"/>
        <w:spacing w:line="240" w:lineRule="auto"/>
        <w:ind w:firstLine="0"/>
        <w:textAlignment w:val="baseline"/>
        <w:rPr>
          <w:rFonts w:ascii="宋体" w:hAnsi="宋体" w:eastAsia="宋体" w:cs="Arial"/>
          <w:snapToGrid w:val="0"/>
          <w:color w:val="000000"/>
          <w:sz w:val="18"/>
          <w:szCs w:val="18"/>
          <w:lang w:val="en-US" w:eastAsia="zh-CN" w:bidi="ar-SA"/>
        </w:rPr>
      </w:pPr>
    </w:p>
    <w:p>
      <w:pPr>
        <w:tabs>
          <w:tab w:val="center" w:pos="4153"/>
          <w:tab w:val="right" w:pos="8306"/>
        </w:tabs>
        <w:kinsoku w:val="0"/>
        <w:autoSpaceDE w:val="0"/>
        <w:autoSpaceDN w:val="0"/>
        <w:adjustRightInd w:val="0"/>
        <w:snapToGrid w:val="0"/>
        <w:spacing w:line="240" w:lineRule="auto"/>
        <w:ind w:firstLine="0"/>
        <w:textAlignment w:val="baseline"/>
        <w:rPr>
          <w:rFonts w:ascii="宋体" w:hAnsi="宋体" w:eastAsia="宋体" w:cs="Arial"/>
          <w:snapToGrid w:val="0"/>
          <w:color w:val="000000"/>
          <w:sz w:val="18"/>
          <w:szCs w:val="18"/>
          <w:lang w:val="en-US" w:eastAsia="zh-CN" w:bidi="ar-SA"/>
        </w:rPr>
      </w:pPr>
    </w:p>
    <w:p>
      <w:pPr>
        <w:tabs>
          <w:tab w:val="center" w:pos="4153"/>
          <w:tab w:val="right" w:pos="8306"/>
        </w:tabs>
        <w:kinsoku w:val="0"/>
        <w:autoSpaceDE w:val="0"/>
        <w:autoSpaceDN w:val="0"/>
        <w:adjustRightInd w:val="0"/>
        <w:snapToGrid w:val="0"/>
        <w:spacing w:line="240" w:lineRule="auto"/>
        <w:ind w:firstLine="0"/>
        <w:textAlignment w:val="baseline"/>
        <w:rPr>
          <w:rFonts w:ascii="宋体" w:hAnsi="宋体" w:eastAsia="宋体" w:cs="Arial"/>
          <w:snapToGrid w:val="0"/>
          <w:color w:val="000000"/>
          <w:sz w:val="18"/>
          <w:szCs w:val="18"/>
          <w:lang w:val="en-US" w:eastAsia="zh-CN" w:bidi="ar-SA"/>
        </w:rPr>
      </w:pPr>
    </w:p>
    <w:p>
      <w:pPr>
        <w:tabs>
          <w:tab w:val="center" w:pos="4153"/>
          <w:tab w:val="right" w:pos="8306"/>
        </w:tabs>
        <w:kinsoku w:val="0"/>
        <w:autoSpaceDE w:val="0"/>
        <w:autoSpaceDN w:val="0"/>
        <w:adjustRightInd w:val="0"/>
        <w:snapToGrid w:val="0"/>
        <w:spacing w:line="240" w:lineRule="auto"/>
        <w:ind w:firstLine="0"/>
        <w:textAlignment w:val="baseline"/>
        <w:rPr>
          <w:rFonts w:ascii="宋体" w:hAnsi="宋体" w:eastAsia="宋体" w:cs="Arial"/>
          <w:snapToGrid w:val="0"/>
          <w:color w:val="000000"/>
          <w:sz w:val="18"/>
          <w:szCs w:val="18"/>
          <w:lang w:val="en-US" w:eastAsia="zh-CN" w:bidi="ar-SA"/>
        </w:rPr>
      </w:pPr>
    </w:p>
    <w:p>
      <w:pPr>
        <w:tabs>
          <w:tab w:val="center" w:pos="4153"/>
          <w:tab w:val="right" w:pos="8306"/>
        </w:tabs>
        <w:kinsoku w:val="0"/>
        <w:autoSpaceDE w:val="0"/>
        <w:autoSpaceDN w:val="0"/>
        <w:adjustRightInd w:val="0"/>
        <w:snapToGrid w:val="0"/>
        <w:spacing w:line="240" w:lineRule="auto"/>
        <w:ind w:firstLine="0"/>
        <w:textAlignment w:val="baseline"/>
        <w:rPr>
          <w:rFonts w:ascii="宋体" w:hAnsi="宋体" w:eastAsia="宋体" w:cs="Arial"/>
          <w:snapToGrid w:val="0"/>
          <w:color w:val="000000"/>
          <w:sz w:val="18"/>
          <w:szCs w:val="18"/>
          <w:lang w:val="en-US" w:eastAsia="zh-CN" w:bidi="ar-SA"/>
        </w:rPr>
      </w:pP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0"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部门(单位)基本情况</w:t>
      </w:r>
    </w:p>
    <w:p>
      <w:pPr>
        <w:keepNext w:val="0"/>
        <w:keepLines w:val="0"/>
        <w:pageBreakBefore w:val="0"/>
        <w:widowControl w:val="0"/>
        <w:wordWrap/>
        <w:overflowPunct/>
        <w:topLinePunct w:val="0"/>
        <w:bidi w:val="0"/>
        <w:spacing w:line="56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本单位是由原经委、乡企局、二轻局、民营办4个单位合并而成的县政府工信主管部门，曾用名有企业发展局、工业局等，于2011年7月机构改革正式设立，主要工作职能是工业经济运行调节、服务全县工业企业、推进信息化发展、电力行政监管改革等。</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一般公共预算支出情况</w:t>
      </w:r>
    </w:p>
    <w:p>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基本支出情况</w:t>
      </w:r>
    </w:p>
    <w:p>
      <w:pPr>
        <w:keepNext w:val="0"/>
        <w:keepLines w:val="0"/>
        <w:pageBreakBefore w:val="0"/>
        <w:widowControl w:val="0"/>
        <w:wordWrap/>
        <w:overflowPunct/>
        <w:topLinePunct w:val="0"/>
        <w:bidi w:val="0"/>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2023年，本单位基本支出共计620.24万元，其中人员经费469.5万元，公用经费150.74万元，人员支出主要为职工基本工资、津补贴、公务用车补贴、绩效工资、社会保障缴费、公积金缴费、绩效奖金、年终一次性奖金等；公用支出为办公费、印刷费、水电费、邮电费、物业管理费、差旅费、维修费、培训费、招待费、会议费以及其他一般公用支出；对职工和家庭个人补助；办公设备购置维修等其他资本性支出。</w:t>
      </w:r>
    </w:p>
    <w:p>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Arial"/>
          <w:snapToGrid w:val="0"/>
          <w:color w:val="000000"/>
          <w:sz w:val="32"/>
          <w:szCs w:val="32"/>
          <w:lang w:val="en-US" w:eastAsia="zh-CN" w:bidi="ar-SA"/>
        </w:rPr>
      </w:pPr>
      <w:r>
        <w:rPr>
          <w:rFonts w:hint="eastAsia" w:ascii="Times New Roman" w:hAnsi="Times New Roman" w:eastAsia="仿宋_GB2312" w:cs="Arial"/>
          <w:snapToGrid w:val="0"/>
          <w:color w:val="000000"/>
          <w:sz w:val="32"/>
          <w:szCs w:val="32"/>
          <w:lang w:val="en-US" w:eastAsia="zh-CN" w:bidi="ar-SA"/>
        </w:rPr>
        <w:t>项目支出情况</w:t>
      </w:r>
    </w:p>
    <w:p>
      <w:pPr>
        <w:keepNext w:val="0"/>
        <w:keepLines w:val="0"/>
        <w:pageBreakBefore w:val="0"/>
        <w:widowControl w:val="0"/>
        <w:wordWrap/>
        <w:overflowPunct/>
        <w:topLinePunct w:val="0"/>
        <w:bidi w:val="0"/>
        <w:spacing w:line="560" w:lineRule="exact"/>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2023年，本单位项目支出共计1046.19万元，主要为岳阳县丰利纸业公司退出生产奖补资金及其他小部分对其他企业的奖补资金</w:t>
      </w:r>
      <w:bookmarkStart w:id="0" w:name="_GoBack"/>
      <w:bookmarkEnd w:id="0"/>
      <w:r>
        <w:rPr>
          <w:rFonts w:hint="eastAsia" w:ascii="仿宋_GB2312" w:hAnsi="仿宋_GB2312" w:eastAsia="仿宋_GB2312" w:cs="仿宋_GB2312"/>
          <w:bCs/>
          <w:sz w:val="32"/>
          <w:szCs w:val="32"/>
          <w:lang w:val="en-US" w:eastAsia="zh-CN"/>
        </w:rPr>
        <w:t>。因项目金额及支出时间由财政确定，本单位只负责资金拨付的监管，因此该笔项目资金未纳入本单位年初预算，不做专项资金绩效评价。</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政府性基金预算支出情况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 xml:space="preserve">    </w:t>
      </w:r>
      <w:r>
        <w:rPr>
          <w:rFonts w:hint="eastAsia" w:ascii="仿宋" w:hAnsi="仿宋" w:eastAsia="仿宋" w:cs="仿宋"/>
          <w:snapToGrid w:val="0"/>
          <w:color w:val="000000"/>
          <w:sz w:val="32"/>
          <w:szCs w:val="32"/>
          <w:lang w:val="en-US" w:eastAsia="zh-CN" w:bidi="ar-SA"/>
        </w:rPr>
        <w:t>无。</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国有资本经营预算支出情况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无。</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社会保险基金预算支出情况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无。</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部门整体支出绩效情况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Cs/>
          <w:sz w:val="32"/>
          <w:szCs w:val="32"/>
        </w:rPr>
      </w:pPr>
      <w:r>
        <w:rPr>
          <w:rFonts w:hint="eastAsia" w:ascii="仿宋_GB2312" w:hAnsi="仿宋_GB2312" w:eastAsia="仿宋_GB2312" w:cs="仿宋_GB2312"/>
          <w:bCs/>
          <w:sz w:val="32"/>
          <w:szCs w:val="32"/>
          <w:lang w:val="en-US" w:eastAsia="zh-CN"/>
        </w:rPr>
        <w:t>2023年共计收入1666.43万元，支出1666.43万元，达到收支平衡。</w:t>
      </w:r>
      <w:r>
        <w:rPr>
          <w:rFonts w:hint="eastAsia" w:ascii="仿宋_GB2312" w:hAnsi="仿宋_GB2312" w:eastAsia="仿宋_GB2312" w:cs="仿宋_GB2312"/>
          <w:color w:val="000000"/>
          <w:sz w:val="32"/>
          <w:szCs w:val="32"/>
        </w:rPr>
        <w:t>三公经费控制率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政府采购执行率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财政供养人员控制率</w:t>
      </w:r>
      <w:r>
        <w:rPr>
          <w:rFonts w:hint="eastAsia" w:ascii="仿宋_GB2312" w:hAnsi="仿宋_GB2312" w:eastAsia="仿宋_GB2312" w:cs="仿宋_GB2312"/>
          <w:color w:val="000000"/>
          <w:sz w:val="32"/>
          <w:szCs w:val="32"/>
          <w:lang w:eastAsia="zh-CN"/>
        </w:rPr>
        <w:t>均达到</w:t>
      </w:r>
      <w:r>
        <w:rPr>
          <w:rFonts w:hint="eastAsia" w:ascii="仿宋_GB2312" w:hAnsi="仿宋_GB2312" w:eastAsia="仿宋_GB2312" w:cs="仿宋_GB2312"/>
          <w:color w:val="000000"/>
          <w:sz w:val="32"/>
          <w:szCs w:val="32"/>
          <w:lang w:val="en-US" w:eastAsia="zh-CN"/>
        </w:rPr>
        <w:t>100%。严格贯彻执行党政机关厉行节约、反对铺张浪费、精打细算的原则，采取了“三公”经费限额管理，减少了不必要的开支。认真贯彻执行党政机关公务接待管理办法，强化公务接待审批制度，严格执行公务卡结算制度。</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存在的问题及原因分析</w:t>
      </w:r>
    </w:p>
    <w:p>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预算数据与决算数据存在一定差异，因为部分资金没有纳入年初预算，本单位只存在部分监管职能，不负责资金的具体使用，建议这部分资金由财政直接支付。</w:t>
      </w:r>
    </w:p>
    <w:p>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单位的部分必需资金如工会经费等财政未纳入预算，导致预算执行率有一定差异。</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下一步改进措施</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 xml:space="preserve">    加强与财政沟通，建议增加单位必要开支的预算资金，合理使用，提高预算执行水平，增加资金使用效率。</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部门整体支出绩效自评结果拟应用和公开情况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 xml:space="preserve">    按规定时间在政府门户网上进行公开</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firstLine="640"/>
        <w:jc w:val="both"/>
        <w:textAlignment w:val="baseline"/>
        <w:rPr>
          <w:rFonts w:hint="eastAsia"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其他需要说明的情况</w:t>
      </w:r>
    </w:p>
    <w:p>
      <w:pPr>
        <w:keepNext w:val="0"/>
        <w:keepLines w:val="0"/>
        <w:pageBreakBefore w:val="0"/>
        <w:widowControl w:val="0"/>
        <w:wordWrap/>
        <w:overflowPunct/>
        <w:topLinePunct w:val="0"/>
        <w:bidi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1B4FA"/>
    <w:multiLevelType w:val="singleLevel"/>
    <w:tmpl w:val="A0E1B4FA"/>
    <w:lvl w:ilvl="0" w:tentative="0">
      <w:start w:val="1"/>
      <w:numFmt w:val="chineseCounting"/>
      <w:suff w:val="nothing"/>
      <w:lvlText w:val="（%1）"/>
      <w:lvlJc w:val="left"/>
      <w:rPr>
        <w:rFonts w:hint="eastAsia"/>
      </w:rPr>
    </w:lvl>
  </w:abstractNum>
  <w:abstractNum w:abstractNumId="1">
    <w:nsid w:val="30C7CD97"/>
    <w:multiLevelType w:val="singleLevel"/>
    <w:tmpl w:val="30C7CD97"/>
    <w:lvl w:ilvl="0" w:tentative="0">
      <w:start w:val="1"/>
      <w:numFmt w:val="decimal"/>
      <w:suff w:val="nothing"/>
      <w:lvlText w:val="%1、"/>
      <w:lvlJc w:val="left"/>
    </w:lvl>
  </w:abstractNum>
  <w:abstractNum w:abstractNumId="2">
    <w:nsid w:val="4E8472B1"/>
    <w:multiLevelType w:val="singleLevel"/>
    <w:tmpl w:val="4E8472B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NTQ1ZTAwNDFkMTAxY2NlMWU2YmM5YzYxYjM2MTUifQ=="/>
  </w:docVars>
  <w:rsids>
    <w:rsidRoot w:val="4B6816BA"/>
    <w:rsid w:val="20E86A3A"/>
    <w:rsid w:val="28037334"/>
    <w:rsid w:val="3CD60D29"/>
    <w:rsid w:val="71577176"/>
    <w:rsid w:val="7999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881</Words>
  <Characters>935</Characters>
  <Lines>0</Lines>
  <Paragraphs>0</Paragraphs>
  <TotalTime>62</TotalTime>
  <ScaleCrop>false</ScaleCrop>
  <LinksUpToDate>false</LinksUpToDate>
  <CharactersWithSpaces>947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2024-06-18T07:29:00Z</dcterms:created>
  <dc:creator>Administrator</dc:creator>
  <cp:lastModifiedBy>Administrator</cp:lastModifiedBy>
  <dcterms:modified xsi:type="dcterms:W3CDTF">2024-07-18T07:31:00Z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4FCFAB79EDEF4A80BE58B660E3FB1577_13</vt:lpwstr>
  </property>
</Properties>
</file>