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5531">
      <w:pPr>
        <w:ind w:left="272" w:firstLine="544"/>
        <w:jc w:val="center"/>
        <w:rPr>
          <w:rFonts w:ascii="宋体" w:hAnsi="宋体" w:eastAsia="宋体" w:cs="宋体"/>
          <w:bCs/>
          <w:spacing w:val="-4"/>
          <w:sz w:val="28"/>
          <w:szCs w:val="28"/>
          <w:lang w:eastAsia="zh-CN"/>
        </w:rPr>
      </w:pPr>
    </w:p>
    <w:p w14:paraId="3A304E57">
      <w:pPr>
        <w:ind w:left="272" w:firstLine="544"/>
        <w:jc w:val="center"/>
        <w:rPr>
          <w:rFonts w:ascii="宋体" w:hAnsi="宋体" w:eastAsia="宋体" w:cs="宋体"/>
          <w:bCs/>
          <w:spacing w:val="-4"/>
          <w:sz w:val="28"/>
          <w:szCs w:val="28"/>
          <w:lang w:eastAsia="zh-CN"/>
        </w:rPr>
      </w:pPr>
    </w:p>
    <w:p w14:paraId="50C68200">
      <w:pPr>
        <w:ind w:left="440" w:hanging="440" w:hangingChars="10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岳阳县市场监督管理局</w:t>
      </w:r>
      <w:r>
        <w:rPr>
          <w:rFonts w:hint="eastAsia" w:ascii="方正小标宋简体" w:hAnsi="宋体" w:eastAsia="方正小标宋简体" w:cs="宋体"/>
          <w:sz w:val="44"/>
          <w:szCs w:val="44"/>
          <w:lang w:eastAsia="zh-CN"/>
        </w:rPr>
        <w:t>整体支出绩效自评报告</w:t>
      </w:r>
    </w:p>
    <w:p w14:paraId="445465CC">
      <w:pPr>
        <w:pStyle w:val="2"/>
        <w:spacing w:before="78" w:line="221" w:lineRule="auto"/>
        <w:ind w:left="264" w:firstLine="528"/>
        <w:jc w:val="center"/>
        <w:rPr>
          <w:rFonts w:ascii="楷体_GB2312" w:eastAsia="楷体_GB2312"/>
          <w:b/>
          <w:bCs/>
          <w:spacing w:val="-28"/>
          <w:sz w:val="32"/>
          <w:szCs w:val="32"/>
          <w:lang w:eastAsia="zh-CN"/>
        </w:rPr>
      </w:pPr>
    </w:p>
    <w:p w14:paraId="6A93880D">
      <w:pPr>
        <w:pStyle w:val="2"/>
        <w:spacing w:before="78" w:line="221" w:lineRule="auto"/>
        <w:ind w:left="264" w:firstLine="528"/>
        <w:jc w:val="center"/>
        <w:rPr>
          <w:rFonts w:ascii="楷体_GB2312" w:eastAsia="楷体_GB2312"/>
          <w:b/>
          <w:bCs/>
          <w:spacing w:val="-28"/>
          <w:sz w:val="32"/>
          <w:szCs w:val="32"/>
          <w:lang w:eastAsia="zh-CN"/>
        </w:rPr>
      </w:pPr>
    </w:p>
    <w:p w14:paraId="124BF7BB">
      <w:pPr>
        <w:pStyle w:val="2"/>
        <w:spacing w:before="78" w:line="221" w:lineRule="auto"/>
        <w:ind w:left="264" w:firstLine="528"/>
        <w:jc w:val="center"/>
        <w:rPr>
          <w:rFonts w:ascii="楷体_GB2312" w:eastAsia="楷体_GB2312"/>
          <w:b/>
          <w:bCs/>
          <w:spacing w:val="-28"/>
          <w:sz w:val="32"/>
          <w:szCs w:val="32"/>
          <w:lang w:eastAsia="zh-CN"/>
        </w:rPr>
      </w:pPr>
    </w:p>
    <w:p w14:paraId="0B709D1B">
      <w:pPr>
        <w:pStyle w:val="2"/>
        <w:spacing w:before="78" w:line="221" w:lineRule="auto"/>
        <w:ind w:left="264" w:firstLine="528"/>
        <w:jc w:val="center"/>
        <w:rPr>
          <w:rFonts w:ascii="楷体_GB2312" w:eastAsia="楷体_GB2312"/>
          <w:b/>
          <w:bCs/>
          <w:spacing w:val="-28"/>
          <w:sz w:val="32"/>
          <w:szCs w:val="32"/>
          <w:lang w:eastAsia="zh-CN"/>
        </w:rPr>
      </w:pPr>
    </w:p>
    <w:p w14:paraId="0B769AEC">
      <w:pPr>
        <w:pStyle w:val="2"/>
        <w:spacing w:before="78" w:line="221" w:lineRule="auto"/>
        <w:ind w:left="264" w:firstLine="528"/>
        <w:jc w:val="center"/>
        <w:rPr>
          <w:rFonts w:ascii="楷体_GB2312" w:eastAsia="楷体_GB2312"/>
          <w:b/>
          <w:bCs/>
          <w:spacing w:val="-28"/>
          <w:sz w:val="32"/>
          <w:szCs w:val="32"/>
          <w:lang w:eastAsia="zh-CN"/>
        </w:rPr>
      </w:pPr>
    </w:p>
    <w:p w14:paraId="18CB0289">
      <w:pPr>
        <w:pStyle w:val="2"/>
        <w:spacing w:before="78" w:line="221" w:lineRule="auto"/>
        <w:ind w:left="264" w:firstLine="528"/>
        <w:jc w:val="center"/>
        <w:rPr>
          <w:rFonts w:ascii="楷体_GB2312" w:eastAsia="楷体_GB2312"/>
          <w:b/>
          <w:bCs/>
          <w:spacing w:val="-28"/>
          <w:sz w:val="32"/>
          <w:szCs w:val="32"/>
          <w:lang w:eastAsia="zh-CN"/>
        </w:rPr>
      </w:pPr>
    </w:p>
    <w:p w14:paraId="1FCB7B67">
      <w:pPr>
        <w:pStyle w:val="2"/>
        <w:spacing w:before="78" w:line="221" w:lineRule="auto"/>
        <w:ind w:left="264" w:firstLine="528"/>
        <w:jc w:val="center"/>
        <w:rPr>
          <w:rFonts w:ascii="楷体_GB2312" w:eastAsia="楷体_GB2312"/>
          <w:b/>
          <w:bCs/>
          <w:spacing w:val="-28"/>
          <w:sz w:val="32"/>
          <w:szCs w:val="32"/>
          <w:lang w:eastAsia="zh-CN"/>
        </w:rPr>
      </w:pPr>
    </w:p>
    <w:p w14:paraId="4D049C6D">
      <w:pPr>
        <w:pStyle w:val="2"/>
        <w:spacing w:before="78" w:line="221" w:lineRule="auto"/>
        <w:ind w:left="264" w:firstLine="528"/>
        <w:jc w:val="center"/>
        <w:rPr>
          <w:rFonts w:ascii="楷体_GB2312" w:eastAsia="楷体_GB2312"/>
          <w:b/>
          <w:bCs/>
          <w:spacing w:val="-28"/>
          <w:sz w:val="32"/>
          <w:szCs w:val="32"/>
          <w:lang w:eastAsia="zh-CN"/>
        </w:rPr>
      </w:pPr>
    </w:p>
    <w:p w14:paraId="2772E74E">
      <w:pPr>
        <w:pStyle w:val="2"/>
        <w:spacing w:before="78" w:line="221" w:lineRule="auto"/>
        <w:ind w:left="264" w:firstLine="528"/>
        <w:jc w:val="center"/>
        <w:rPr>
          <w:rFonts w:ascii="楷体_GB2312" w:eastAsia="楷体_GB2312"/>
          <w:b/>
          <w:bCs/>
          <w:spacing w:val="-28"/>
          <w:sz w:val="32"/>
          <w:szCs w:val="32"/>
          <w:lang w:eastAsia="zh-CN"/>
        </w:rPr>
      </w:pPr>
    </w:p>
    <w:p w14:paraId="451BD24E">
      <w:pPr>
        <w:pStyle w:val="2"/>
        <w:spacing w:before="78" w:line="221" w:lineRule="auto"/>
        <w:ind w:left="264" w:firstLine="528"/>
        <w:jc w:val="center"/>
        <w:rPr>
          <w:rFonts w:ascii="楷体_GB2312" w:eastAsia="楷体_GB2312"/>
          <w:b/>
          <w:bCs/>
          <w:spacing w:val="-28"/>
          <w:sz w:val="32"/>
          <w:szCs w:val="32"/>
          <w:lang w:eastAsia="zh-CN"/>
        </w:rPr>
      </w:pPr>
    </w:p>
    <w:p w14:paraId="1E9CFB74">
      <w:pPr>
        <w:pStyle w:val="2"/>
        <w:spacing w:before="78" w:line="221" w:lineRule="auto"/>
        <w:ind w:left="264" w:firstLine="528"/>
        <w:jc w:val="center"/>
        <w:rPr>
          <w:rFonts w:ascii="楷体_GB2312" w:eastAsia="楷体_GB2312"/>
          <w:b/>
          <w:bCs/>
          <w:spacing w:val="-28"/>
          <w:sz w:val="32"/>
          <w:szCs w:val="32"/>
          <w:lang w:eastAsia="zh-CN"/>
        </w:rPr>
      </w:pPr>
    </w:p>
    <w:p w14:paraId="7CB35A9B">
      <w:pPr>
        <w:pStyle w:val="2"/>
        <w:spacing w:before="78" w:line="221" w:lineRule="auto"/>
        <w:ind w:left="264" w:firstLine="528"/>
        <w:jc w:val="center"/>
        <w:rPr>
          <w:rFonts w:ascii="楷体_GB2312" w:eastAsia="楷体_GB2312"/>
          <w:b/>
          <w:bCs/>
          <w:spacing w:val="-28"/>
          <w:sz w:val="32"/>
          <w:szCs w:val="32"/>
          <w:lang w:eastAsia="zh-CN"/>
        </w:rPr>
      </w:pPr>
    </w:p>
    <w:p w14:paraId="2920E2F9">
      <w:pPr>
        <w:pStyle w:val="2"/>
        <w:spacing w:before="78" w:line="221" w:lineRule="auto"/>
        <w:ind w:left="264" w:firstLine="528"/>
        <w:jc w:val="center"/>
        <w:rPr>
          <w:rFonts w:ascii="楷体_GB2312" w:eastAsia="楷体_GB2312"/>
          <w:b/>
          <w:bCs/>
          <w:spacing w:val="-28"/>
          <w:sz w:val="32"/>
          <w:szCs w:val="32"/>
          <w:lang w:eastAsia="zh-CN"/>
        </w:rPr>
      </w:pPr>
    </w:p>
    <w:p w14:paraId="253138C3">
      <w:pPr>
        <w:pStyle w:val="2"/>
        <w:spacing w:before="78" w:line="221" w:lineRule="auto"/>
        <w:ind w:left="264" w:firstLine="528"/>
        <w:jc w:val="center"/>
        <w:rPr>
          <w:rFonts w:ascii="楷体_GB2312" w:eastAsia="楷体_GB2312"/>
          <w:b/>
          <w:bCs/>
          <w:spacing w:val="-28"/>
          <w:sz w:val="32"/>
          <w:szCs w:val="32"/>
          <w:lang w:eastAsia="zh-CN"/>
        </w:rPr>
      </w:pPr>
    </w:p>
    <w:p w14:paraId="636C0652">
      <w:pPr>
        <w:pStyle w:val="2"/>
        <w:spacing w:before="78" w:line="221" w:lineRule="auto"/>
        <w:ind w:left="264" w:firstLine="528"/>
        <w:jc w:val="center"/>
        <w:rPr>
          <w:rFonts w:ascii="楷体_GB2312" w:eastAsia="楷体_GB2312"/>
          <w:b/>
          <w:bCs/>
          <w:spacing w:val="-28"/>
          <w:sz w:val="32"/>
          <w:szCs w:val="32"/>
          <w:lang w:eastAsia="zh-CN"/>
        </w:rPr>
      </w:pPr>
    </w:p>
    <w:p w14:paraId="64F3117A">
      <w:pPr>
        <w:pStyle w:val="2"/>
        <w:spacing w:before="78" w:line="221" w:lineRule="auto"/>
        <w:ind w:left="264" w:firstLine="528"/>
        <w:jc w:val="center"/>
        <w:rPr>
          <w:rFonts w:hint="eastAsia" w:ascii="楷体_GB2312" w:eastAsia="楷体_GB2312"/>
          <w:b/>
          <w:bCs/>
          <w:spacing w:val="-28"/>
          <w:sz w:val="32"/>
          <w:szCs w:val="32"/>
          <w:lang w:eastAsia="zh-CN"/>
        </w:rPr>
      </w:pPr>
    </w:p>
    <w:p w14:paraId="5768F26E">
      <w:pPr>
        <w:pStyle w:val="2"/>
        <w:spacing w:before="78" w:line="221" w:lineRule="auto"/>
        <w:ind w:left="264" w:firstLine="528"/>
        <w:jc w:val="center"/>
        <w:rPr>
          <w:rFonts w:hint="eastAsia" w:ascii="楷体_GB2312" w:eastAsia="楷体_GB2312"/>
          <w:b/>
          <w:bCs/>
          <w:spacing w:val="-28"/>
          <w:sz w:val="32"/>
          <w:szCs w:val="32"/>
          <w:lang w:eastAsia="zh-CN"/>
        </w:rPr>
      </w:pPr>
    </w:p>
    <w:p w14:paraId="1D40A78A">
      <w:pPr>
        <w:pStyle w:val="2"/>
        <w:spacing w:before="78" w:line="221" w:lineRule="auto"/>
        <w:ind w:left="264" w:firstLine="528"/>
        <w:jc w:val="center"/>
        <w:rPr>
          <w:rFonts w:hint="eastAsia" w:ascii="楷体_GB2312" w:eastAsia="楷体_GB2312"/>
          <w:b/>
          <w:bCs/>
          <w:spacing w:val="-28"/>
          <w:sz w:val="32"/>
          <w:szCs w:val="32"/>
          <w:lang w:eastAsia="zh-CN"/>
        </w:rPr>
      </w:pPr>
    </w:p>
    <w:p w14:paraId="45CFB8DB">
      <w:pPr>
        <w:pStyle w:val="2"/>
        <w:spacing w:before="78" w:line="221" w:lineRule="auto"/>
        <w:ind w:left="264" w:firstLine="528"/>
        <w:jc w:val="center"/>
        <w:rPr>
          <w:rFonts w:hint="eastAsia" w:ascii="楷体_GB2312" w:eastAsia="楷体_GB2312"/>
          <w:b/>
          <w:bCs/>
          <w:spacing w:val="-28"/>
          <w:sz w:val="32"/>
          <w:szCs w:val="32"/>
          <w:lang w:eastAsia="zh-CN"/>
        </w:rPr>
      </w:pPr>
    </w:p>
    <w:p w14:paraId="36790633">
      <w:pPr>
        <w:pStyle w:val="2"/>
        <w:spacing w:before="78" w:line="221" w:lineRule="auto"/>
        <w:ind w:left="264" w:firstLine="528"/>
        <w:jc w:val="center"/>
        <w:rPr>
          <w:rFonts w:hint="eastAsia" w:ascii="楷体_GB2312" w:eastAsia="楷体_GB2312"/>
          <w:b/>
          <w:bCs/>
          <w:spacing w:val="-28"/>
          <w:sz w:val="32"/>
          <w:szCs w:val="32"/>
          <w:lang w:eastAsia="zh-CN"/>
        </w:rPr>
      </w:pPr>
    </w:p>
    <w:p w14:paraId="10FFB45D">
      <w:pPr>
        <w:pStyle w:val="2"/>
        <w:spacing w:before="78" w:line="221" w:lineRule="auto"/>
        <w:ind w:left="264" w:firstLine="528"/>
        <w:jc w:val="center"/>
        <w:rPr>
          <w:rFonts w:hint="eastAsia" w:ascii="楷体_GB2312" w:eastAsia="楷体_GB2312"/>
          <w:b/>
          <w:bCs/>
          <w:spacing w:val="-28"/>
          <w:sz w:val="32"/>
          <w:szCs w:val="32"/>
          <w:lang w:eastAsia="zh-CN"/>
        </w:rPr>
      </w:pPr>
    </w:p>
    <w:p w14:paraId="1BC638E2">
      <w:pPr>
        <w:pStyle w:val="2"/>
        <w:spacing w:before="78" w:line="221" w:lineRule="auto"/>
        <w:ind w:left="264" w:firstLine="528"/>
        <w:jc w:val="center"/>
        <w:rPr>
          <w:rFonts w:ascii="楷体_GB2312" w:eastAsia="楷体_GB2312"/>
          <w:sz w:val="32"/>
          <w:szCs w:val="32"/>
          <w:lang w:eastAsia="zh-CN"/>
        </w:rPr>
      </w:pPr>
      <w:bookmarkStart w:id="0" w:name="_GoBack"/>
      <w:bookmarkEnd w:id="0"/>
      <w:r>
        <w:rPr>
          <w:rFonts w:hint="eastAsia" w:ascii="楷体_GB2312" w:eastAsia="楷体_GB2312"/>
          <w:b/>
          <w:bCs/>
          <w:spacing w:val="-28"/>
          <w:sz w:val="32"/>
          <w:szCs w:val="32"/>
          <w:lang w:eastAsia="zh-CN"/>
        </w:rPr>
        <w:t xml:space="preserve">部门 (单位) 名称：岳阳县市场监督管理局 </w:t>
      </w:r>
      <w:r>
        <w:rPr>
          <w:rFonts w:hint="eastAsia" w:ascii="楷体_GB2312" w:eastAsia="楷体_GB2312"/>
          <w:b/>
          <w:bCs/>
          <w:spacing w:val="-28"/>
          <w:sz w:val="32"/>
          <w:szCs w:val="32"/>
          <w:u w:val="single"/>
          <w:lang w:eastAsia="zh-CN"/>
        </w:rPr>
        <w:t>(盖章)</w:t>
      </w:r>
    </w:p>
    <w:p w14:paraId="061BA3CF">
      <w:pPr>
        <w:spacing w:before="274" w:line="225" w:lineRule="auto"/>
        <w:ind w:left="294" w:firstLine="588"/>
        <w:jc w:val="center"/>
        <w:rPr>
          <w:rFonts w:ascii="楷体_GB2312" w:hAnsi="楷体" w:eastAsia="楷体_GB2312" w:cs="楷体"/>
          <w:sz w:val="32"/>
          <w:szCs w:val="32"/>
          <w:lang w:eastAsia="zh-CN"/>
        </w:rPr>
      </w:pPr>
      <w:r>
        <w:rPr>
          <w:rFonts w:hint="eastAsia" w:ascii="楷体_GB2312" w:hAnsi="楷体" w:eastAsia="楷体_GB2312" w:cs="楷体"/>
          <w:bCs/>
          <w:spacing w:val="-13"/>
          <w:sz w:val="32"/>
          <w:szCs w:val="32"/>
          <w:lang w:eastAsia="zh-CN"/>
        </w:rPr>
        <w:t xml:space="preserve">2024年 06  </w:t>
      </w:r>
      <w:r>
        <w:rPr>
          <w:rFonts w:hint="eastAsia" w:ascii="楷体_GB2312" w:hAnsi="楷体" w:eastAsia="楷体_GB2312" w:cs="楷体"/>
          <w:spacing w:val="-13"/>
          <w:sz w:val="32"/>
          <w:szCs w:val="32"/>
          <w:lang w:eastAsia="zh-CN"/>
        </w:rPr>
        <w:t xml:space="preserve">月  28  </w:t>
      </w:r>
      <w:r>
        <w:rPr>
          <w:rFonts w:hint="eastAsia" w:ascii="楷体_GB2312" w:hAnsi="楷体" w:eastAsia="楷体_GB2312" w:cs="楷体"/>
          <w:bCs/>
          <w:spacing w:val="-13"/>
          <w:sz w:val="32"/>
          <w:szCs w:val="32"/>
          <w:lang w:eastAsia="zh-CN"/>
        </w:rPr>
        <w:t>日</w:t>
      </w:r>
    </w:p>
    <w:p w14:paraId="6F7B5A77">
      <w:pPr>
        <w:pStyle w:val="2"/>
        <w:spacing w:before="211" w:line="224" w:lineRule="auto"/>
        <w:ind w:left="337" w:firstLine="674"/>
        <w:jc w:val="both"/>
        <w:rPr>
          <w:b/>
          <w:bCs/>
          <w:spacing w:val="18"/>
          <w:sz w:val="30"/>
          <w:szCs w:val="30"/>
          <w:lang w:eastAsia="zh-CN"/>
        </w:rPr>
      </w:pPr>
    </w:p>
    <w:p w14:paraId="6CCC132A">
      <w:pPr>
        <w:pStyle w:val="2"/>
        <w:spacing w:before="211" w:line="224" w:lineRule="auto"/>
        <w:ind w:left="337" w:firstLine="674"/>
        <w:jc w:val="both"/>
        <w:rPr>
          <w:b/>
          <w:bCs/>
          <w:spacing w:val="18"/>
          <w:sz w:val="30"/>
          <w:szCs w:val="30"/>
          <w:lang w:eastAsia="zh-CN"/>
        </w:rPr>
      </w:pPr>
    </w:p>
    <w:p w14:paraId="26EC4117">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一、部门</w:t>
      </w:r>
      <w:r>
        <w:rPr>
          <w:rFonts w:ascii="仿宋" w:hAnsi="仿宋" w:eastAsia="仿宋" w:cs="仿宋_GB2312"/>
          <w:sz w:val="32"/>
          <w:szCs w:val="32"/>
          <w:lang w:eastAsia="zh-CN"/>
        </w:rPr>
        <w:t>(</w:t>
      </w:r>
      <w:r>
        <w:rPr>
          <w:rFonts w:hint="eastAsia" w:ascii="仿宋" w:hAnsi="仿宋" w:eastAsia="仿宋" w:cs="仿宋_GB2312"/>
          <w:sz w:val="32"/>
          <w:szCs w:val="32"/>
          <w:lang w:eastAsia="zh-CN"/>
        </w:rPr>
        <w:t>单位</w:t>
      </w:r>
      <w:r>
        <w:rPr>
          <w:rFonts w:ascii="仿宋" w:hAnsi="仿宋" w:eastAsia="仿宋" w:cs="仿宋_GB2312"/>
          <w:sz w:val="32"/>
          <w:szCs w:val="32"/>
          <w:lang w:eastAsia="zh-CN"/>
        </w:rPr>
        <w:t>)</w:t>
      </w:r>
      <w:r>
        <w:rPr>
          <w:rFonts w:hint="eastAsia" w:ascii="仿宋" w:hAnsi="仿宋" w:eastAsia="仿宋" w:cs="仿宋_GB2312"/>
          <w:sz w:val="32"/>
          <w:szCs w:val="32"/>
          <w:lang w:eastAsia="zh-CN"/>
        </w:rPr>
        <w:t>基本情况</w:t>
      </w:r>
    </w:p>
    <w:p w14:paraId="76F55C7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（一）部门主要职责</w:t>
      </w:r>
    </w:p>
    <w:p w14:paraId="74D55F01">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负责市场综合监督管理。贯彻执行国家市场监督管理的方针、政策和法律法规规章。组织实施质量强县、食品安全、标准化和知识产权战略，拟定并组织实施有关规划，规范和维护市场秩序，营造诚实守信、公平竞争的市场环境。</w:t>
      </w:r>
    </w:p>
    <w:p w14:paraId="5AF05DB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负责市场主体统一登记注册工作。负责全县各类企业、农民专业合作社和从事经营活动的单位、个体工商户等市场主体的登记注册工作。建立市场主体信息公示和共享机制，依法公示和共享有关信息，加强信用监管，推动市场主体信用体系建设。</w:t>
      </w:r>
    </w:p>
    <w:p w14:paraId="1D4FD51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3、负责组织和指导市场监管综合执法工作。指导全县市场监管综合执法队伍整合和建设，推动实行统一的市场监管。组织查处各类市场违法案件。规范市场监管行政执法行为。</w:t>
      </w:r>
    </w:p>
    <w:p w14:paraId="05D0C3C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4、依委托开展发垄断统一执法调查工作。统筹推进竞争政策实施，组织实施公平竞争审查制度。依委托协助开展垄断协议、滥用市场支配地位和滥用行政权力排除、限制竞争等反垄断执法调查工作。</w:t>
      </w:r>
    </w:p>
    <w:p w14:paraId="4ED0A3E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5、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w:t>
      </w:r>
    </w:p>
    <w:p w14:paraId="74360580">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6、负责宏观质量管理。拟定推进质量强县战略的政策措施并组织实施。统筹全县质量基础设施建设与应用，会同有关部门组织实施重大工程设备质量监理制度，按规定权限组织对重大质量事故调查，配合实施缺陷产品召回制度，监督管理产品防伪工作。</w:t>
      </w:r>
    </w:p>
    <w:p w14:paraId="37354A2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7、负责产品质量安全监督管理。管理产品质量安全，风险监控、全县监督抽查工作。落实质量分级制度、质量安全追溯制度。负责纤维质量监督工作。</w:t>
      </w:r>
    </w:p>
    <w:p w14:paraId="7CBBD41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8、负责特种设备安全监督管理。综合管理特种设备，安全监察、监督工作。监督检查高耗能特种设备节能标准和锅炉环境保护标准的执行情况。按规定权限组织调查处理特种设备事故并进行统计分析。</w:t>
      </w:r>
    </w:p>
    <w:p w14:paraId="66E766E2">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9、负责药品（含中药、民族药，下同）、医疗器械和化妆品安全监督管理。贯彻执行国家、省关于药品、医疗器械、化妆品安全监督管理的法律、法规、规章，拟定政策规划并组织实施。</w:t>
      </w:r>
    </w:p>
    <w:p w14:paraId="136F1456">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10、负责职责范围内的药品、医疗器械和化妆品标准管理和上市后风险管理。监督实施药品、医疗器械、化妆品标准和分类管理制度。</w:t>
      </w:r>
    </w:p>
    <w:p w14:paraId="05C6955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11、负责药品、医疗器械和化妆品的不良反应监管、评价、处置和应急管理工作</w:t>
      </w:r>
      <w:r>
        <w:rPr>
          <w:rFonts w:ascii="仿宋" w:hAnsi="仿宋" w:eastAsia="仿宋" w:cs="仿宋_GB2312"/>
          <w:sz w:val="32"/>
          <w:szCs w:val="32"/>
          <w:lang w:eastAsia="zh-CN"/>
        </w:rPr>
        <w:t>。</w:t>
      </w:r>
    </w:p>
    <w:p w14:paraId="664050B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12、</w:t>
      </w:r>
      <w:r>
        <w:rPr>
          <w:rFonts w:ascii="仿宋" w:hAnsi="仿宋" w:eastAsia="仿宋" w:cs="仿宋_GB2312"/>
          <w:sz w:val="32"/>
          <w:szCs w:val="32"/>
          <w:lang w:eastAsia="zh-CN"/>
        </w:rPr>
        <w:t>负责</w:t>
      </w:r>
      <w:r>
        <w:rPr>
          <w:rFonts w:hint="eastAsia" w:ascii="仿宋" w:hAnsi="仿宋" w:eastAsia="仿宋" w:cs="仿宋_GB2312"/>
          <w:sz w:val="32"/>
          <w:szCs w:val="32"/>
          <w:lang w:eastAsia="zh-CN"/>
        </w:rPr>
        <w:t>食品安全监督管理综合协调。组织制定食品安全有关政策并组织实施。负责食品安全应急体系建设，组织指导重大食品安全事件应急处置和调查处理工作。建立健全食品安全重要信息直报制度。承担县食品安全委员会日常工作</w:t>
      </w:r>
      <w:r>
        <w:rPr>
          <w:rFonts w:ascii="仿宋" w:hAnsi="仿宋" w:eastAsia="仿宋" w:cs="仿宋_GB2312"/>
          <w:sz w:val="32"/>
          <w:szCs w:val="32"/>
          <w:lang w:eastAsia="zh-CN"/>
        </w:rPr>
        <w:t>。</w:t>
      </w:r>
    </w:p>
    <w:p w14:paraId="12ED340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13、</w:t>
      </w:r>
      <w:r>
        <w:rPr>
          <w:rFonts w:ascii="仿宋" w:hAnsi="仿宋" w:eastAsia="仿宋" w:cs="仿宋_GB2312"/>
          <w:sz w:val="32"/>
          <w:szCs w:val="32"/>
          <w:lang w:eastAsia="zh-CN"/>
        </w:rPr>
        <w:t>负责</w:t>
      </w:r>
      <w:r>
        <w:rPr>
          <w:rFonts w:hint="eastAsia" w:ascii="仿宋" w:hAnsi="仿宋" w:eastAsia="仿宋" w:cs="仿宋_GB2312"/>
          <w:sz w:val="32"/>
          <w:szCs w:val="32"/>
          <w:lang w:eastAsia="zh-CN"/>
        </w:rPr>
        <w:t>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风险监测、核查处置和风险预警、风险交流工作。组织实施特殊食品备案和监督管理。负责食盐专营管理和食盐安全监督管理</w:t>
      </w:r>
      <w:r>
        <w:rPr>
          <w:rFonts w:ascii="仿宋" w:hAnsi="仿宋" w:eastAsia="仿宋" w:cs="仿宋_GB2312"/>
          <w:sz w:val="32"/>
          <w:szCs w:val="32"/>
          <w:lang w:eastAsia="zh-CN"/>
        </w:rPr>
        <w:t>。</w:t>
      </w:r>
    </w:p>
    <w:p w14:paraId="639E190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14、</w:t>
      </w:r>
      <w:r>
        <w:rPr>
          <w:rFonts w:ascii="仿宋" w:hAnsi="仿宋" w:eastAsia="仿宋" w:cs="仿宋_GB2312"/>
          <w:sz w:val="32"/>
          <w:szCs w:val="32"/>
          <w:lang w:eastAsia="zh-CN"/>
        </w:rPr>
        <w:t>负责统一管理计量工作</w:t>
      </w:r>
      <w:r>
        <w:rPr>
          <w:rFonts w:hint="eastAsia" w:ascii="仿宋" w:hAnsi="仿宋" w:eastAsia="仿宋" w:cs="仿宋_GB2312"/>
          <w:sz w:val="32"/>
          <w:szCs w:val="32"/>
          <w:lang w:eastAsia="zh-CN"/>
        </w:rPr>
        <w:t>。</w:t>
      </w:r>
      <w:r>
        <w:rPr>
          <w:rFonts w:ascii="仿宋" w:hAnsi="仿宋" w:eastAsia="仿宋" w:cs="仿宋_GB2312"/>
          <w:sz w:val="32"/>
          <w:szCs w:val="32"/>
          <w:lang w:eastAsia="zh-CN"/>
        </w:rPr>
        <w:t>推行国家法定计量单位</w:t>
      </w:r>
      <w:r>
        <w:rPr>
          <w:rFonts w:hint="eastAsia" w:ascii="仿宋" w:hAnsi="仿宋" w:eastAsia="仿宋" w:cs="仿宋_GB2312"/>
          <w:sz w:val="32"/>
          <w:szCs w:val="32"/>
          <w:lang w:eastAsia="zh-CN"/>
        </w:rPr>
        <w:t>，执行</w:t>
      </w:r>
      <w:r>
        <w:rPr>
          <w:rFonts w:ascii="仿宋" w:hAnsi="仿宋" w:eastAsia="仿宋" w:cs="仿宋_GB2312"/>
          <w:sz w:val="32"/>
          <w:szCs w:val="32"/>
          <w:lang w:eastAsia="zh-CN"/>
        </w:rPr>
        <w:t>国家计量制度</w:t>
      </w:r>
      <w:r>
        <w:rPr>
          <w:rFonts w:hint="eastAsia" w:ascii="仿宋" w:hAnsi="仿宋" w:eastAsia="仿宋" w:cs="仿宋_GB2312"/>
          <w:sz w:val="32"/>
          <w:szCs w:val="32"/>
          <w:lang w:eastAsia="zh-CN"/>
        </w:rPr>
        <w:t>，依职权管理计量器具及量值传递和比对工作。规范、监督商品计量和市场计量行为</w:t>
      </w:r>
      <w:r>
        <w:rPr>
          <w:rFonts w:ascii="仿宋" w:hAnsi="仿宋" w:eastAsia="仿宋" w:cs="仿宋_GB2312"/>
          <w:sz w:val="32"/>
          <w:szCs w:val="32"/>
          <w:lang w:eastAsia="zh-CN"/>
        </w:rPr>
        <w:t>。</w:t>
      </w:r>
    </w:p>
    <w:p w14:paraId="56E68DF4">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对标准的实施进行监督检查。推行采用国际标准。</w:t>
      </w:r>
    </w:p>
    <w:p w14:paraId="5D46AC4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16、负责统一管理检验检测工作</w:t>
      </w:r>
      <w:r>
        <w:rPr>
          <w:rFonts w:ascii="仿宋" w:hAnsi="仿宋" w:eastAsia="仿宋" w:cs="仿宋_GB2312"/>
          <w:sz w:val="32"/>
          <w:szCs w:val="32"/>
          <w:lang w:eastAsia="zh-CN"/>
        </w:rPr>
        <w:t>。</w:t>
      </w:r>
      <w:r>
        <w:rPr>
          <w:rFonts w:hint="eastAsia" w:ascii="仿宋" w:hAnsi="仿宋" w:eastAsia="仿宋" w:cs="仿宋_GB2312"/>
          <w:sz w:val="32"/>
          <w:szCs w:val="32"/>
          <w:lang w:eastAsia="zh-CN"/>
        </w:rPr>
        <w:t>推行检验检测机构改革，规范检验检测市场，完善检验检测体系，指导协调检验检测行业发展。</w:t>
      </w:r>
    </w:p>
    <w:p w14:paraId="07926605">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17、负责统一管理、监督和综合协调全县认证认可工作。依法监督管理全县认证认可和合格评定有关活动</w:t>
      </w:r>
      <w:r>
        <w:rPr>
          <w:rFonts w:ascii="仿宋" w:hAnsi="仿宋" w:eastAsia="仿宋" w:cs="仿宋_GB2312"/>
          <w:sz w:val="32"/>
          <w:szCs w:val="32"/>
          <w:lang w:eastAsia="zh-CN"/>
        </w:rPr>
        <w:t>。</w:t>
      </w:r>
    </w:p>
    <w:p w14:paraId="5403603B">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18、市场监督管理、知识产权领域科技和信息化建设、新闻宣传、对外交流与合作。按规定承担技术性贸易措施有关工作</w:t>
      </w:r>
      <w:r>
        <w:rPr>
          <w:rFonts w:ascii="仿宋" w:hAnsi="仿宋" w:eastAsia="仿宋" w:cs="仿宋_GB2312"/>
          <w:sz w:val="32"/>
          <w:szCs w:val="32"/>
          <w:lang w:eastAsia="zh-CN"/>
        </w:rPr>
        <w:t>。</w:t>
      </w:r>
    </w:p>
    <w:p w14:paraId="7650B71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19、负责实施知识产权战略，推进知识产权强县建设。制定实施知识产权创造、保护、运用的政策和措施。负责知识产权公共服务体系建设，推动知识产权信息传播利用。</w:t>
      </w:r>
    </w:p>
    <w:p w14:paraId="46E7C2B2">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20、</w:t>
      </w:r>
      <w:r>
        <w:rPr>
          <w:rFonts w:ascii="仿宋" w:hAnsi="仿宋" w:eastAsia="仿宋" w:cs="仿宋_GB2312"/>
          <w:sz w:val="32"/>
          <w:szCs w:val="32"/>
          <w:lang w:eastAsia="zh-CN"/>
        </w:rPr>
        <w:t>负责</w:t>
      </w:r>
      <w:r>
        <w:rPr>
          <w:rFonts w:hint="eastAsia" w:ascii="仿宋" w:hAnsi="仿宋" w:eastAsia="仿宋" w:cs="仿宋_GB2312"/>
          <w:sz w:val="32"/>
          <w:szCs w:val="32"/>
          <w:lang w:eastAsia="zh-CN"/>
        </w:rPr>
        <w:t>保护知识产权。落实严格保护商标、专利、原产地地理标志等相关工作，负责知识产权保护体系建设，组织开展商标、专利执法工作</w:t>
      </w:r>
      <w:r>
        <w:rPr>
          <w:rFonts w:ascii="仿宋" w:hAnsi="仿宋" w:eastAsia="仿宋" w:cs="仿宋_GB2312"/>
          <w:sz w:val="32"/>
          <w:szCs w:val="32"/>
          <w:lang w:eastAsia="zh-CN"/>
        </w:rPr>
        <w:t>。</w:t>
      </w:r>
    </w:p>
    <w:p w14:paraId="7AB3D6B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21、负责知识产权创造运用。开展知识产权运营体系建设，指导重大经济活动知识产权评议，规范知识产权交易和无形资产评估，促进知识产权转移转化，推动知识产权高质量发展</w:t>
      </w:r>
      <w:r>
        <w:rPr>
          <w:rFonts w:ascii="仿宋" w:hAnsi="仿宋" w:eastAsia="仿宋" w:cs="仿宋_GB2312"/>
          <w:sz w:val="32"/>
          <w:szCs w:val="32"/>
          <w:lang w:eastAsia="zh-CN"/>
        </w:rPr>
        <w:t>。</w:t>
      </w:r>
    </w:p>
    <w:p w14:paraId="4BE974E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22、负责组织开展有关服务领域消费维权工作，查处制售假冒伪劣等违法行为，指导消费者咨询、申诉、举报受理、处理和网络体系建设等工作，保护经营者、消费者合法权益</w:t>
      </w:r>
      <w:r>
        <w:rPr>
          <w:rFonts w:ascii="仿宋" w:hAnsi="仿宋" w:eastAsia="仿宋" w:cs="仿宋_GB2312"/>
          <w:sz w:val="32"/>
          <w:szCs w:val="32"/>
          <w:lang w:eastAsia="zh-CN"/>
        </w:rPr>
        <w:t>。</w:t>
      </w:r>
    </w:p>
    <w:p w14:paraId="628094F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23、按规定要求，承担对口事业服务机构业务工作的指导、协调和监督职责</w:t>
      </w:r>
      <w:r>
        <w:rPr>
          <w:rFonts w:ascii="仿宋" w:hAnsi="仿宋" w:eastAsia="仿宋" w:cs="仿宋_GB2312"/>
          <w:sz w:val="32"/>
          <w:szCs w:val="32"/>
          <w:lang w:eastAsia="zh-CN"/>
        </w:rPr>
        <w:t>。</w:t>
      </w:r>
    </w:p>
    <w:p w14:paraId="4217E67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24、完成县委、县政府交办的其他任务。</w:t>
      </w:r>
    </w:p>
    <w:p w14:paraId="4AD88CDA">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（二）部门机构情况</w:t>
      </w:r>
    </w:p>
    <w:p w14:paraId="2808898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w:t>
      </w:r>
      <w:r>
        <w:rPr>
          <w:rFonts w:ascii="仿宋" w:hAnsi="仿宋" w:eastAsia="仿宋" w:cs="仿宋_GB2312"/>
          <w:sz w:val="32"/>
          <w:szCs w:val="32"/>
          <w:lang w:eastAsia="zh-CN"/>
        </w:rPr>
        <w:t>内设机</w:t>
      </w:r>
      <w:r>
        <w:rPr>
          <w:rFonts w:hint="eastAsia" w:ascii="仿宋" w:hAnsi="仿宋" w:eastAsia="仿宋" w:cs="仿宋_GB2312"/>
          <w:sz w:val="32"/>
          <w:szCs w:val="32"/>
          <w:lang w:eastAsia="zh-CN"/>
        </w:rPr>
        <w:t>构</w:t>
      </w:r>
      <w:r>
        <w:rPr>
          <w:rFonts w:ascii="仿宋" w:hAnsi="仿宋" w:eastAsia="仿宋" w:cs="仿宋_GB2312"/>
          <w:sz w:val="32"/>
          <w:szCs w:val="32"/>
          <w:lang w:eastAsia="zh-CN"/>
        </w:rPr>
        <w:t>2</w:t>
      </w:r>
      <w:r>
        <w:rPr>
          <w:rFonts w:hint="eastAsia" w:ascii="仿宋" w:hAnsi="仿宋" w:eastAsia="仿宋" w:cs="仿宋_GB2312"/>
          <w:sz w:val="32"/>
          <w:szCs w:val="32"/>
          <w:lang w:eastAsia="zh-CN"/>
        </w:rPr>
        <w:t>6</w:t>
      </w:r>
      <w:r>
        <w:rPr>
          <w:rFonts w:ascii="仿宋" w:hAnsi="仿宋" w:eastAsia="仿宋" w:cs="仿宋_GB2312"/>
          <w:sz w:val="32"/>
          <w:szCs w:val="32"/>
          <w:lang w:eastAsia="zh-CN"/>
        </w:rPr>
        <w:t>个</w:t>
      </w:r>
      <w:r>
        <w:rPr>
          <w:rFonts w:hint="eastAsia" w:ascii="仿宋" w:hAnsi="仿宋" w:eastAsia="仿宋" w:cs="仿宋_GB2312"/>
          <w:sz w:val="32"/>
          <w:szCs w:val="32"/>
          <w:lang w:eastAsia="zh-CN"/>
        </w:rPr>
        <w:t>：</w:t>
      </w:r>
      <w:r>
        <w:rPr>
          <w:rFonts w:ascii="仿宋" w:hAnsi="仿宋" w:eastAsia="仿宋" w:cs="仿宋_GB2312"/>
          <w:sz w:val="32"/>
          <w:szCs w:val="32"/>
          <w:lang w:eastAsia="zh-CN"/>
        </w:rPr>
        <w:t>办公室</w:t>
      </w:r>
      <w:r>
        <w:rPr>
          <w:rFonts w:hint="eastAsia" w:ascii="仿宋" w:hAnsi="仿宋" w:eastAsia="仿宋" w:cs="仿宋_GB2312"/>
          <w:sz w:val="32"/>
          <w:szCs w:val="32"/>
          <w:lang w:eastAsia="zh-CN"/>
        </w:rPr>
        <w:t>、</w:t>
      </w:r>
      <w:r>
        <w:rPr>
          <w:rFonts w:ascii="仿宋" w:hAnsi="仿宋" w:eastAsia="仿宋" w:cs="仿宋_GB2312"/>
          <w:sz w:val="32"/>
          <w:szCs w:val="32"/>
          <w:lang w:eastAsia="zh-CN"/>
        </w:rPr>
        <w:t>财务股</w:t>
      </w:r>
      <w:r>
        <w:rPr>
          <w:rFonts w:hint="eastAsia" w:ascii="仿宋" w:hAnsi="仿宋" w:eastAsia="仿宋" w:cs="仿宋_GB2312"/>
          <w:sz w:val="32"/>
          <w:szCs w:val="32"/>
          <w:lang w:eastAsia="zh-CN"/>
        </w:rPr>
        <w:t>、政策法规</w:t>
      </w:r>
      <w:r>
        <w:rPr>
          <w:rFonts w:ascii="仿宋" w:hAnsi="仿宋" w:eastAsia="仿宋" w:cs="仿宋_GB2312"/>
          <w:sz w:val="32"/>
          <w:szCs w:val="32"/>
          <w:lang w:eastAsia="zh-CN"/>
        </w:rPr>
        <w:t>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行政审批</w:t>
      </w:r>
      <w:r>
        <w:rPr>
          <w:rFonts w:hint="eastAsia" w:ascii="仿宋" w:hAnsi="仿宋" w:eastAsia="仿宋" w:cs="仿宋_GB2312"/>
          <w:sz w:val="32"/>
          <w:szCs w:val="32"/>
          <w:lang w:eastAsia="zh-CN"/>
        </w:rPr>
        <w:t>股、</w:t>
      </w:r>
      <w:r>
        <w:rPr>
          <w:rFonts w:ascii="仿宋" w:hAnsi="仿宋" w:eastAsia="仿宋" w:cs="仿宋_GB2312"/>
          <w:sz w:val="32"/>
          <w:szCs w:val="32"/>
          <w:lang w:eastAsia="zh-CN"/>
        </w:rPr>
        <w:t>人事股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食品综合协调和应急处置股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消费者权益保护股</w:t>
      </w:r>
      <w:r>
        <w:rPr>
          <w:rFonts w:hint="eastAsia" w:ascii="仿宋" w:hAnsi="仿宋" w:eastAsia="仿宋" w:cs="仿宋_GB2312"/>
          <w:sz w:val="32"/>
          <w:szCs w:val="32"/>
          <w:lang w:eastAsia="zh-CN"/>
        </w:rPr>
        <w:t>、投诉举报中心、</w:t>
      </w:r>
      <w:r>
        <w:rPr>
          <w:rFonts w:ascii="仿宋" w:hAnsi="仿宋" w:eastAsia="仿宋" w:cs="仿宋_GB2312"/>
          <w:sz w:val="32"/>
          <w:szCs w:val="32"/>
          <w:lang w:eastAsia="zh-CN"/>
        </w:rPr>
        <w:t>商标和广告监管股</w:t>
      </w:r>
      <w:r>
        <w:rPr>
          <w:rFonts w:hint="eastAsia" w:ascii="仿宋" w:hAnsi="仿宋" w:eastAsia="仿宋" w:cs="仿宋_GB2312"/>
          <w:sz w:val="32"/>
          <w:szCs w:val="32"/>
          <w:lang w:eastAsia="zh-CN"/>
        </w:rPr>
        <w:t>、信用监督管理</w:t>
      </w:r>
      <w:r>
        <w:rPr>
          <w:rFonts w:ascii="仿宋" w:hAnsi="仿宋" w:eastAsia="仿宋" w:cs="仿宋_GB2312"/>
          <w:sz w:val="32"/>
          <w:szCs w:val="32"/>
          <w:lang w:eastAsia="zh-CN"/>
        </w:rPr>
        <w:t>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网络交易监督管理股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质量</w:t>
      </w:r>
      <w:r>
        <w:rPr>
          <w:rFonts w:hint="eastAsia" w:ascii="仿宋" w:hAnsi="仿宋" w:eastAsia="仿宋" w:cs="仿宋_GB2312"/>
          <w:sz w:val="32"/>
          <w:szCs w:val="32"/>
          <w:lang w:eastAsia="zh-CN"/>
        </w:rPr>
        <w:t>发展和安全</w:t>
      </w:r>
      <w:r>
        <w:rPr>
          <w:rFonts w:ascii="仿宋" w:hAnsi="仿宋" w:eastAsia="仿宋" w:cs="仿宋_GB2312"/>
          <w:sz w:val="32"/>
          <w:szCs w:val="32"/>
          <w:lang w:eastAsia="zh-CN"/>
        </w:rPr>
        <w:t>监督管理股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标准化和计量股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特种设备安全监察股（县特种设备事故调查处理办公室）</w:t>
      </w:r>
      <w:r>
        <w:rPr>
          <w:rFonts w:hint="eastAsia" w:ascii="仿宋" w:hAnsi="仿宋" w:eastAsia="仿宋" w:cs="仿宋_GB2312"/>
          <w:sz w:val="32"/>
          <w:szCs w:val="32"/>
          <w:lang w:eastAsia="zh-CN"/>
        </w:rPr>
        <w:t>、</w:t>
      </w:r>
      <w:r>
        <w:rPr>
          <w:rFonts w:ascii="仿宋" w:hAnsi="仿宋" w:eastAsia="仿宋" w:cs="仿宋_GB2312"/>
          <w:sz w:val="32"/>
          <w:szCs w:val="32"/>
          <w:lang w:eastAsia="zh-CN"/>
        </w:rPr>
        <w:t>食品生产安全监管股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食品流通安全监管股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餐饮食品安全监管股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药品和医疗器械监管股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保健食品和化妆品监管股</w:t>
      </w:r>
      <w:r>
        <w:rPr>
          <w:rFonts w:hint="eastAsia" w:ascii="仿宋" w:hAnsi="仿宋" w:eastAsia="仿宋" w:cs="仿宋_GB2312"/>
          <w:sz w:val="32"/>
          <w:szCs w:val="32"/>
          <w:lang w:eastAsia="zh-CN"/>
        </w:rPr>
        <w:t>、</w:t>
      </w:r>
      <w:r>
        <w:rPr>
          <w:rFonts w:ascii="仿宋" w:hAnsi="仿宋" w:eastAsia="仿宋" w:cs="仿宋_GB2312"/>
          <w:sz w:val="32"/>
          <w:szCs w:val="32"/>
          <w:lang w:eastAsia="zh-CN"/>
        </w:rPr>
        <w:t>酒类安全监管股</w:t>
      </w:r>
      <w:r>
        <w:rPr>
          <w:rFonts w:hint="eastAsia" w:ascii="仿宋" w:hAnsi="仿宋" w:eastAsia="仿宋" w:cs="仿宋_GB2312"/>
          <w:sz w:val="32"/>
          <w:szCs w:val="32"/>
          <w:lang w:eastAsia="zh-CN"/>
        </w:rPr>
        <w:t>、盐业监管股、知识产权管理股、经济检查股、食品药品安全抽检监测股、价格监督检查股、市场规范管理股。</w:t>
      </w:r>
    </w:p>
    <w:p w14:paraId="64B1EEC6">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所属单位机构24个：岳阳县个体劳动者私营企业协会服务中心、岳阳县消费者委员会服务中心、岳阳县市场监督管理信息中心、岳阳县市场检验检测中心、岳阳县市场综合执法大队、荣家湾第一市场监督管理所、荣家湾第二市场监督管理所、荣家湾第三市场监督管理所、荣家湾第四市场监督管理所、荣家湾第五市场监督管理所、新开市场监督管理所、新墙市场监督管理所、筻口市场监督管理所、黄沙街市场监督管理所、公田市场监督管理所、张谷英市场监督管理所、柏祥市场监督管理所、毛田市场监督管理所、月田市场监督管理所、步仙市场监督管理所、杨林街市场监督管理所、长湖市场监督管理所、中洲市场监督管理所、东洞庭湖市场监督管理所。</w:t>
      </w:r>
    </w:p>
    <w:p w14:paraId="57F609DD">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（三）部门决算单位构成</w:t>
      </w:r>
    </w:p>
    <w:p w14:paraId="010FDB50">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本部门所属二级机构5个、派出机构19个，均没有财务独立核算，因此2023年度部门决算仅为本级决算。</w:t>
      </w:r>
    </w:p>
    <w:p w14:paraId="0014228C">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二、一般公共预算支出情况</w:t>
      </w:r>
    </w:p>
    <w:p w14:paraId="21DE13ED">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本部门2023年一般公共预算财政拨款支出5186.55万元，包括基本支出和项目支出。</w:t>
      </w:r>
    </w:p>
    <w:p w14:paraId="016FBD0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（一）基本支出情况</w:t>
      </w:r>
    </w:p>
    <w:p w14:paraId="7CE2E235">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度一般公共预算基本支出3709.37万元，主要用于保障机构正常运转、完成日常工作任务而发生的支出，包括用于在职人员基本工资、津贴补贴、奖金、社会保险缴费等人员经费以及办公费、印刷费、水电费、劳务费、物业服务、办公设备购置等日常公用经费。按经济科目划分各项支出金额分别为：工资福利支出3186.27万元，商品和服务支出434.08万元，对个人和家庭的补助89.02万元。</w:t>
      </w:r>
    </w:p>
    <w:p w14:paraId="2924585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三公”经费（使用一般公共预算财政拨款安排的因公出国（境）费用、公务接待费、公务用车购置及运行维护费）支出合计62.21万元，比年初公开的部门预算数减少17.79万元，降低22.24%，主要原因为本部门严控“三公”经费支出。分项为：公务接待费13.73万元，接待177批次、1302人次，支出数比年初公开的部门预算数减少6.27万元，降低31.35%，原因为本部门加强内部管理，采取规范财务报账制度和公务接待程序、推行公务卡结算制度、严格控制接待标准和陪餐人数等措施，有效控制了非必要公务接待开支的发生；公务用车运行维护费48.48万元，公务用车保有量16台，支出数比年初公开的部门预算数减少11.52万元，降低19.20%，原因为本部门规范公务用车使用规定，合理调度;无公务用车购置费；无因公出国（境）费用。</w:t>
      </w:r>
    </w:p>
    <w:p w14:paraId="522119F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（二）项目支出情况</w:t>
      </w:r>
    </w:p>
    <w:p w14:paraId="0DDE17A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度一般公共预算项目支出1477.18万元，指在基本支出之外为完成特定行政任务和事业发展目标所发生的支出，主要用于食品药品安全监管及检测、质量安全监管及检测、执法办案、乡镇所工作、市场监管等专项业务方面的支出。按经济科目划分各项支出金额分别为：商品服务支出1237.59万元，资本性支出219.59万元，对企业补助20万元。</w:t>
      </w:r>
    </w:p>
    <w:p w14:paraId="43A96475">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三、政府性基金预算支出情况</w:t>
      </w:r>
    </w:p>
    <w:p w14:paraId="4A09C151">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本部门2023年政府性基金预算财政拨款支出85万元，其中基本支出1.60万元，项目支出83.40万元；主要用于食品安全“两个责任”日常工作经费。</w:t>
      </w:r>
    </w:p>
    <w:p w14:paraId="53F4164A">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四、国有资本经营预算支出情况</w:t>
      </w:r>
    </w:p>
    <w:p w14:paraId="7A959FDB">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本部门2023年度无国有资本经营预算支出。</w:t>
      </w:r>
    </w:p>
    <w:p w14:paraId="4E6DB577">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五、社会保险基金预算支出情况</w:t>
      </w:r>
    </w:p>
    <w:p w14:paraId="61D8520D">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本部门2023年度无社会保险基金预算支出。</w:t>
      </w:r>
    </w:p>
    <w:p w14:paraId="33E43F10">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六、部门整体支出绩效情况</w:t>
      </w:r>
    </w:p>
    <w:p w14:paraId="7EAB3D1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2023年，岳阳县市场监管系统聚焦争先进位和高质量发展，全面贯彻党的二十大精神，坚决落实国家总局、省、市局工作要求，解放思想、奋勇争先、克难攻坚，各项重点任务有了新进展、取得了新成效。</w:t>
      </w:r>
    </w:p>
    <w:p w14:paraId="0532024B">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这一年，我们脚踏实地——任务完成好。我局获评2023年全县综合先进单位；食品安全工作获评全省2023年食品安全工作A级（先进）单位、六县市排名第一；药品安全工作排名全省第三、全市第一；特种设备安全监察工作获评全省特种设备安全监察工作优秀单位;经营主体培育工作排名全市第一，并获得省政府2023年市场监管工作真抓实干督查激励。</w:t>
      </w:r>
    </w:p>
    <w:p w14:paraId="155A254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这一年，我们披荆斩棘——发展质效高。强化星级所建设，新墙所申报四星市场所，黄沙街所和公田所申报三星市场所，筻口所和张谷英所申报标准化规范化市场所，该项工作中受到省局领导高度表扬。创新药品安全监管平台，岳阳市药品安全巩固提升行动现场会在岳阳县成功举办，我局获评2023年全省药品安全巩固提升行动先进县市区局。</w:t>
      </w:r>
    </w:p>
    <w:p w14:paraId="488FF8B0">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这一年，我们闻令而动——落实执行快。聚焦关键领域，突出重点工作，“双随机、一公开”工作获评全市先进单位；县消费者权益保护委员会获评全市红旗单位；市场秩序线工作获评全市先进单位等。</w:t>
      </w:r>
    </w:p>
    <w:p w14:paraId="1853BA55">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这一年，我们不忘初心——整体作风强。坚持党建引领，从基础抓起，从问题切入，从细节把控，全局上下工作状态明显改善，班子建设获县绩效考核单项先进；局离退休干部党支部获评全省示范离退休干部党支部；十余位同志获得市级各类先进。</w:t>
      </w:r>
    </w:p>
    <w:p w14:paraId="5D1CE4B5">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年来的成绩来之不易。面对市场活力下降、违法行为增多、安全隐患多发、舆情压力增大等诸多挑战，我们顶住外部压力、克服内部困难，坚持问题导向、强化系统思维，主动担当作为、努力真抓实干，各项工作全面推进。2023年我局主要工作及成效：</w:t>
      </w:r>
    </w:p>
    <w:p w14:paraId="4ED9B87C">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（一）优服务，促提升，护航高质量发展</w:t>
      </w:r>
    </w:p>
    <w:p w14:paraId="1DB07C9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持续深化商事制度改革。结合县情实际，迅速推进经营主体培育工作，持续提升市场主体开办便利化水平，全面推行证明事项和涉企经营许可事项告知承诺，降低企业制度性交易成本，破解企业“准入不准营”问题。岳阳县市场主体净增5171户(其中企业净增2969户，个体户净增2202户），完成绩效考核目标任务的147.74%，全市排名第1；个转企完成率为119.09%。</w:t>
      </w:r>
    </w:p>
    <w:p w14:paraId="342791FC">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深入实施知识产权战略。指导湖南连心科技有限公司、湖南省科伦制药有限公司成功申报国家级知识产权密集型企业，引导湖南湘商智能科技有限公司成功申报省级知识产权密集型企业，并获省级财政项目资金支持。办理商标侵权案件4件，知识产权调解案2起，国家局交办恶意申请商标案1起，知识产权行政保护信息统计分析和报送系统案件信息录入率100%。积极推动“入园惠企”知识产权质押融资，帮助连心科技有限公司有效解决了企业融资渠道单一困扰。</w:t>
      </w:r>
    </w:p>
    <w:p w14:paraId="1D409978">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是全面推进质量强县工作。以质量提升、品牌培育、知识产权创造与运用、标准制定为切入点，高标准建成质量基础设施“一站式”服务平台，打通质量工作链堵点，满足企业多样化需求，助推产业高质量发展。大力推进产品合格证制度，县域范围内共有30家企业全面落实规范合格证。建设“首席质量官”制度，对岳阳市科兴防水材料有限公司等8家市场主体开展质量技术帮扶活动，制定“一企一案”解决方案，帮助企业“提质强企”。抓实民生计量服务，为全县企事业单位高质量发展做好计量技术保障，开展为企业送技术帮扶活动5次，检定校准计量器具2940台件。</w:t>
      </w:r>
    </w:p>
    <w:p w14:paraId="277FB07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四是深化“个体工商户服务月”活动。积极发挥个私协指导服务作用，围绕重点行业领域，深入开展“个体工商户服务月”“问情服务”等活动，走访个体、私营企业200余家，解决问题31个，开展法律维权服务13人次。</w:t>
      </w:r>
    </w:p>
    <w:p w14:paraId="2ADCB43A">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（二）守底线，保安全，筑牢全面发展根基</w:t>
      </w:r>
    </w:p>
    <w:p w14:paraId="7443C6D1">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守牢食品安全底线。在全省层面首创以政府为首，部门责任落实，企业践行主责，属地贯彻为主的食品安全“两个责任”工作机制，构建了党政同责、企业主责、部门监管、行业主管、社会共治“五位一体”的食品安全责任体系。牵头组织开展食品安全“年关守护”“守查保”“制止餐饮浪费”等系列专项整治行动，共检查生产经营主体3500余家，发现风险隐患40余例，安全隐患整改100%。县领导带头督导包保企业，各级包保干部逐人签订《食品安全责任与任务承诺书》，包保督导、问题整改、承诺书上传实现三个100%。组织开展现场宣传活动12场次，开办培训班6期，培训食品行业从业人员2380人次，培训食品安全监管人员312人次，有力保障了全县食品安全。</w:t>
      </w:r>
    </w:p>
    <w:p w14:paraId="2EDA051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守牢药械安全底线。率先开展省级药品安全示范县创建工作，在征求各相关单位意见后，组织召开创建动员大会，印发《岳阳县开展药品安全示范县创建活动实施方案》，投入1100余万元，扎实做好药品相关民生工作，为全县716家涉药单位全部配齐阴凉柜。定期实施药械日常巡查，着力规范零售药店、诊所、医疗机构等药品医疗器械购进渠道及质量管理，共出动执法人员2219人次，下达《责令改正通知书》69份，立案80起，办理了我县公田镇某村级卫生室非法购进精麻药品案等典型案例。组织药品安全协管员和乡村医师进行业务培训，为监管对象建立清晰明了的档案台账，以网格化的形式将责任具体分解到人，夯实工作责任。自主研发药品安全智慧监管平台，实现药品购、销、存全过程智慧监管和靶向预警，截至目前，岳阳县已有112家药品经营企业接入摄像头，57家药品经营企业监管信息接入平台，实现信息化管理覆盖。药品安全智慧监管平台现已得到省局的高度重视，拟将其作为典型经验向国家总局进行推荐，并于明年在全省进行推广应用。</w:t>
      </w:r>
    </w:p>
    <w:p w14:paraId="2C9BE3F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是守牢特种设备安全底线。聚焦重点时段，狠抓“春节”“国庆”“两会”等期间的风险管控和隐患排查整治，共检查特种设备使用单位341家，下达《特种设备安全监察指令书》97份，发现并责令整改到位安全隐患685处，实行闭环管理，消除安全隐患；完成特种设备定期检验共计1811台，定期检验率达100%。聚焦重点领域，深入开展压力容器、电梯、场内机动车辆、大型游乐设施等重点特种设备执法监督检查，强化安全隐患排查治理，全面压实企业安全生产主体责任。坚持依法依规整合液化气站点，将全县24家液化石油气经营企业优化整合为4个充装站、20个瓶装燃气销售网点，将全县燃气供应优化为四个片区。开展电梯安全进小区活动，向群众宣贯电梯使用知识，指导业主正确应对处置电梯相关问题。</w:t>
      </w:r>
    </w:p>
    <w:p w14:paraId="5BD3251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四是守牢工业产品质量安全底线。全面实施风险排查，先后开展道路交通问题顽瘴痼疾、燃气灶具、儿童用品、消防产品等专项监督检查。定期开展风险监测，制定我县2023年重点工业产品质量监督抽查计划，根据省市局工作安排开展了农资、学生用品、成品油、粗芳樟液等专项整治和产品质量抽样检验，共计完成111批次，合格率为96.39%。</w:t>
      </w:r>
    </w:p>
    <w:p w14:paraId="2DD7FB8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（三）强监管、严执法，推动营商环境优化</w:t>
      </w:r>
    </w:p>
    <w:p w14:paraId="6B2C580B">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价格与反不正当竞争监管深入实施。组织开展学校、医疗服务、政府及下属部门涉企收费、粮食购销和物业管理领域收费专项检查，查处学校违规收取服务性费用4起，医疗服务超标准或重复收费2起，物业违规收费1起等，切实维护消费者合法权益。开展医疗领域不正当竞争专项检查，严肃查处假借医疗设备投放、租赁、捐赠的名义捆绑耗材和配套设备销售等商业贿赂不正当竞争行为，检查医疗机构6家，发现线索2起，罚没11.4万元。</w:t>
      </w:r>
    </w:p>
    <w:p w14:paraId="3C498A1A">
      <w:pPr>
        <w:spacing w:line="560" w:lineRule="exact"/>
        <w:ind w:firstLine="640" w:firstLineChars="200"/>
        <w:rPr>
          <w:rFonts w:ascii="仿宋" w:hAnsi="仿宋" w:eastAsia="仿宋" w:cs="仿宋_GB2312"/>
          <w:sz w:val="32"/>
          <w:szCs w:val="32"/>
          <w:lang w:eastAsia="zh-CN"/>
        </w:rPr>
      </w:pPr>
      <w:r>
        <w:rPr>
          <w:rFonts w:ascii="仿宋" w:hAnsi="仿宋" w:eastAsia="仿宋" w:cs="仿宋_GB2312"/>
          <w:sz w:val="32"/>
          <w:szCs w:val="32"/>
          <w:lang w:eastAsia="zh-CN"/>
        </w:rPr>
        <w:t>二是广告监管持续加强。扎实开展广告监管工作，充分发挥广告监管职能作用，以日常监测为基础，以专项整治为手段，指导广告经营者规范广告宣传内容30余条次，发放宣传资料1300余份，查处广告违法案件</w:t>
      </w:r>
      <w:r>
        <w:rPr>
          <w:rFonts w:hint="eastAsia" w:ascii="仿宋" w:hAnsi="仿宋" w:eastAsia="仿宋" w:cs="仿宋_GB2312"/>
          <w:sz w:val="32"/>
          <w:szCs w:val="32"/>
          <w:lang w:eastAsia="zh-CN"/>
        </w:rPr>
        <w:t>6</w:t>
      </w:r>
      <w:r>
        <w:rPr>
          <w:rFonts w:ascii="仿宋" w:hAnsi="仿宋" w:eastAsia="仿宋" w:cs="仿宋_GB2312"/>
          <w:sz w:val="32"/>
          <w:szCs w:val="32"/>
          <w:lang w:eastAsia="zh-CN"/>
        </w:rPr>
        <w:t>起，积极营造健康发展的广告市场秩序</w:t>
      </w:r>
      <w:r>
        <w:rPr>
          <w:rFonts w:hint="eastAsia" w:ascii="仿宋" w:hAnsi="仿宋" w:eastAsia="仿宋" w:cs="仿宋_GB2312"/>
          <w:sz w:val="32"/>
          <w:szCs w:val="32"/>
          <w:lang w:eastAsia="zh-CN"/>
        </w:rPr>
        <w:t>。</w:t>
      </w:r>
    </w:p>
    <w:p w14:paraId="01AFE3C4">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三是综合执法严格有力。全面落实行政执法“三项制度”， 严格落实行政执法责任制，切实规范执法行为，以食品、药品、特种设备等民生关注热点为重点，严厉打击制假售假、无证无照经营等行为，共办结案件505件，罚没569.06万元，办理了李某涉嫌未取得资质认可擅自从事报废机动车回收拆解活动和使用未经检验的特种设备的违法行为案等10起罚没金额超过10万元的大案要案。实施“柔性执法”，强调处罚与教育相结合，全年办理不予罚款案件12起，推进包容审慎监管。</w:t>
      </w:r>
    </w:p>
    <w:p w14:paraId="0346C16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四是消保维权成效明显。采用线上线下相结合的模式，围绕“提振消费信心”年主题，开展3·15国际消费者权益日系列活动，通过执法人员现场讲解相关法律法规、传授识假辨假知识及发放资料等方式，解答群众关心的热点、焦点问题，切实提高群众自我防范意识。结合消费咨询、投诉难点等，先后发布《未成年人私自购买手机能退货吗？》等消费提示、警示4条。畅通投诉举报渠道，共受理消费者投诉举报8071件，其中12345政府热线2891件，案件受理率和办结率均为100%，直接为消费者挽回经济损失200万余元。</w:t>
      </w:r>
    </w:p>
    <w:p w14:paraId="4ECC342C">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五是信用监管稳步推进。2023年市场监管领域“双随机、一公开”制定或接收抽查任务数202项，其中跨部门联合计划83项，已录入并公示检查结果1430个，公示率100%。大力宣传市场主体自主年报,在确保年报率的同时,重点抓年报质量提升,让年报不流于形式，今年我县需年报企业数9931户，已报送公示9601户，年报率96.71%。扎实推进信用修复监管工作，对申请资料齐全、依法补报年度报告并公示的市场主体，予以依规受理，对于不符合移出经营异常名录的市场主体，详细告知原因。截至目前，开展实地核查156户，移出企业经营异常名录121户，恢复个体户正常记载状态2139户。</w:t>
      </w:r>
    </w:p>
    <w:p w14:paraId="00E9006C">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（四）树宗旨、顾大局，高效落实中心工作</w:t>
      </w:r>
    </w:p>
    <w:p w14:paraId="7F6F221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一是扎实开展创文创卫工作。对照创建标准，深入开展主管行业问题大排查大整治，为我县巩固国家卫生城市复审和文明城市创建贡献市场监管力量。</w:t>
      </w:r>
    </w:p>
    <w:p w14:paraId="4CE8F139">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用心用情助力乡村振兴。我局共派出驻村工作队4人，15名干部结对帮扶37户。今年，我局结合实际，在联系村积极推进巩固脱贫攻坚与乡村振兴有效衔接，进一步压实帮扶（联系）干部责任。组织干部职工消费扶贫4次，购买大米、葡萄等农产品。此外，在招商引资、信访维稳、经营性自建房整治、未成年人保护等方面，积极发挥作用，推动工作落实。</w:t>
      </w:r>
    </w:p>
    <w:p w14:paraId="22F6DDB6">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（五）抓党建、强规范，凝聚市场监管合力</w:t>
      </w:r>
    </w:p>
    <w:p w14:paraId="5E2D0E8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抓实政治理论学习。依托党组理论学习中心组集中学习、党支部“三会一课”、干部职工大会等载体，充分利用学习强国、市场监管网络学院等平台，深入学习习近平新时代中国特色社会主义思想和市场监管工作的重要论述和指示批示精神，进一步提高了党员干部职工的政治素质和业务工作水平。</w:t>
      </w:r>
    </w:p>
    <w:p w14:paraId="2BF55FE2">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二是抓实主题党日活动。以“一月一课一片一实践”主题党日活动为抓手，组织党员干部参加无偿献血、红色教育等活动，深入开展 “献一策、办一事、解一难”活动。</w:t>
      </w:r>
    </w:p>
    <w:p w14:paraId="34E76E06">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是抓实意识形态主体责任。把意识形态工作纳入党支部书记述职和党员教育培训内容，在互联网上传递政策信息，发布工作动态，引领全局党员干部正确发声，集聚正能量，截至目前，在市级以上媒体累计发布新闻信息230余篇。</w:t>
      </w:r>
    </w:p>
    <w:p w14:paraId="0107D44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四是抓实党风廉政建设。以县委优化营商环境“八个严禁”为契机，结合市场监管系统行风建设三年攻坚专项行动，根据廉政风险防控工作要求，我局对照岗位职责，围绕关键岗位、关键环节，梳理廉政风险点62条。开展工作纪律、作风督查6次，通报29人次，进一步提高了干部职工遵纪守法意识。</w:t>
      </w:r>
    </w:p>
    <w:p w14:paraId="6379709F">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五是开展“清廉市监”创建。开展十种“机关文化怪现象”、不清不廉“八种病症”专项整治行动及廉政文化“六进”，不断完善《岳阳县市场监督管理局行政执法行为规范》等27项制度，持续推进清廉单元、“清廉市监”建设，进一步规范权力运行。</w:t>
      </w:r>
    </w:p>
    <w:p w14:paraId="62FE7226">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六是抓实市场监管队伍建设。组织全局开展食品生产、产品质量、市场监管法律法规等业务培训18次，累计培训860余人次；推动市场监管所标准化规范化建设，2023年我县新墙市场监管所申报创建国家级四星市场监管所。</w:t>
      </w:r>
    </w:p>
    <w:p w14:paraId="331A9DFE">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七、存在的问题及原因分析</w:t>
      </w:r>
    </w:p>
    <w:p w14:paraId="04B3C4A5">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一是市场监管力量与监管业务不相匹配，市场监管量大、线长、面广，涉及法律法规较多，在人员配备、执法装备、经费保障及业务培训等方面有待进一步提升。</w:t>
      </w:r>
    </w:p>
    <w:p w14:paraId="3FFF038C">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二是项目绩效指标编制不够精细合理。在部门整体绩效申报时绩效目标的设置质量不高、绩效目标分解不清晰，绩效指标对项目的一些重要工作领域设置还可以更具体、细化、量化。</w:t>
      </w:r>
    </w:p>
    <w:p w14:paraId="5B400F5E">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三是财务工作水平还需不断提高；财务管理工作水平有待进一步加强；会计基础工作不够完善。</w:t>
      </w:r>
    </w:p>
    <w:p w14:paraId="1D954162">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八、下一步改进措施</w:t>
      </w:r>
    </w:p>
    <w:p w14:paraId="428AEF21">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1、进一步加强整体和项目支出的预算管理，增强财务预算执行情况的控制分析。</w:t>
      </w:r>
    </w:p>
    <w:p w14:paraId="699B3097">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完善项目管理制度，规范项目执行。各项目管理科室贯彻落实好预算绩效"全过程"的管理要求，从项目资金预算安排、项目资金使用及项目资金绩效评价三个方面，结合科室职能、业务性质及特点，完善项目管理制度，建立规范的事前、事中、事后等全过程项目管理机制，加强对项目申报、实施、进度监控、验收、资料归档整理及事后绩效评价的管理。</w:t>
      </w:r>
    </w:p>
    <w:p w14:paraId="12E2104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3、进一步加强会计基础核算工作和财务日常监督工作，严格执行国家财经纪律，保证财务工作的真实、完整，维护全局整体利益。</w:t>
      </w:r>
    </w:p>
    <w:p w14:paraId="634F4037">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九、部门整体支出绩效自评结果拟应用和公开情况</w:t>
      </w:r>
    </w:p>
    <w:p w14:paraId="61656CF3">
      <w:pPr>
        <w:spacing w:line="560" w:lineRule="exact"/>
        <w:ind w:firstLine="640" w:firstLineChars="200"/>
        <w:rPr>
          <w:rFonts w:ascii="仿宋" w:hAnsi="仿宋" w:eastAsia="仿宋" w:cs="仿宋_GB2312"/>
          <w:sz w:val="32"/>
          <w:szCs w:val="32"/>
          <w:lang w:eastAsia="zh-CN"/>
        </w:rPr>
      </w:pPr>
      <w:r>
        <w:rPr>
          <w:rFonts w:hint="eastAsia" w:ascii="仿宋" w:hAnsi="仿宋" w:eastAsia="仿宋" w:cs="仿宋_GB2312"/>
          <w:sz w:val="32"/>
          <w:szCs w:val="32"/>
          <w:lang w:eastAsia="zh-CN"/>
        </w:rPr>
        <w:t>2023年度部门整体支出绩效评价指标评分97分，资金使用和效果达到了预期的经济、环境和社会效益。完成自评后我单位将及时通报自评结果，认真分析评价结果所反映的问题，我单位将不断细化绩效评价指标，提高资金使用效益，制定改进和提高工作的措施，将绩效评价结果作为编制以后年度预算的重要依据。并根据县财政部门关于部门绩效自评工作通知的要求，于2024年7月15日在单位门户网站上公开，接受社会监督。</w:t>
      </w:r>
    </w:p>
    <w:p w14:paraId="13827E5E">
      <w:pPr>
        <w:spacing w:line="560" w:lineRule="exact"/>
        <w:rPr>
          <w:rFonts w:ascii="仿宋" w:hAnsi="仿宋" w:eastAsia="仿宋" w:cs="仿宋_GB2312"/>
          <w:sz w:val="32"/>
          <w:szCs w:val="32"/>
          <w:lang w:eastAsia="zh-CN"/>
        </w:rPr>
      </w:pPr>
      <w:r>
        <w:rPr>
          <w:rFonts w:hint="eastAsia" w:ascii="仿宋" w:hAnsi="仿宋" w:eastAsia="仿宋" w:cs="仿宋_GB2312"/>
          <w:sz w:val="32"/>
          <w:szCs w:val="32"/>
          <w:lang w:eastAsia="zh-CN"/>
        </w:rPr>
        <w:t>十、其他需要说明的情况</w:t>
      </w:r>
    </w:p>
    <w:p w14:paraId="13568063">
      <w:pPr>
        <w:spacing w:line="560" w:lineRule="exact"/>
        <w:ind w:firstLine="480" w:firstLineChars="150"/>
        <w:rPr>
          <w:rFonts w:ascii="仿宋" w:hAnsi="仿宋" w:eastAsia="仿宋" w:cs="仿宋_GB2312"/>
          <w:sz w:val="32"/>
          <w:szCs w:val="32"/>
          <w:lang w:eastAsia="zh-CN"/>
        </w:rPr>
      </w:pPr>
      <w:r>
        <w:rPr>
          <w:rFonts w:hint="eastAsia" w:ascii="仿宋" w:hAnsi="仿宋" w:eastAsia="仿宋" w:cs="仿宋_GB2312"/>
          <w:sz w:val="32"/>
          <w:szCs w:val="32"/>
          <w:lang w:eastAsia="zh-CN"/>
        </w:rPr>
        <w:t>建议一到二年组织一次整体及项目资金绩效评价的专业知识讲座和培训，让大家深入学习与绩效评价相关的知识。</w:t>
      </w:r>
    </w:p>
    <w:p w14:paraId="6A767EA1">
      <w:pPr>
        <w:ind w:left="210" w:firstLine="420"/>
        <w:rPr>
          <w:rFonts w:ascii="仿宋" w:hAnsi="仿宋" w:eastAsia="仿宋"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0MWNlOTUzOTJhMzM5ZmY3M2Q1YWQ0NjdkYjdmZTkifQ=="/>
  </w:docVars>
  <w:rsids>
    <w:rsidRoot w:val="00BF6DED"/>
    <w:rsid w:val="000234F7"/>
    <w:rsid w:val="00033CDB"/>
    <w:rsid w:val="00043A54"/>
    <w:rsid w:val="00062C0C"/>
    <w:rsid w:val="00072951"/>
    <w:rsid w:val="00202923"/>
    <w:rsid w:val="002D43A0"/>
    <w:rsid w:val="00301DBE"/>
    <w:rsid w:val="003A3AB0"/>
    <w:rsid w:val="003D2FA6"/>
    <w:rsid w:val="00415953"/>
    <w:rsid w:val="004A1A28"/>
    <w:rsid w:val="004C0961"/>
    <w:rsid w:val="004F4B44"/>
    <w:rsid w:val="005360BD"/>
    <w:rsid w:val="00543659"/>
    <w:rsid w:val="005565AD"/>
    <w:rsid w:val="005615AB"/>
    <w:rsid w:val="005C3EF4"/>
    <w:rsid w:val="00642C44"/>
    <w:rsid w:val="00645F95"/>
    <w:rsid w:val="00653619"/>
    <w:rsid w:val="006E3B59"/>
    <w:rsid w:val="006E6F7F"/>
    <w:rsid w:val="006F4810"/>
    <w:rsid w:val="00752164"/>
    <w:rsid w:val="0080758B"/>
    <w:rsid w:val="008918EE"/>
    <w:rsid w:val="008B152C"/>
    <w:rsid w:val="00910C14"/>
    <w:rsid w:val="00997D1D"/>
    <w:rsid w:val="009A3DC4"/>
    <w:rsid w:val="009E5ED4"/>
    <w:rsid w:val="009E676B"/>
    <w:rsid w:val="009F1215"/>
    <w:rsid w:val="009F2D97"/>
    <w:rsid w:val="00A00021"/>
    <w:rsid w:val="00A27E83"/>
    <w:rsid w:val="00AF7973"/>
    <w:rsid w:val="00B23EA6"/>
    <w:rsid w:val="00B46F1E"/>
    <w:rsid w:val="00B93C24"/>
    <w:rsid w:val="00BA1EE3"/>
    <w:rsid w:val="00BA7F17"/>
    <w:rsid w:val="00BF6DED"/>
    <w:rsid w:val="00CD71E3"/>
    <w:rsid w:val="00CE07E4"/>
    <w:rsid w:val="00CF0E9D"/>
    <w:rsid w:val="00CF1E53"/>
    <w:rsid w:val="00D270EC"/>
    <w:rsid w:val="00D3055A"/>
    <w:rsid w:val="00D6060E"/>
    <w:rsid w:val="00D73A26"/>
    <w:rsid w:val="00DC4411"/>
    <w:rsid w:val="00DC7802"/>
    <w:rsid w:val="00E96C99"/>
    <w:rsid w:val="00E973E0"/>
    <w:rsid w:val="00EC2D2E"/>
    <w:rsid w:val="00F44A1D"/>
    <w:rsid w:val="00F630D3"/>
    <w:rsid w:val="00F70CCD"/>
    <w:rsid w:val="00FD6DE4"/>
    <w:rsid w:val="547D3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autoRedefine/>
    <w:semiHidden/>
    <w:qFormat/>
    <w:uiPriority w:val="0"/>
    <w:pPr>
      <w:spacing w:before="20" w:line="222" w:lineRule="auto"/>
    </w:pPr>
    <w:rPr>
      <w:rFonts w:ascii="仿宋" w:hAnsi="仿宋" w:eastAsia="仿宋" w:cs="仿宋"/>
      <w:sz w:val="35"/>
      <w:szCs w:val="35"/>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semiHidden/>
    <w:uiPriority w:val="0"/>
    <w:rPr>
      <w:rFonts w:ascii="仿宋" w:hAnsi="仿宋" w:eastAsia="仿宋" w:cs="仿宋"/>
      <w:snapToGrid w:val="0"/>
      <w:color w:val="000000"/>
      <w:kern w:val="0"/>
      <w:sz w:val="35"/>
      <w:szCs w:val="35"/>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8623</Words>
  <Characters>8955</Characters>
  <Lines>64</Lines>
  <Paragraphs>18</Paragraphs>
  <TotalTime>376</TotalTime>
  <ScaleCrop>false</ScaleCrop>
  <LinksUpToDate>false</LinksUpToDate>
  <CharactersWithSpaces>8967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2024-06-20T02:40:00Z</dcterms:created>
  <dc:creator>AutoBVT</dc:creator>
  <cp:lastModifiedBy>Administrator</cp:lastModifiedBy>
  <cp:lastPrinted>2024-06-27T07:24:00Z</cp:lastPrinted>
  <dcterms:modified xsi:type="dcterms:W3CDTF">2024-07-18T00:59:11Z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B3611718B947408E94DDF46E7D177612_12</vt:lpwstr>
  </property>
</Properties>
</file>