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D3D78">
      <w:pPr>
        <w:pStyle w:val="13"/>
        <w:jc w:val="center"/>
        <w:rPr>
          <w:rFonts w:hint="eastAsia" w:ascii="微软雅黑" w:hAnsi="微软雅黑" w:eastAsia="微软雅黑" w:cs="微软雅黑"/>
          <w:sz w:val="56"/>
          <w:szCs w:val="56"/>
        </w:rPr>
      </w:pPr>
    </w:p>
    <w:p w14:paraId="21A98AAC">
      <w:pPr>
        <w:pStyle w:val="13"/>
        <w:jc w:val="center"/>
        <w:rPr>
          <w:rFonts w:hint="eastAsia" w:ascii="微软雅黑" w:hAnsi="微软雅黑" w:eastAsia="微软雅黑" w:cs="微软雅黑"/>
          <w:sz w:val="56"/>
          <w:szCs w:val="56"/>
        </w:rPr>
      </w:pPr>
    </w:p>
    <w:p w14:paraId="5E724336">
      <w:pPr>
        <w:pStyle w:val="13"/>
        <w:jc w:val="center"/>
        <w:rPr>
          <w:rFonts w:hint="eastAsia" w:ascii="微软雅黑" w:hAnsi="微软雅黑" w:eastAsia="微软雅黑" w:cs="微软雅黑"/>
          <w:sz w:val="84"/>
          <w:szCs w:val="84"/>
        </w:rPr>
      </w:pPr>
    </w:p>
    <w:p w14:paraId="0974160F">
      <w:pPr>
        <w:pStyle w:val="13"/>
        <w:jc w:val="center"/>
        <w:rPr>
          <w:rFonts w:hint="eastAsia" w:ascii="微软雅黑" w:hAnsi="微软雅黑" w:eastAsia="微软雅黑" w:cs="微软雅黑"/>
          <w:sz w:val="84"/>
          <w:szCs w:val="84"/>
        </w:rPr>
      </w:pPr>
    </w:p>
    <w:p w14:paraId="4E4584AD">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638AF07C">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岳阳县旅游开发中心</w:t>
      </w:r>
      <w:r>
        <w:rPr>
          <w:rFonts w:ascii="微软雅黑" w:hAnsi="微软雅黑" w:eastAsia="微软雅黑" w:cs="微软雅黑"/>
          <w:b/>
          <w:sz w:val="84"/>
        </w:rPr>
        <w:t>部门（单位）部门决算</w:t>
      </w:r>
    </w:p>
    <w:p w14:paraId="03A64F0B">
      <w:pPr>
        <w:pStyle w:val="13"/>
        <w:jc w:val="center"/>
        <w:rPr>
          <w:rFonts w:hint="eastAsia" w:ascii="微软雅黑" w:hAnsi="微软雅黑" w:eastAsia="微软雅黑" w:cs="微软雅黑"/>
          <w:sz w:val="84"/>
          <w:szCs w:val="84"/>
        </w:rPr>
      </w:pPr>
    </w:p>
    <w:p w14:paraId="7DCA92F2">
      <w:pPr>
        <w:pStyle w:val="13"/>
        <w:jc w:val="center"/>
        <w:rPr>
          <w:rFonts w:hint="eastAsia" w:ascii="微软雅黑" w:hAnsi="微软雅黑" w:eastAsia="微软雅黑" w:cs="微软雅黑"/>
          <w:sz w:val="84"/>
          <w:szCs w:val="84"/>
        </w:rPr>
      </w:pPr>
    </w:p>
    <w:p w14:paraId="1009671B">
      <w:pPr>
        <w:pStyle w:val="13"/>
        <w:jc w:val="center"/>
        <w:rPr>
          <w:rFonts w:hint="eastAsia" w:ascii="微软雅黑" w:hAnsi="微软雅黑" w:eastAsia="微软雅黑" w:cs="微软雅黑"/>
          <w:sz w:val="84"/>
          <w:szCs w:val="84"/>
        </w:rPr>
      </w:pPr>
    </w:p>
    <w:p w14:paraId="2889903C">
      <w:pPr>
        <w:bidi w:val="0"/>
        <w:rPr>
          <w:rFonts w:hint="eastAsia" w:ascii="微软雅黑" w:hAnsi="微软雅黑" w:eastAsia="微软雅黑" w:cs="微软雅黑"/>
        </w:rPr>
      </w:pPr>
    </w:p>
    <w:p w14:paraId="2C1FB267">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4B9A910A">
      <w:pPr>
        <w:pStyle w:val="13"/>
        <w:spacing w:line="500" w:lineRule="exact"/>
        <w:jc w:val="center"/>
        <w:rPr>
          <w:rFonts w:hint="eastAsia" w:ascii="微软雅黑" w:hAnsi="微软雅黑" w:eastAsia="微软雅黑" w:cs="微软雅黑"/>
          <w:b/>
          <w:sz w:val="36"/>
          <w:szCs w:val="28"/>
        </w:rPr>
      </w:pPr>
    </w:p>
    <w:p w14:paraId="5F2EB809">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岳阳县旅游开发中心</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14:paraId="2E7FE38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0AAEB3E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310E7AEC">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04F85D7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2E3A072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16A9B98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1D87188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1C69A8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59D7734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7EF67D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470F12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40461D2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5C1C4916">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3E8A4FB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2626B5B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01E0AE7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55C6E5F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BCDAC7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21486A3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37FF024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727EB77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5B6C364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797471A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3BBABB0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2A35E42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65FBAD0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7568298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5D9FAA3C">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70264C3F">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51F3AAC5">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24D3D6BD">
      <w:pPr>
        <w:jc w:val="center"/>
        <w:rPr>
          <w:rFonts w:hint="eastAsia" w:ascii="微软雅黑" w:hAnsi="微软雅黑" w:eastAsia="微软雅黑" w:cs="微软雅黑"/>
          <w:sz w:val="72"/>
          <w:szCs w:val="72"/>
        </w:rPr>
      </w:pPr>
    </w:p>
    <w:p w14:paraId="0B8D9444">
      <w:pPr>
        <w:jc w:val="center"/>
        <w:rPr>
          <w:rFonts w:hint="eastAsia" w:ascii="微软雅黑" w:hAnsi="微软雅黑" w:eastAsia="微软雅黑" w:cs="微软雅黑"/>
          <w:sz w:val="72"/>
          <w:szCs w:val="72"/>
        </w:rPr>
      </w:pPr>
    </w:p>
    <w:p w14:paraId="017F864D">
      <w:pPr>
        <w:jc w:val="center"/>
        <w:rPr>
          <w:rFonts w:hint="eastAsia" w:ascii="微软雅黑" w:hAnsi="微软雅黑" w:eastAsia="微软雅黑" w:cs="微软雅黑"/>
          <w:sz w:val="72"/>
          <w:szCs w:val="72"/>
        </w:rPr>
      </w:pPr>
    </w:p>
    <w:p w14:paraId="1A9649A9">
      <w:pPr>
        <w:jc w:val="center"/>
        <w:rPr>
          <w:rFonts w:hint="eastAsia" w:ascii="微软雅黑" w:hAnsi="微软雅黑" w:eastAsia="微软雅黑" w:cs="微软雅黑"/>
          <w:sz w:val="72"/>
          <w:szCs w:val="72"/>
        </w:rPr>
      </w:pPr>
    </w:p>
    <w:p w14:paraId="3AFE9066">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4FFB6401">
      <w:pPr>
        <w:pStyle w:val="13"/>
        <w:jc w:val="center"/>
        <w:rPr>
          <w:rFonts w:hint="eastAsia" w:ascii="微软雅黑" w:hAnsi="微软雅黑" w:eastAsia="微软雅黑" w:cs="微软雅黑"/>
          <w:b/>
          <w:bCs/>
          <w:sz w:val="84"/>
          <w:szCs w:val="84"/>
        </w:rPr>
      </w:pPr>
    </w:p>
    <w:p w14:paraId="59741CBE">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岳阳县旅游开发中心</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14:paraId="403E90B0">
      <w:pPr>
        <w:jc w:val="center"/>
        <w:rPr>
          <w:rFonts w:hint="eastAsia" w:ascii="微软雅黑" w:hAnsi="微软雅黑" w:eastAsia="微软雅黑" w:cs="微软雅黑"/>
          <w:sz w:val="72"/>
          <w:szCs w:val="72"/>
        </w:rPr>
      </w:pPr>
    </w:p>
    <w:p w14:paraId="24B12BEB">
      <w:pPr>
        <w:jc w:val="center"/>
        <w:rPr>
          <w:rFonts w:hint="eastAsia" w:ascii="微软雅黑" w:hAnsi="微软雅黑" w:eastAsia="微软雅黑" w:cs="微软雅黑"/>
          <w:sz w:val="72"/>
          <w:szCs w:val="72"/>
        </w:rPr>
      </w:pPr>
    </w:p>
    <w:p w14:paraId="7D7EDB84">
      <w:pPr>
        <w:jc w:val="center"/>
        <w:rPr>
          <w:rFonts w:hint="eastAsia" w:ascii="微软雅黑" w:hAnsi="微软雅黑" w:eastAsia="微软雅黑" w:cs="微软雅黑"/>
          <w:sz w:val="72"/>
          <w:szCs w:val="72"/>
        </w:rPr>
      </w:pPr>
    </w:p>
    <w:p w14:paraId="2909D358">
      <w:pPr>
        <w:jc w:val="center"/>
        <w:rPr>
          <w:rFonts w:hint="eastAsia" w:ascii="微软雅黑" w:hAnsi="微软雅黑" w:eastAsia="微软雅黑" w:cs="微软雅黑"/>
          <w:sz w:val="72"/>
          <w:szCs w:val="72"/>
        </w:rPr>
      </w:pPr>
    </w:p>
    <w:p w14:paraId="646E6254">
      <w:pPr>
        <w:jc w:val="center"/>
        <w:rPr>
          <w:rFonts w:hint="eastAsia" w:ascii="微软雅黑" w:hAnsi="微软雅黑" w:eastAsia="微软雅黑" w:cs="微软雅黑"/>
          <w:sz w:val="72"/>
          <w:szCs w:val="72"/>
        </w:rPr>
      </w:pPr>
    </w:p>
    <w:p w14:paraId="33AD7EF6">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5B3F4BD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lang w:eastAsia="zh-CN"/>
        </w:rPr>
        <w:t>（一）</w:t>
      </w:r>
      <w:r>
        <w:rPr>
          <w:rFonts w:hint="eastAsia" w:ascii="微软雅黑" w:hAnsi="微软雅黑" w:eastAsia="微软雅黑" w:cs="微软雅黑"/>
          <w:bCs/>
          <w:kern w:val="0"/>
          <w:sz w:val="32"/>
          <w:szCs w:val="32"/>
        </w:rPr>
        <w:t>负责指导全县旅游资源合理开发与利用；</w:t>
      </w:r>
    </w:p>
    <w:p w14:paraId="0730154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lang w:eastAsia="zh-CN"/>
        </w:rPr>
        <w:t>（二）</w:t>
      </w:r>
      <w:r>
        <w:rPr>
          <w:rFonts w:hint="eastAsia" w:ascii="微软雅黑" w:hAnsi="微软雅黑" w:eastAsia="微软雅黑" w:cs="微软雅黑"/>
          <w:bCs/>
          <w:kern w:val="0"/>
          <w:sz w:val="32"/>
          <w:szCs w:val="32"/>
        </w:rPr>
        <w:t>指导全县旅游产品开发；</w:t>
      </w:r>
    </w:p>
    <w:p w14:paraId="37ECDD6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lang w:eastAsia="zh-CN"/>
        </w:rPr>
        <w:t>（三）</w:t>
      </w:r>
      <w:r>
        <w:rPr>
          <w:rFonts w:hint="eastAsia" w:ascii="微软雅黑" w:hAnsi="微软雅黑" w:eastAsia="微软雅黑" w:cs="微软雅黑"/>
          <w:bCs/>
          <w:kern w:val="0"/>
          <w:sz w:val="32"/>
          <w:szCs w:val="32"/>
        </w:rPr>
        <w:t>负责培训和完善旅游市场，开拓国际国内市场；</w:t>
      </w:r>
    </w:p>
    <w:p w14:paraId="7398B3E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lang w:eastAsia="zh-CN"/>
        </w:rPr>
        <w:t>（四）</w:t>
      </w:r>
      <w:r>
        <w:rPr>
          <w:rFonts w:hint="eastAsia" w:ascii="微软雅黑" w:hAnsi="微软雅黑" w:eastAsia="微软雅黑" w:cs="微软雅黑"/>
          <w:bCs/>
          <w:kern w:val="0"/>
          <w:sz w:val="32"/>
          <w:szCs w:val="32"/>
        </w:rPr>
        <w:t>负责指导旅游教育、培训；</w:t>
      </w:r>
    </w:p>
    <w:p w14:paraId="7E7F1AA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lang w:eastAsia="zh-CN"/>
        </w:rPr>
        <w:t>（五）</w:t>
      </w:r>
      <w:r>
        <w:rPr>
          <w:rFonts w:hint="eastAsia" w:ascii="微软雅黑" w:hAnsi="微软雅黑" w:eastAsia="微软雅黑" w:cs="微软雅黑"/>
          <w:bCs/>
          <w:kern w:val="0"/>
          <w:sz w:val="32"/>
          <w:szCs w:val="32"/>
        </w:rPr>
        <w:t xml:space="preserve">负责全县旅游统计和行业信息发布等。 </w:t>
      </w:r>
    </w:p>
    <w:p w14:paraId="6DAE40B4">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20D971D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bCs/>
          <w:kern w:val="0"/>
          <w:sz w:val="32"/>
          <w:szCs w:val="32"/>
          <w:lang w:val="en-US" w:eastAsia="zh-CN"/>
        </w:rPr>
      </w:pPr>
      <w:r>
        <w:rPr>
          <w:rFonts w:hint="eastAsia" w:ascii="微软雅黑" w:hAnsi="微软雅黑" w:eastAsia="微软雅黑" w:cs="微软雅黑"/>
          <w:bCs/>
          <w:kern w:val="0"/>
          <w:sz w:val="32"/>
          <w:szCs w:val="32"/>
        </w:rPr>
        <w:t>（一）内设机构设置。</w:t>
      </w:r>
      <w:r>
        <w:rPr>
          <w:rFonts w:hint="eastAsia" w:ascii="微软雅黑" w:hAnsi="微软雅黑" w:eastAsia="微软雅黑" w:cs="微软雅黑"/>
          <w:sz w:val="32"/>
        </w:rPr>
        <w:t>岳阳县旅游开发中心单位内设机构包括：</w:t>
      </w:r>
      <w:r>
        <w:rPr>
          <w:rFonts w:hint="eastAsia" w:ascii="微软雅黑" w:hAnsi="微软雅黑" w:eastAsia="微软雅黑" w:cs="微软雅黑"/>
          <w:bCs/>
          <w:kern w:val="0"/>
          <w:sz w:val="32"/>
          <w:szCs w:val="32"/>
          <w:lang w:val="en-US" w:eastAsia="zh-CN"/>
        </w:rPr>
        <w:t>办公室、产业发展股、推广传播和交流合作股。</w:t>
      </w:r>
    </w:p>
    <w:p w14:paraId="24DA4BA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bCs/>
          <w:kern w:val="0"/>
          <w:sz w:val="32"/>
          <w:szCs w:val="32"/>
          <w:lang w:val="en-US" w:eastAsia="zh-CN"/>
        </w:rPr>
      </w:pPr>
      <w:r>
        <w:rPr>
          <w:rFonts w:hint="eastAsia" w:ascii="微软雅黑" w:hAnsi="微软雅黑" w:eastAsia="微软雅黑" w:cs="微软雅黑"/>
          <w:bCs/>
          <w:kern w:val="0"/>
          <w:sz w:val="32"/>
          <w:szCs w:val="32"/>
        </w:rPr>
        <w:t>（二）决</w:t>
      </w:r>
      <w:r>
        <w:rPr>
          <w:rFonts w:hint="eastAsia" w:ascii="微软雅黑" w:hAnsi="微软雅黑" w:eastAsia="微软雅黑" w:cs="微软雅黑"/>
          <w:bCs/>
          <w:kern w:val="0"/>
          <w:sz w:val="32"/>
          <w:szCs w:val="32"/>
          <w:lang w:val="en-US" w:eastAsia="zh-CN"/>
        </w:rPr>
        <w:t>算单位构成。岳阳县旅游开发中心单位2023年部门决算汇总公开单位构成包括：岳阳县旅游开发中心本级，本单位没有所属二级机构，因此本年度部门预算仅为本级部门预算。</w:t>
      </w:r>
    </w:p>
    <w:p w14:paraId="770740A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rPr>
        <w:sectPr>
          <w:pgSz w:w="11906" w:h="16838"/>
          <w:pgMar w:top="720" w:right="720" w:bottom="720" w:left="720" w:header="851" w:footer="992" w:gutter="0"/>
          <w:cols w:space="720" w:num="1"/>
          <w:docGrid w:type="linesAndChars" w:linePitch="312" w:charSpace="0"/>
        </w:sectPr>
      </w:pPr>
    </w:p>
    <w:p w14:paraId="1F9EFD93">
      <w:pPr>
        <w:jc w:val="center"/>
        <w:rPr>
          <w:rFonts w:hint="eastAsia" w:ascii="微软雅黑" w:hAnsi="微软雅黑" w:eastAsia="微软雅黑" w:cs="微软雅黑"/>
          <w:sz w:val="72"/>
          <w:szCs w:val="72"/>
        </w:rPr>
      </w:pPr>
    </w:p>
    <w:p w14:paraId="44A83234">
      <w:pPr>
        <w:jc w:val="center"/>
        <w:rPr>
          <w:rFonts w:hint="eastAsia" w:ascii="微软雅黑" w:hAnsi="微软雅黑" w:eastAsia="微软雅黑" w:cs="微软雅黑"/>
          <w:sz w:val="72"/>
          <w:szCs w:val="72"/>
        </w:rPr>
      </w:pPr>
    </w:p>
    <w:p w14:paraId="25DE75B5">
      <w:pPr>
        <w:jc w:val="center"/>
        <w:rPr>
          <w:rFonts w:hint="eastAsia" w:ascii="微软雅黑" w:hAnsi="微软雅黑" w:eastAsia="微软雅黑" w:cs="微软雅黑"/>
          <w:sz w:val="72"/>
          <w:szCs w:val="72"/>
        </w:rPr>
      </w:pPr>
    </w:p>
    <w:p w14:paraId="0F04F627">
      <w:pPr>
        <w:pStyle w:val="13"/>
        <w:jc w:val="center"/>
        <w:rPr>
          <w:rFonts w:hint="eastAsia" w:ascii="微软雅黑" w:hAnsi="微软雅黑" w:eastAsia="微软雅黑" w:cs="微软雅黑"/>
          <w:sz w:val="84"/>
          <w:szCs w:val="84"/>
        </w:rPr>
      </w:pPr>
    </w:p>
    <w:p w14:paraId="22A3A6C3">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2BBFE9F8">
      <w:pPr>
        <w:pStyle w:val="13"/>
        <w:jc w:val="center"/>
        <w:rPr>
          <w:rFonts w:hint="eastAsia" w:ascii="微软雅黑" w:hAnsi="微软雅黑" w:eastAsia="微软雅黑" w:cs="微软雅黑"/>
          <w:b/>
          <w:bCs/>
          <w:sz w:val="72"/>
          <w:szCs w:val="72"/>
        </w:rPr>
      </w:pPr>
    </w:p>
    <w:p w14:paraId="32EEE6CF">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17199625">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6FE45619">
      <w:pPr>
        <w:pStyle w:val="13"/>
        <w:jc w:val="center"/>
        <w:rPr>
          <w:rFonts w:hint="eastAsia" w:ascii="微软雅黑" w:hAnsi="微软雅黑" w:eastAsia="微软雅黑" w:cs="微软雅黑"/>
          <w:sz w:val="72"/>
          <w:szCs w:val="72"/>
        </w:rPr>
      </w:pPr>
    </w:p>
    <w:p w14:paraId="39B2162A">
      <w:pPr>
        <w:pStyle w:val="13"/>
        <w:jc w:val="center"/>
        <w:rPr>
          <w:rFonts w:hint="eastAsia" w:ascii="微软雅黑" w:hAnsi="微软雅黑" w:eastAsia="微软雅黑" w:cs="微软雅黑"/>
          <w:sz w:val="72"/>
          <w:szCs w:val="72"/>
        </w:rPr>
      </w:pPr>
    </w:p>
    <w:p w14:paraId="31A94980">
      <w:pPr>
        <w:pStyle w:val="13"/>
        <w:jc w:val="center"/>
        <w:rPr>
          <w:rFonts w:hint="eastAsia" w:ascii="微软雅黑" w:hAnsi="微软雅黑" w:eastAsia="微软雅黑" w:cs="微软雅黑"/>
          <w:sz w:val="72"/>
          <w:szCs w:val="72"/>
        </w:rPr>
      </w:pPr>
    </w:p>
    <w:p w14:paraId="6F241794">
      <w:pPr>
        <w:pStyle w:val="13"/>
        <w:jc w:val="center"/>
        <w:rPr>
          <w:rFonts w:hint="eastAsia" w:ascii="微软雅黑" w:hAnsi="微软雅黑" w:eastAsia="微软雅黑" w:cs="微软雅黑"/>
          <w:sz w:val="72"/>
          <w:szCs w:val="72"/>
        </w:rPr>
      </w:pPr>
    </w:p>
    <w:p w14:paraId="4838DC58">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6EC19BA8">
      <w:pPr>
        <w:pStyle w:val="13"/>
        <w:jc w:val="center"/>
        <w:rPr>
          <w:rFonts w:hint="eastAsia" w:ascii="微软雅黑" w:hAnsi="微软雅黑" w:eastAsia="微软雅黑" w:cs="微软雅黑"/>
          <w:b/>
          <w:bCs/>
          <w:sz w:val="70"/>
          <w:szCs w:val="70"/>
        </w:rPr>
      </w:pPr>
    </w:p>
    <w:p w14:paraId="3700B1F5">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14:paraId="50735CDF">
      <w:pPr>
        <w:pStyle w:val="13"/>
        <w:jc w:val="center"/>
        <w:rPr>
          <w:rFonts w:hint="eastAsia" w:ascii="微软雅黑" w:hAnsi="微软雅黑" w:eastAsia="微软雅黑" w:cs="微软雅黑"/>
          <w:sz w:val="70"/>
          <w:szCs w:val="70"/>
        </w:rPr>
      </w:pPr>
    </w:p>
    <w:p w14:paraId="6EB5918D">
      <w:pPr>
        <w:pStyle w:val="13"/>
        <w:jc w:val="center"/>
        <w:rPr>
          <w:rFonts w:hint="eastAsia" w:ascii="微软雅黑" w:hAnsi="微软雅黑" w:eastAsia="微软雅黑" w:cs="微软雅黑"/>
          <w:sz w:val="70"/>
          <w:szCs w:val="70"/>
        </w:rPr>
      </w:pPr>
    </w:p>
    <w:p w14:paraId="69C71551">
      <w:pPr>
        <w:pStyle w:val="13"/>
        <w:jc w:val="center"/>
        <w:rPr>
          <w:rFonts w:hint="eastAsia" w:ascii="微软雅黑" w:hAnsi="微软雅黑" w:eastAsia="微软雅黑" w:cs="微软雅黑"/>
          <w:sz w:val="70"/>
          <w:szCs w:val="70"/>
        </w:rPr>
      </w:pPr>
    </w:p>
    <w:p w14:paraId="1E1414C6">
      <w:pPr>
        <w:pStyle w:val="13"/>
        <w:jc w:val="center"/>
        <w:rPr>
          <w:rFonts w:hint="eastAsia" w:ascii="微软雅黑" w:hAnsi="微软雅黑" w:eastAsia="微软雅黑" w:cs="微软雅黑"/>
          <w:sz w:val="70"/>
          <w:szCs w:val="70"/>
        </w:rPr>
      </w:pPr>
    </w:p>
    <w:p w14:paraId="6C010F5F">
      <w:pPr>
        <w:pStyle w:val="13"/>
        <w:jc w:val="center"/>
        <w:rPr>
          <w:rFonts w:hint="eastAsia" w:ascii="微软雅黑" w:hAnsi="微软雅黑" w:eastAsia="微软雅黑" w:cs="微软雅黑"/>
          <w:sz w:val="70"/>
          <w:szCs w:val="70"/>
        </w:rPr>
      </w:pPr>
    </w:p>
    <w:p w14:paraId="046D96D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02AB0526">
      <w:pPr>
        <w:widowControl/>
        <w:spacing w:line="600" w:lineRule="exact"/>
        <w:ind w:firstLine="640" w:firstLineChars="200"/>
        <w:rPr>
          <w:rFonts w:hint="eastAsia" w:ascii="微软雅黑" w:hAnsi="微软雅黑" w:eastAsia="微软雅黑" w:cs="微软雅黑"/>
          <w:color w:val="auto"/>
          <w:kern w:val="0"/>
          <w:sz w:val="32"/>
          <w:szCs w:val="32"/>
          <w:lang w:val="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hint="eastAsia" w:ascii="微软雅黑" w:hAnsi="微软雅黑" w:eastAsia="微软雅黑" w:cs="微软雅黑"/>
          <w:sz w:val="32"/>
        </w:rPr>
        <w:t>168.48万元。与上年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减少5.68</w:t>
      </w:r>
      <w:r>
        <w:rPr>
          <w:rFonts w:hint="eastAsia" w:ascii="微软雅黑" w:hAnsi="微软雅黑" w:eastAsia="微软雅黑" w:cs="微软雅黑"/>
          <w:sz w:val="32"/>
        </w:rPr>
        <w:t>万元，减少3.26%，主要是因为</w:t>
      </w:r>
      <w:r>
        <w:rPr>
          <w:rFonts w:hint="eastAsia" w:ascii="微软雅黑" w:hAnsi="微软雅黑" w:eastAsia="微软雅黑" w:cs="微软雅黑"/>
          <w:color w:val="auto"/>
          <w:kern w:val="0"/>
          <w:sz w:val="32"/>
          <w:szCs w:val="32"/>
          <w:lang w:val="en-US" w:eastAsia="zh-CN"/>
        </w:rPr>
        <w:t>严格执行中央八项规定，控制经费支出，旅游项目经费减少</w:t>
      </w:r>
      <w:r>
        <w:rPr>
          <w:rFonts w:hint="eastAsia" w:ascii="微软雅黑" w:hAnsi="微软雅黑" w:eastAsia="微软雅黑" w:cs="微软雅黑"/>
          <w:color w:val="auto"/>
          <w:kern w:val="0"/>
          <w:sz w:val="32"/>
          <w:szCs w:val="32"/>
          <w:lang w:val="zh-CN"/>
        </w:rPr>
        <w:t>。</w:t>
      </w:r>
    </w:p>
    <w:p w14:paraId="3C75DEB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17AA552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160.29</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90.29万元，占56.33</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70.00万元，占</w:t>
      </w:r>
      <w:r>
        <w:rPr>
          <w:rFonts w:hint="eastAsia" w:ascii="微软雅黑" w:hAnsi="微软雅黑" w:eastAsia="微软雅黑" w:cs="微软雅黑"/>
          <w:sz w:val="32"/>
          <w:szCs w:val="32"/>
          <w:lang w:val="en-US" w:eastAsia="zh-CN"/>
        </w:rPr>
        <w:t>43.67</w:t>
      </w:r>
      <w:r>
        <w:rPr>
          <w:rFonts w:hint="eastAsia" w:ascii="微软雅黑" w:hAnsi="微软雅黑" w:eastAsia="微软雅黑" w:cs="微软雅黑"/>
          <w:sz w:val="32"/>
          <w:szCs w:val="32"/>
          <w:lang w:eastAsia="zh-CN"/>
        </w:rPr>
        <w:t>%。</w:t>
      </w:r>
    </w:p>
    <w:p w14:paraId="0B57B30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3455FFA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年度支出合计162.48万元，其中：基本支出78.62万元，占48.39%；项目支出83.86万元，占51.61%；上缴上级支出0.00万元，占0.00%；经营支出0.00万元，占0.00%；对附属单位补助支出0.00万元，占0.00%。</w:t>
      </w:r>
    </w:p>
    <w:p w14:paraId="4395FE2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3B778919">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w:t>
      </w:r>
      <w:r>
        <w:rPr>
          <w:rFonts w:hint="eastAsia" w:ascii="微软雅黑" w:hAnsi="微软雅黑" w:eastAsia="微软雅黑" w:cs="微软雅黑"/>
          <w:color w:val="auto"/>
          <w:kern w:val="2"/>
          <w:sz w:val="32"/>
          <w:szCs w:val="32"/>
          <w:lang w:val="en-US" w:eastAsia="zh-CN" w:bidi="ar-SA"/>
        </w:rPr>
        <w:t>023年度财政拨款收、支总计90.29万元，与上年相比，减少4.12万元,减少4.36%，主要是因为严格执行中央八项规定，控制经费支出。</w:t>
      </w:r>
    </w:p>
    <w:p w14:paraId="1A4FD64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6454207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4D42F46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sz w:val="32"/>
          <w:szCs w:val="32"/>
          <w:lang w:eastAsia="zh-CN"/>
        </w:rPr>
        <w:t>2</w:t>
      </w:r>
      <w:r>
        <w:rPr>
          <w:rFonts w:hint="eastAsia" w:ascii="微软雅黑" w:hAnsi="微软雅黑" w:eastAsia="微软雅黑" w:cs="微软雅黑"/>
          <w:color w:val="auto"/>
          <w:kern w:val="2"/>
          <w:sz w:val="32"/>
          <w:szCs w:val="32"/>
          <w:lang w:val="en-US" w:eastAsia="zh-CN" w:bidi="ar-SA"/>
        </w:rPr>
        <w:t>023年度财政拨款支出90.29万元，占本年支出合计的55.57%，与上年相比，财政拨款支出减少4.12万元，减少4.36%，主要是因为严格执行中央八项规定，控制经费支出。</w:t>
      </w:r>
    </w:p>
    <w:p w14:paraId="3CD409A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5ABAFCE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2023年度财政拨款支出90.29万元，主要用于以下方面：一般公共服务（类）支出3.44万元，占3.81%；文化旅游体育与传媒（类）支出74.75万元，占82.79%;社会保障和就业（类）支出5.34万元，占5.91%；卫生健康（类）支出2.99万元，占3.31%；住房保障（类）支出3.77万元，占4.18%。</w:t>
      </w:r>
    </w:p>
    <w:p w14:paraId="7257749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21FA7F8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2023年度财政拨款支出年初预算数为90.38万元，支出决算数为90.29万元，完成年初预算的99.9%，其中：</w:t>
      </w:r>
    </w:p>
    <w:p w14:paraId="0BEA51D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1、一般公共服务（类）政府办公厅（室）及相关机构事务（款）其他政府办公厅（室）及相关机构事务支出（项）。</w:t>
      </w:r>
    </w:p>
    <w:p w14:paraId="56EC6BF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年初预算为3.44万元，支出决算为3.44万元，完成年初预算的100%，决算数等于年初预算数的主要原因是：严格按年初预算数执行。</w:t>
      </w:r>
    </w:p>
    <w:p w14:paraId="4E58DC9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2、文化旅游体育与传媒支出（类）文化和旅游（款） 行政运行（项）。</w:t>
      </w:r>
    </w:p>
    <w:p w14:paraId="2DC7538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年初预算为43.09万元，支出决算为43.1万元，完成年初预算的100%。决算数几乎等于预算数的主要原因是：严格按年初预算数执行。</w:t>
      </w:r>
    </w:p>
    <w:p w14:paraId="7A2552D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3.文化旅游体育与传媒支出（类）文化和旅游（款）文化和旅游市场管理（项）。</w:t>
      </w:r>
    </w:p>
    <w:p w14:paraId="2E7BE11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年初预算为0万元，支出决算为0.17万元，完成年初预算的100%。决算数大于预算数的主要原因是：将单位部分活动归类为旅游管理类。</w:t>
      </w:r>
    </w:p>
    <w:p w14:paraId="3AE4FC4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 xml:space="preserve"> 4、文化旅游体育与传媒支出（类）文化和旅游（款）旅游宣传（项）。</w:t>
      </w:r>
    </w:p>
    <w:p w14:paraId="3AA3809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年初预算为17万元，支出决算为16.9万元，完成年初预算的99.4%。决算数几乎等于预算数的主要原因是：严格按年初预算数执行。</w:t>
      </w:r>
    </w:p>
    <w:p w14:paraId="73808B2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 xml:space="preserve"> 5、文化旅游体育与传媒支出（类）其他文化旅游体育与传媒支出（款）  其他文化旅游体育与传媒支出（项）。</w:t>
      </w:r>
    </w:p>
    <w:p w14:paraId="0C5E0E0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年初预算为14.75万元，支出决算为14.59万元，完成年初预算的99%。决算数几乎等于预算数的主要原因是：严格按年初预算数执行。</w:t>
      </w:r>
    </w:p>
    <w:p w14:paraId="12A2DC7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6、社会保障和就业支出（类）行政事业单位养老支出（款）机关事业单位基本养老保险缴费支出（项）。</w:t>
      </w:r>
    </w:p>
    <w:p w14:paraId="1526028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年初预算为5.03万元，支出决算为5.03万元，完成年初预算的100%。决算数等于年初预算数的主要原因是严格按年初预算数执行。</w:t>
      </w:r>
    </w:p>
    <w:p w14:paraId="57BC023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7、社会保障和就业支出（类）其他社会保障和就业支出（款）其他社会保障和就业支出（项）。</w:t>
      </w:r>
    </w:p>
    <w:p w14:paraId="1641D63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年初预算为0.31万元，支出决算为0.31万元，完成年初预算的100%。决算数等于年初预算数的主要原因是严格按年初预算数执行。</w:t>
      </w:r>
    </w:p>
    <w:p w14:paraId="6967A60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8、卫生健康支出（类）行政事业单位医疗（款）行政单位医疗（项）。</w:t>
      </w:r>
    </w:p>
    <w:p w14:paraId="06EF0C8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年初预算为2.99万元，支出决算为2.99万元，完成年初预算的100%。决算数等于年初预算数的主要原因是严格按年初预算数执行。</w:t>
      </w:r>
    </w:p>
    <w:p w14:paraId="10203BF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9、住房保障支出（类）住房保障支出（款） 住房公积金（项）。</w:t>
      </w:r>
    </w:p>
    <w:p w14:paraId="54D8600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年初预算为3.77万元，支出决算为3.77万元，完成年初预算的100%。决算数等于年初预算数的主要原因是严格按年初预算数执行。</w:t>
      </w:r>
    </w:p>
    <w:p w14:paraId="0096F6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7A2F237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年度财政拨款基本支出60.43万元，其中：</w:t>
      </w:r>
    </w:p>
    <w:p w14:paraId="514BD77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人员经费54.32万元，占基本支出的89.89%,主要包括基本工资、津贴补贴、奖金、</w:t>
      </w:r>
      <w:r>
        <w:rPr>
          <w:rFonts w:hint="eastAsia" w:ascii="微软雅黑" w:hAnsi="微软雅黑" w:eastAsia="微软雅黑" w:cs="微软雅黑"/>
          <w:sz w:val="32"/>
          <w:szCs w:val="32"/>
          <w:lang w:val="en-US" w:eastAsia="zh-CN"/>
        </w:rPr>
        <w:t>绩效工资、伙食补助费、机关事业单位基本养老保险缴费、职工基本医疗保险缴费、公务员医疗补助缴费、其他社会保障缴费、住房公积金、医疗费。</w:t>
      </w:r>
    </w:p>
    <w:p w14:paraId="71C071D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公用经费6.11万元，占基本支出的</w:t>
      </w:r>
      <w:r>
        <w:rPr>
          <w:rFonts w:hint="eastAsia" w:ascii="微软雅黑" w:hAnsi="微软雅黑" w:eastAsia="微软雅黑" w:cs="微软雅黑"/>
          <w:sz w:val="32"/>
          <w:szCs w:val="32"/>
          <w:lang w:val="en-US" w:eastAsia="zh-CN"/>
        </w:rPr>
        <w:t>10.11</w:t>
      </w:r>
      <w:r>
        <w:rPr>
          <w:rFonts w:hint="eastAsia" w:ascii="微软雅黑" w:hAnsi="微软雅黑" w:eastAsia="微软雅黑" w:cs="微软雅黑"/>
          <w:sz w:val="32"/>
          <w:szCs w:val="32"/>
          <w:lang w:eastAsia="zh-CN"/>
        </w:rPr>
        <w:t>%，主要包括办公费、印刷费、水费、电费、物业管理费、</w:t>
      </w:r>
      <w:r>
        <w:rPr>
          <w:rFonts w:hint="eastAsia" w:ascii="微软雅黑" w:hAnsi="微软雅黑" w:eastAsia="微软雅黑" w:cs="微软雅黑"/>
          <w:sz w:val="32"/>
          <w:szCs w:val="32"/>
          <w:lang w:val="en-US" w:eastAsia="zh-CN"/>
        </w:rPr>
        <w:t>邮电费、差旅费、维修费、公务接待费 、租赁费、委托业务费、其他交通费用、其他商品和服务支出</w:t>
      </w:r>
      <w:r>
        <w:rPr>
          <w:rFonts w:hint="eastAsia" w:ascii="微软雅黑" w:hAnsi="微软雅黑" w:eastAsia="微软雅黑" w:cs="微软雅黑"/>
          <w:sz w:val="32"/>
          <w:szCs w:val="32"/>
          <w:lang w:eastAsia="zh-CN"/>
        </w:rPr>
        <w:t>。</w:t>
      </w:r>
    </w:p>
    <w:p w14:paraId="29EFA3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1D1FFB8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年度政府性基金预算财政拨款收入0.00</w:t>
      </w:r>
      <w:r>
        <w:rPr>
          <w:rFonts w:hint="eastAsia" w:ascii="微软雅黑" w:hAnsi="微软雅黑" w:eastAsia="微软雅黑" w:cs="微软雅黑"/>
          <w:sz w:val="32"/>
          <w:szCs w:val="32"/>
          <w:lang w:eastAsia="zh-CN"/>
        </w:rPr>
        <w:t>万元；年初结转和结余</w:t>
      </w:r>
      <w:r>
        <w:rPr>
          <w:rFonts w:ascii="微软雅黑" w:hAnsi="微软雅黑" w:eastAsia="微软雅黑" w:cs="微软雅黑"/>
          <w:sz w:val="32"/>
        </w:rPr>
        <w:t>0.00</w:t>
      </w:r>
      <w:r>
        <w:rPr>
          <w:rFonts w:hint="eastAsia" w:ascii="微软雅黑" w:hAnsi="微软雅黑" w:eastAsia="微软雅黑" w:cs="微软雅黑"/>
          <w:sz w:val="32"/>
          <w:szCs w:val="32"/>
          <w:lang w:eastAsia="zh-CN"/>
        </w:rPr>
        <w:t>万元；支出</w:t>
      </w:r>
      <w:r>
        <w:rPr>
          <w:rFonts w:ascii="微软雅黑" w:hAnsi="微软雅黑" w:eastAsia="微软雅黑" w:cs="微软雅黑"/>
          <w:sz w:val="32"/>
        </w:rPr>
        <w:t>0.00</w:t>
      </w:r>
      <w:r>
        <w:rPr>
          <w:rFonts w:hint="eastAsia" w:ascii="微软雅黑" w:hAnsi="微软雅黑" w:eastAsia="微软雅黑" w:cs="微软雅黑"/>
          <w:sz w:val="32"/>
          <w:szCs w:val="32"/>
          <w:lang w:eastAsia="zh-CN"/>
        </w:rPr>
        <w:t>万元，其中基本支出</w:t>
      </w:r>
      <w:r>
        <w:rPr>
          <w:rFonts w:ascii="微软雅黑" w:hAnsi="微软雅黑" w:eastAsia="微软雅黑" w:cs="微软雅黑"/>
          <w:sz w:val="32"/>
        </w:rPr>
        <w:t>0.00</w:t>
      </w:r>
      <w:r>
        <w:rPr>
          <w:rFonts w:hint="eastAsia" w:ascii="微软雅黑" w:hAnsi="微软雅黑" w:eastAsia="微软雅黑" w:cs="微软雅黑"/>
          <w:sz w:val="32"/>
          <w:szCs w:val="32"/>
          <w:lang w:eastAsia="zh-CN"/>
        </w:rPr>
        <w:t>万元，项目支出</w:t>
      </w:r>
      <w:r>
        <w:rPr>
          <w:rFonts w:ascii="微软雅黑" w:hAnsi="微软雅黑" w:eastAsia="微软雅黑" w:cs="微软雅黑"/>
          <w:sz w:val="32"/>
        </w:rPr>
        <w:t>0.00</w:t>
      </w:r>
      <w:r>
        <w:rPr>
          <w:rFonts w:hint="eastAsia" w:ascii="微软雅黑" w:hAnsi="微软雅黑" w:eastAsia="微软雅黑" w:cs="微软雅黑"/>
          <w:sz w:val="32"/>
          <w:szCs w:val="32"/>
          <w:lang w:eastAsia="zh-CN"/>
        </w:rPr>
        <w:t>万元；年末结转和结余</w:t>
      </w:r>
      <w:r>
        <w:rPr>
          <w:rFonts w:ascii="微软雅黑" w:hAnsi="微软雅黑" w:eastAsia="微软雅黑" w:cs="微软雅黑"/>
          <w:sz w:val="32"/>
        </w:rPr>
        <w:t>0.00</w:t>
      </w:r>
      <w:r>
        <w:rPr>
          <w:rFonts w:hint="eastAsia" w:ascii="微软雅黑" w:hAnsi="微软雅黑" w:eastAsia="微软雅黑" w:cs="微软雅黑"/>
          <w:sz w:val="32"/>
          <w:szCs w:val="32"/>
          <w:lang w:eastAsia="zh-CN"/>
        </w:rPr>
        <w:t>万元。具体情况如下：</w:t>
      </w:r>
      <w:r>
        <w:rPr>
          <w:rFonts w:hint="eastAsia" w:ascii="微软雅黑" w:hAnsi="微软雅黑" w:eastAsia="微软雅黑" w:cs="微软雅黑"/>
          <w:sz w:val="32"/>
          <w:szCs w:val="32"/>
          <w:lang w:val="en-US" w:eastAsia="zh-CN"/>
        </w:rPr>
        <w:t>2023年本单位无政府性基金收支情况。</w:t>
      </w:r>
    </w:p>
    <w:p w14:paraId="16CAAE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645293E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2023年度国有资本经营预算财政拨款支出0万元；基本支出0.00万元，项目支出0万元。</w:t>
      </w:r>
    </w:p>
    <w:p w14:paraId="203329A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2023年度本单位无国有资本经营预算财政拨款支出。</w:t>
      </w:r>
    </w:p>
    <w:p w14:paraId="7AF5179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6555BE">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37B73F2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0.27</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0.27</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100.00</w:t>
      </w:r>
      <w:r>
        <w:rPr>
          <w:rFonts w:hint="eastAsia" w:ascii="微软雅黑" w:hAnsi="微软雅黑" w:eastAsia="微软雅黑" w:cs="微软雅黑"/>
          <w:sz w:val="32"/>
          <w:szCs w:val="32"/>
        </w:rPr>
        <w:t>%，其中：</w:t>
      </w:r>
    </w:p>
    <w:p w14:paraId="6400FEC3">
      <w:pPr>
        <w:pStyle w:val="13"/>
        <w:keepNext w:val="0"/>
        <w:keepLines w:val="0"/>
        <w:pageBreakBefore w:val="0"/>
        <w:widowControl w:val="0"/>
        <w:kinsoku/>
        <w:wordWrap/>
        <w:overflowPunct/>
        <w:topLinePunct w:val="0"/>
        <w:autoSpaceDE w:val="0"/>
        <w:autoSpaceDN w:val="0"/>
        <w:bidi w:val="0"/>
        <w:adjustRightInd w:val="0"/>
        <w:snapToGrid/>
        <w:ind w:firstLine="800" w:firstLineChars="250"/>
        <w:jc w:val="both"/>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因公出国（境）费支出预算为</w:t>
      </w:r>
      <w:r>
        <w:rPr>
          <w:rFonts w:hint="eastAsia"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rPr>
        <w:t>0.00</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决算数等于预算数的主要原因是认真贯彻落实中央“八项规定”精神和厉行节约要求，从严控制“三公”经费开支。与上年数相同，均为0。</w:t>
      </w:r>
    </w:p>
    <w:p w14:paraId="60F0358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公务接待费支出预算为</w:t>
      </w:r>
      <w:r>
        <w:rPr>
          <w:rFonts w:hint="eastAsia" w:ascii="微软雅黑" w:hAnsi="微软雅黑" w:eastAsia="微软雅黑" w:cs="微软雅黑"/>
          <w:color w:val="auto"/>
          <w:sz w:val="32"/>
        </w:rPr>
        <w:t>0.27</w:t>
      </w:r>
      <w:r>
        <w:rPr>
          <w:rFonts w:hint="eastAsia" w:ascii="微软雅黑" w:hAnsi="微软雅黑" w:eastAsia="微软雅黑" w:cs="微软雅黑"/>
          <w:color w:val="auto"/>
          <w:sz w:val="32"/>
          <w:szCs w:val="32"/>
        </w:rPr>
        <w:t>万元，支出决算为</w:t>
      </w:r>
      <w:r>
        <w:rPr>
          <w:rFonts w:hint="eastAsia" w:ascii="微软雅黑" w:hAnsi="微软雅黑" w:eastAsia="微软雅黑" w:cs="微软雅黑"/>
          <w:color w:val="auto"/>
          <w:sz w:val="32"/>
        </w:rPr>
        <w:t>0.27</w:t>
      </w:r>
      <w:r>
        <w:rPr>
          <w:rFonts w:hint="eastAsia" w:ascii="微软雅黑" w:hAnsi="微软雅黑" w:eastAsia="微软雅黑" w:cs="微软雅黑"/>
          <w:color w:val="auto"/>
          <w:sz w:val="32"/>
          <w:szCs w:val="32"/>
        </w:rPr>
        <w:t>万元，完成预算的</w:t>
      </w:r>
      <w:r>
        <w:rPr>
          <w:rFonts w:hint="eastAsia" w:ascii="微软雅黑" w:hAnsi="微软雅黑" w:eastAsia="微软雅黑" w:cs="微软雅黑"/>
          <w:color w:val="auto"/>
          <w:sz w:val="32"/>
        </w:rPr>
        <w:t>100.00</w:t>
      </w:r>
      <w:r>
        <w:rPr>
          <w:rFonts w:hint="eastAsia" w:ascii="微软雅黑" w:hAnsi="微软雅黑" w:eastAsia="微软雅黑" w:cs="微软雅黑"/>
          <w:color w:val="auto"/>
          <w:sz w:val="32"/>
          <w:szCs w:val="32"/>
        </w:rPr>
        <w:t>%，决算数</w:t>
      </w:r>
      <w:r>
        <w:rPr>
          <w:rFonts w:hint="eastAsia" w:ascii="微软雅黑" w:hAnsi="微软雅黑" w:eastAsia="微软雅黑" w:cs="微软雅黑"/>
          <w:color w:val="auto"/>
          <w:sz w:val="32"/>
          <w:szCs w:val="32"/>
          <w:lang w:eastAsia="zh-CN"/>
        </w:rPr>
        <w:t>等于</w:t>
      </w:r>
      <w:r>
        <w:rPr>
          <w:rFonts w:hint="eastAsia" w:ascii="微软雅黑" w:hAnsi="微软雅黑" w:eastAsia="微软雅黑" w:cs="微软雅黑"/>
          <w:color w:val="auto"/>
          <w:sz w:val="32"/>
          <w:szCs w:val="32"/>
        </w:rPr>
        <w:t>预算数的主要原因是</w:t>
      </w:r>
      <w:r>
        <w:rPr>
          <w:rFonts w:hint="eastAsia" w:ascii="微软雅黑" w:hAnsi="微软雅黑" w:eastAsia="微软雅黑" w:cs="微软雅黑"/>
          <w:color w:val="auto"/>
          <w:sz w:val="32"/>
          <w:szCs w:val="32"/>
          <w:lang w:val="en-US" w:eastAsia="zh-CN"/>
        </w:rPr>
        <w:t>认真贯彻落实中央“八项规定”精神和厉行节约要求，从严控制“三公”经费开支</w:t>
      </w:r>
      <w:r>
        <w:rPr>
          <w:rFonts w:hint="eastAsia" w:ascii="微软雅黑" w:hAnsi="微软雅黑" w:eastAsia="微软雅黑" w:cs="微软雅黑"/>
          <w:color w:val="auto"/>
          <w:sz w:val="32"/>
          <w:szCs w:val="32"/>
        </w:rPr>
        <w:t>，与上年相比</w:t>
      </w:r>
      <w:r>
        <w:rPr>
          <w:rFonts w:hint="eastAsia" w:ascii="微软雅黑" w:hAnsi="微软雅黑" w:eastAsia="微软雅黑" w:cs="微软雅黑"/>
          <w:color w:val="auto"/>
          <w:sz w:val="32"/>
        </w:rPr>
        <w:t>增长</w:t>
      </w:r>
      <w:r>
        <w:rPr>
          <w:rFonts w:hint="eastAsia" w:ascii="微软雅黑" w:hAnsi="微软雅黑" w:eastAsia="微软雅黑" w:cs="微软雅黑"/>
          <w:color w:val="auto"/>
          <w:sz w:val="32"/>
          <w:lang w:val="en-US" w:eastAsia="zh-CN"/>
        </w:rPr>
        <w:t>0.08</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highlight w:val="none"/>
          <w:lang w:val="en-US" w:eastAsia="zh-CN"/>
        </w:rPr>
        <w:t>增长42.1</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预算资金范围内接待活动，但举办节会活动、开展宣传活动较上年增多</w:t>
      </w:r>
      <w:r>
        <w:rPr>
          <w:rFonts w:hint="eastAsia" w:ascii="微软雅黑" w:hAnsi="微软雅黑" w:eastAsia="微软雅黑" w:cs="微软雅黑"/>
          <w:color w:val="auto"/>
          <w:sz w:val="32"/>
          <w:szCs w:val="32"/>
        </w:rPr>
        <w:t>。</w:t>
      </w:r>
    </w:p>
    <w:p w14:paraId="1D9B4447">
      <w:pPr>
        <w:pStyle w:val="13"/>
        <w:keepNext w:val="0"/>
        <w:keepLines w:val="0"/>
        <w:pageBreakBefore w:val="0"/>
        <w:widowControl w:val="0"/>
        <w:kinsoku/>
        <w:wordWrap/>
        <w:overflowPunct/>
        <w:topLinePunct w:val="0"/>
        <w:autoSpaceDE w:val="0"/>
        <w:autoSpaceDN w:val="0"/>
        <w:bidi w:val="0"/>
        <w:adjustRightInd w:val="0"/>
        <w:snapToGrid/>
        <w:ind w:firstLine="800" w:firstLineChars="250"/>
        <w:jc w:val="both"/>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公务用车购置费支出预算为</w:t>
      </w:r>
      <w:r>
        <w:rPr>
          <w:rFonts w:hint="eastAsia"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rPr>
        <w:t>0.00</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决算数等于预算数的主要原因是认真贯彻落实中央“八项规定”精神和厉行节约要求，从严控制“三公”经费开支。与上年数相同，均为0。</w:t>
      </w:r>
    </w:p>
    <w:p w14:paraId="5FBAD12B">
      <w:pPr>
        <w:pStyle w:val="13"/>
        <w:keepNext w:val="0"/>
        <w:keepLines w:val="0"/>
        <w:pageBreakBefore w:val="0"/>
        <w:widowControl w:val="0"/>
        <w:kinsoku/>
        <w:wordWrap/>
        <w:overflowPunct/>
        <w:topLinePunct w:val="0"/>
        <w:autoSpaceDE w:val="0"/>
        <w:autoSpaceDN w:val="0"/>
        <w:bidi w:val="0"/>
        <w:adjustRightInd w:val="0"/>
        <w:snapToGrid/>
        <w:ind w:firstLine="800" w:firstLineChars="250"/>
        <w:jc w:val="both"/>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公务用车运行维护费支出预算为</w:t>
      </w:r>
      <w:r>
        <w:rPr>
          <w:rFonts w:hint="eastAsia"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rPr>
        <w:t>0.00</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决算数等于预算数的主要原因是认真贯彻落实中央“八项规定”精神和厉行节约要求，从严控制“三公”经费开支。与上年数相同，均为0。</w:t>
      </w:r>
    </w:p>
    <w:p w14:paraId="59106BCB">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684927C1">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0.27</w:t>
      </w:r>
      <w:r>
        <w:rPr>
          <w:rFonts w:hint="eastAsia" w:ascii="微软雅黑" w:hAnsi="微软雅黑" w:eastAsia="微软雅黑" w:cs="微软雅黑"/>
          <w:sz w:val="32"/>
          <w:szCs w:val="32"/>
        </w:rPr>
        <w:t>万元，占</w:t>
      </w:r>
      <w:r>
        <w:rPr>
          <w:rFonts w:ascii="微软雅黑" w:hAnsi="微软雅黑" w:eastAsia="微软雅黑" w:cs="微软雅黑"/>
          <w:sz w:val="32"/>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%。其中：</w:t>
      </w:r>
    </w:p>
    <w:p w14:paraId="2E7D9465">
      <w:pPr>
        <w:pStyle w:val="13"/>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sz w:val="32"/>
          <w:szCs w:val="32"/>
          <w:lang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开支内容包括：</w:t>
      </w:r>
      <w:r>
        <w:rPr>
          <w:rFonts w:hint="eastAsia" w:ascii="微软雅黑" w:hAnsi="微软雅黑" w:eastAsia="微软雅黑" w:cs="微软雅黑"/>
          <w:sz w:val="32"/>
          <w:szCs w:val="32"/>
          <w:lang w:eastAsia="zh-CN"/>
        </w:rPr>
        <w:t>无。</w:t>
      </w:r>
    </w:p>
    <w:p w14:paraId="371E9D39">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hint="eastAsia" w:ascii="微软雅黑" w:hAnsi="微软雅黑" w:eastAsia="微软雅黑" w:cs="微软雅黑"/>
          <w:sz w:val="32"/>
        </w:rPr>
        <w:t>0.27</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36</w:t>
      </w:r>
      <w:r>
        <w:rPr>
          <w:rFonts w:hint="eastAsia" w:ascii="微软雅黑" w:hAnsi="微软雅黑" w:eastAsia="微软雅黑" w:cs="微软雅黑"/>
          <w:sz w:val="32"/>
          <w:szCs w:val="32"/>
        </w:rPr>
        <w:t>人次，主要是</w:t>
      </w:r>
      <w:r>
        <w:rPr>
          <w:rFonts w:hint="eastAsia" w:ascii="微软雅黑" w:hAnsi="微软雅黑" w:eastAsia="微软雅黑" w:cs="微软雅黑"/>
          <w:sz w:val="32"/>
          <w:szCs w:val="32"/>
          <w:lang w:val="en-US" w:eastAsia="zh-CN"/>
        </w:rPr>
        <w:t>对接旅游宣传营销及旅游品牌创建</w:t>
      </w:r>
      <w:r>
        <w:rPr>
          <w:rFonts w:hint="eastAsia" w:ascii="微软雅黑" w:hAnsi="微软雅黑" w:eastAsia="微软雅黑" w:cs="微软雅黑"/>
          <w:sz w:val="32"/>
          <w:szCs w:val="32"/>
        </w:rPr>
        <w:t>发生的接待支出。</w:t>
      </w:r>
    </w:p>
    <w:p w14:paraId="15412EE4">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hint="eastAsia"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hint="eastAsia" w:ascii="微软雅黑" w:hAnsi="微软雅黑" w:eastAsia="微软雅黑" w:cs="微软雅黑"/>
          <w:sz w:val="32"/>
        </w:rPr>
        <w:t>0.00</w:t>
      </w:r>
      <w:r>
        <w:rPr>
          <w:rFonts w:hint="eastAsia" w:ascii="微软雅黑" w:hAnsi="微软雅黑" w:eastAsia="微软雅黑" w:cs="微软雅黑"/>
          <w:sz w:val="32"/>
          <w:szCs w:val="32"/>
        </w:rPr>
        <w:t>万元，</w:t>
      </w:r>
      <w:r>
        <w:rPr>
          <w:rFonts w:hint="eastAsia" w:ascii="微软雅黑" w:hAnsi="微软雅黑" w:eastAsia="微软雅黑" w:cs="微软雅黑"/>
          <w:sz w:val="32"/>
        </w:rPr>
        <w:t>岳阳县旅游开发中心更新公务用车</w:t>
      </w:r>
      <w:r>
        <w:rPr>
          <w:rFonts w:hint="eastAsia" w:ascii="微软雅黑" w:hAnsi="微软雅黑" w:eastAsia="微软雅黑" w:cs="微软雅黑"/>
          <w:sz w:val="32"/>
          <w:lang w:val="en-US" w:eastAsia="zh-CN"/>
        </w:rPr>
        <w:t>0</w:t>
      </w:r>
      <w:r>
        <w:rPr>
          <w:rFonts w:hint="eastAsia"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rPr>
        <w:t>202</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年12月31日，我</w:t>
      </w:r>
      <w:bookmarkStart w:id="0" w:name="_GoBack"/>
      <w:bookmarkEnd w:id="0"/>
      <w:r>
        <w:rPr>
          <w:rFonts w:hint="eastAsia" w:ascii="微软雅黑" w:hAnsi="微软雅黑" w:eastAsia="微软雅黑" w:cs="微软雅黑"/>
          <w:sz w:val="32"/>
          <w:szCs w:val="32"/>
        </w:rPr>
        <w:t>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14:paraId="24044C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4C76B51D">
      <w:pPr>
        <w:pStyle w:val="13"/>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年度机关运行经费支出</w:t>
      </w:r>
      <w:r>
        <w:rPr>
          <w:rFonts w:hint="eastAsia" w:ascii="微软雅黑" w:hAnsi="微软雅黑" w:eastAsia="微软雅黑" w:cs="微软雅黑"/>
          <w:sz w:val="32"/>
        </w:rPr>
        <w:t>6.11万元</w:t>
      </w:r>
      <w:r>
        <w:rPr>
          <w:rFonts w:hint="eastAsia" w:ascii="微软雅黑" w:hAnsi="微软雅黑" w:eastAsia="微软雅黑" w:cs="微软雅黑"/>
          <w:sz w:val="32"/>
          <w:szCs w:val="32"/>
        </w:rPr>
        <w:t>，比年初预算数（或者上年决算数）</w:t>
      </w:r>
      <w:r>
        <w:rPr>
          <w:rFonts w:hint="eastAsia" w:ascii="微软雅黑" w:hAnsi="微软雅黑" w:eastAsia="微软雅黑" w:cs="微软雅黑"/>
          <w:sz w:val="32"/>
        </w:rPr>
        <w:t>减少10.38 万元，减少62.95</w:t>
      </w:r>
      <w:r>
        <w:rPr>
          <w:rFonts w:hint="eastAsia" w:ascii="微软雅黑" w:hAnsi="微软雅黑" w:eastAsia="微软雅黑" w:cs="微软雅黑"/>
          <w:sz w:val="32"/>
          <w:szCs w:val="32"/>
        </w:rPr>
        <w:t xml:space="preserve"> %。主要原因是：</w:t>
      </w:r>
      <w:r>
        <w:rPr>
          <w:rFonts w:hint="eastAsia" w:ascii="微软雅黑" w:hAnsi="微软雅黑" w:eastAsia="微软雅黑" w:cs="微软雅黑"/>
          <w:sz w:val="32"/>
          <w:szCs w:val="32"/>
          <w:lang w:val="en-US" w:eastAsia="zh-CN"/>
        </w:rPr>
        <w:t>认真贯彻落实中央“八项规定”精神和厉行节约要求，从严控制经费开支。</w:t>
      </w:r>
    </w:p>
    <w:p w14:paraId="6CA418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686F17B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万元；开支培训费</w:t>
      </w:r>
      <w:r>
        <w:rPr>
          <w:rFonts w:ascii="微软雅黑" w:hAnsi="微软雅黑" w:eastAsia="微软雅黑" w:cs="微软雅黑"/>
          <w:sz w:val="32"/>
        </w:rPr>
        <w:t>0.00万元。</w:t>
      </w:r>
    </w:p>
    <w:p w14:paraId="4CCA8B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020387C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25.84</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25.83</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25.83</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25.83</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w:t>
      </w:r>
    </w:p>
    <w:p w14:paraId="222E31F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3A40D42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0辆</w:t>
      </w:r>
      <w:r>
        <w:rPr>
          <w:rFonts w:hint="eastAsia" w:ascii="微软雅黑" w:hAnsi="微软雅黑" w:eastAsia="微软雅黑" w:cs="微软雅黑"/>
          <w:sz w:val="32"/>
          <w:szCs w:val="32"/>
        </w:rPr>
        <w:t>；单位价值50万元以上通用设备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14:paraId="05D97E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5FD049E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03B2469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万元，占一般公共预算项目支出总额的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%。组织对2023年度国有资本经营预算项目支出开展绩效自评，共涉及</w:t>
      </w:r>
      <w:r>
        <w:rPr>
          <w:rFonts w:hint="eastAsia" w:ascii="微软雅黑" w:hAnsi="微软雅黑" w:eastAsia="微软雅黑" w:cs="微软雅黑"/>
          <w:color w:val="000000"/>
          <w:sz w:val="32"/>
        </w:rPr>
        <w:t>资金</w:t>
      </w:r>
      <w:r>
        <w:rPr>
          <w:rFonts w:hint="eastAsia" w:ascii="微软雅黑" w:hAnsi="微软雅黑" w:eastAsia="微软雅黑" w:cs="微软雅黑"/>
          <w:color w:val="000000"/>
          <w:sz w:val="32"/>
          <w:lang w:val="en-US" w:eastAsia="zh-CN"/>
        </w:rPr>
        <w:t>0</w:t>
      </w:r>
      <w:r>
        <w:rPr>
          <w:rFonts w:hint="eastAsia"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hint="eastAsia" w:ascii="微软雅黑" w:hAnsi="微软雅黑" w:eastAsia="微软雅黑" w:cs="微软雅黑"/>
          <w:color w:val="000000"/>
          <w:sz w:val="32"/>
        </w:rPr>
        <w:t>%。</w:t>
      </w:r>
    </w:p>
    <w:p w14:paraId="0211223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组织对个项目开展了部门评价，涉及一般公共预算支出0万元，政府性基金预算支出0万元，国有资本经营预算支出0万元。</w:t>
      </w:r>
    </w:p>
    <w:p w14:paraId="49E6C3A7">
      <w:pPr>
        <w:autoSpaceDE w:val="0"/>
        <w:autoSpaceDN w:val="0"/>
        <w:adjustRightInd w:val="0"/>
        <w:ind w:firstLine="640" w:firstLineChars="200"/>
        <w:jc w:val="left"/>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组织对本单位开展整体支出绩效评价，涉及一般公共预算支出90.29万元，政府性基金预算支出0万元。从评价情况来看，我中心2022年的部门整体支出绩效自我评价得分为98分。自评结果为：优秀。</w:t>
      </w:r>
    </w:p>
    <w:p w14:paraId="66D0ED7A">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（2）部门决算中项目绩效自评结果（如有）。</w:t>
      </w:r>
    </w:p>
    <w:p w14:paraId="73C4D870">
      <w:pPr>
        <w:autoSpaceDE w:val="0"/>
        <w:autoSpaceDN w:val="0"/>
        <w:adjustRightInd w:val="0"/>
        <w:ind w:firstLine="640" w:firstLineChars="200"/>
        <w:jc w:val="left"/>
        <w:rPr>
          <w:rFonts w:hint="default"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2023年我单位没有绩效自评的项目。</w:t>
      </w:r>
    </w:p>
    <w:p w14:paraId="31A2F4E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7F2DD499">
      <w:pPr>
        <w:autoSpaceDE w:val="0"/>
        <w:autoSpaceDN w:val="0"/>
        <w:adjustRightInd w:val="0"/>
        <w:ind w:firstLine="640" w:firstLineChars="200"/>
        <w:jc w:val="left"/>
        <w:rPr>
          <w:rFonts w:hint="default"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2023年我单位没有绩效自评的项目。</w:t>
      </w:r>
    </w:p>
    <w:p w14:paraId="05E0B7EB">
      <w:pPr>
        <w:autoSpaceDE w:val="0"/>
        <w:autoSpaceDN w:val="0"/>
        <w:adjustRightInd w:val="0"/>
        <w:ind w:firstLine="640" w:firstLineChars="200"/>
        <w:jc w:val="left"/>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br w:type="page"/>
      </w:r>
    </w:p>
    <w:p w14:paraId="6FC6A98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2326F9BD">
      <w:pPr>
        <w:pStyle w:val="13"/>
        <w:jc w:val="center"/>
        <w:rPr>
          <w:rFonts w:hint="eastAsia" w:ascii="微软雅黑" w:hAnsi="微软雅黑" w:eastAsia="微软雅黑" w:cs="微软雅黑"/>
          <w:b/>
          <w:bCs/>
          <w:sz w:val="72"/>
          <w:szCs w:val="72"/>
        </w:rPr>
      </w:pPr>
    </w:p>
    <w:p w14:paraId="61E59C18">
      <w:pPr>
        <w:pStyle w:val="13"/>
        <w:jc w:val="center"/>
        <w:rPr>
          <w:rFonts w:hint="eastAsia" w:ascii="微软雅黑" w:hAnsi="微软雅黑" w:eastAsia="微软雅黑" w:cs="微软雅黑"/>
          <w:b/>
          <w:bCs/>
          <w:sz w:val="72"/>
          <w:szCs w:val="72"/>
        </w:rPr>
      </w:pPr>
    </w:p>
    <w:p w14:paraId="34D1D610">
      <w:pPr>
        <w:pStyle w:val="13"/>
        <w:jc w:val="center"/>
        <w:rPr>
          <w:rFonts w:hint="eastAsia" w:ascii="微软雅黑" w:hAnsi="微软雅黑" w:eastAsia="微软雅黑" w:cs="微软雅黑"/>
          <w:b/>
          <w:bCs/>
          <w:sz w:val="72"/>
          <w:szCs w:val="72"/>
        </w:rPr>
      </w:pPr>
    </w:p>
    <w:p w14:paraId="0FC8677C">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5DA14B01">
      <w:pPr>
        <w:jc w:val="center"/>
        <w:rPr>
          <w:rFonts w:hint="eastAsia" w:ascii="微软雅黑" w:hAnsi="微软雅黑" w:eastAsia="微软雅黑" w:cs="微软雅黑"/>
          <w:b/>
          <w:bCs/>
          <w:color w:val="000000"/>
          <w:kern w:val="0"/>
          <w:sz w:val="70"/>
          <w:szCs w:val="70"/>
        </w:rPr>
      </w:pPr>
    </w:p>
    <w:p w14:paraId="2DC8F914">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64D15E58">
      <w:pPr>
        <w:widowControl/>
        <w:jc w:val="left"/>
        <w:rPr>
          <w:rFonts w:hint="eastAsia" w:ascii="微软雅黑" w:hAnsi="微软雅黑" w:eastAsia="微软雅黑" w:cs="微软雅黑"/>
          <w:color w:val="000000"/>
          <w:kern w:val="0"/>
          <w:sz w:val="32"/>
          <w:szCs w:val="32"/>
        </w:rPr>
      </w:pPr>
    </w:p>
    <w:p w14:paraId="6E15D5A8">
      <w:pPr>
        <w:widowControl/>
        <w:jc w:val="left"/>
        <w:rPr>
          <w:rFonts w:hint="eastAsia" w:ascii="微软雅黑" w:hAnsi="微软雅黑" w:eastAsia="微软雅黑" w:cs="微软雅黑"/>
          <w:color w:val="000000"/>
          <w:kern w:val="0"/>
          <w:sz w:val="32"/>
          <w:szCs w:val="32"/>
        </w:rPr>
      </w:pPr>
    </w:p>
    <w:p w14:paraId="575A901F">
      <w:pPr>
        <w:widowControl/>
        <w:jc w:val="left"/>
        <w:rPr>
          <w:rFonts w:hint="eastAsia" w:ascii="微软雅黑" w:hAnsi="微软雅黑" w:eastAsia="微软雅黑" w:cs="微软雅黑"/>
          <w:color w:val="000000"/>
          <w:kern w:val="0"/>
          <w:sz w:val="32"/>
          <w:szCs w:val="32"/>
        </w:rPr>
      </w:pPr>
    </w:p>
    <w:p w14:paraId="03646A83">
      <w:pPr>
        <w:widowControl/>
        <w:jc w:val="left"/>
        <w:rPr>
          <w:rFonts w:hint="eastAsia" w:ascii="微软雅黑" w:hAnsi="微软雅黑" w:eastAsia="微软雅黑" w:cs="微软雅黑"/>
          <w:color w:val="000000"/>
          <w:kern w:val="0"/>
          <w:sz w:val="32"/>
          <w:szCs w:val="32"/>
        </w:rPr>
      </w:pPr>
    </w:p>
    <w:p w14:paraId="55D0363C">
      <w:pPr>
        <w:widowControl/>
        <w:jc w:val="left"/>
        <w:rPr>
          <w:rFonts w:hint="eastAsia" w:ascii="微软雅黑" w:hAnsi="微软雅黑" w:eastAsia="微软雅黑" w:cs="微软雅黑"/>
          <w:color w:val="000000"/>
          <w:kern w:val="0"/>
          <w:sz w:val="32"/>
          <w:szCs w:val="32"/>
        </w:rPr>
      </w:pPr>
    </w:p>
    <w:p w14:paraId="342EC3ED">
      <w:pPr>
        <w:widowControl/>
        <w:jc w:val="left"/>
        <w:rPr>
          <w:rFonts w:hint="eastAsia" w:ascii="微软雅黑" w:hAnsi="微软雅黑" w:eastAsia="微软雅黑" w:cs="微软雅黑"/>
          <w:color w:val="000000"/>
          <w:kern w:val="0"/>
          <w:sz w:val="32"/>
          <w:szCs w:val="32"/>
        </w:rPr>
      </w:pPr>
    </w:p>
    <w:p w14:paraId="6E707A96">
      <w:pPr>
        <w:widowControl/>
        <w:jc w:val="left"/>
        <w:rPr>
          <w:rFonts w:hint="eastAsia" w:ascii="微软雅黑" w:hAnsi="微软雅黑" w:eastAsia="微软雅黑" w:cs="微软雅黑"/>
          <w:color w:val="000000"/>
          <w:kern w:val="0"/>
          <w:sz w:val="32"/>
          <w:szCs w:val="32"/>
        </w:rPr>
      </w:pPr>
    </w:p>
    <w:p w14:paraId="59BCE69E">
      <w:pPr>
        <w:widowControl/>
        <w:jc w:val="left"/>
        <w:rPr>
          <w:rFonts w:hint="eastAsia" w:ascii="微软雅黑" w:hAnsi="微软雅黑" w:eastAsia="微软雅黑" w:cs="微软雅黑"/>
          <w:color w:val="000000"/>
          <w:kern w:val="0"/>
          <w:sz w:val="32"/>
          <w:szCs w:val="32"/>
        </w:rPr>
      </w:pPr>
    </w:p>
    <w:p w14:paraId="25ED36D1">
      <w:pPr>
        <w:widowControl/>
        <w:jc w:val="left"/>
        <w:rPr>
          <w:rFonts w:hint="eastAsia" w:ascii="微软雅黑" w:hAnsi="微软雅黑" w:eastAsia="微软雅黑" w:cs="微软雅黑"/>
          <w:color w:val="000000"/>
          <w:kern w:val="0"/>
          <w:sz w:val="32"/>
          <w:szCs w:val="32"/>
        </w:rPr>
      </w:pPr>
    </w:p>
    <w:p w14:paraId="0C97F56B">
      <w:pPr>
        <w:widowControl/>
        <w:jc w:val="left"/>
        <w:rPr>
          <w:rFonts w:hint="eastAsia" w:ascii="微软雅黑" w:hAnsi="微软雅黑" w:eastAsia="微软雅黑" w:cs="微软雅黑"/>
          <w:color w:val="000000"/>
          <w:kern w:val="0"/>
          <w:sz w:val="32"/>
          <w:szCs w:val="32"/>
        </w:rPr>
      </w:pPr>
    </w:p>
    <w:p w14:paraId="5A162995">
      <w:pPr>
        <w:widowControl/>
        <w:jc w:val="left"/>
        <w:rPr>
          <w:rFonts w:hint="eastAsia" w:ascii="微软雅黑" w:hAnsi="微软雅黑" w:eastAsia="微软雅黑" w:cs="微软雅黑"/>
          <w:color w:val="000000"/>
          <w:kern w:val="0"/>
          <w:sz w:val="32"/>
          <w:szCs w:val="32"/>
        </w:rPr>
      </w:pPr>
    </w:p>
    <w:p w14:paraId="58402C68">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F6A5998">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二、机关运行经费</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4C6FAAC">
      <w:pPr>
        <w:ind w:firstLine="640" w:firstLineChars="200"/>
        <w:jc w:val="left"/>
        <w:rPr>
          <w:rFonts w:hint="eastAsia" w:ascii="宋体" w:hAnsi="宋体" w:eastAsia="宋体" w:cs="宋体"/>
          <w:color w:val="000000"/>
          <w:kern w:val="0"/>
          <w:sz w:val="32"/>
          <w:szCs w:val="32"/>
          <w:highlight w:val="white"/>
          <w:lang w:val="en-US"/>
        </w:rPr>
      </w:pPr>
      <w:r>
        <w:rPr>
          <w:rFonts w:hint="eastAsia" w:ascii="宋体" w:hAnsi="宋体" w:cs="黑体"/>
          <w:color w:val="000000"/>
          <w:kern w:val="0"/>
          <w:sz w:val="32"/>
          <w:szCs w:val="32"/>
        </w:rPr>
        <w:t>三、</w:t>
      </w:r>
      <w:r>
        <w:rPr>
          <w:rFonts w:hint="eastAsia" w:ascii="宋体" w:hAnsi="宋体" w:eastAsia="宋体" w:cs="宋体"/>
          <w:color w:val="000000"/>
          <w:kern w:val="0"/>
          <w:sz w:val="32"/>
          <w:szCs w:val="32"/>
          <w:highlight w:val="white"/>
          <w:lang w:val="en-US"/>
        </w:rPr>
        <w:t>文化体育与传媒支出（类）：是指用于文化、</w:t>
      </w:r>
      <w:r>
        <w:rPr>
          <w:rFonts w:hint="eastAsia" w:ascii="宋体" w:hAnsi="宋体" w:eastAsia="宋体" w:cs="宋体"/>
          <w:color w:val="000000"/>
          <w:kern w:val="0"/>
          <w:sz w:val="32"/>
          <w:szCs w:val="32"/>
          <w:highlight w:val="white"/>
          <w:lang w:val="en-US" w:eastAsia="zh-CN"/>
        </w:rPr>
        <w:t>旅游、</w:t>
      </w:r>
      <w:r>
        <w:rPr>
          <w:rFonts w:hint="eastAsia" w:ascii="宋体" w:hAnsi="宋体" w:eastAsia="宋体" w:cs="宋体"/>
          <w:color w:val="000000"/>
          <w:kern w:val="0"/>
          <w:sz w:val="32"/>
          <w:szCs w:val="32"/>
          <w:highlight w:val="white"/>
          <w:lang w:val="en-US"/>
        </w:rPr>
        <w:t>文物、体育、新闻出版广播影视等方面的支出，包括保障机构正常运转、完成日常和特定的工作任务或事业发展目标的支出。</w:t>
      </w:r>
    </w:p>
    <w:p w14:paraId="34F2E031">
      <w:pPr>
        <w:ind w:firstLine="640" w:firstLineChars="200"/>
        <w:jc w:val="left"/>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eastAsia="zh-CN"/>
        </w:rPr>
        <w:t>四、</w:t>
      </w:r>
      <w:r>
        <w:rPr>
          <w:rFonts w:hint="eastAsia" w:ascii="宋体" w:hAnsi="宋体" w:eastAsia="宋体" w:cs="宋体"/>
          <w:color w:val="000000"/>
          <w:kern w:val="0"/>
          <w:sz w:val="32"/>
          <w:szCs w:val="32"/>
          <w:highlight w:val="white"/>
          <w:lang w:val="en-US"/>
        </w:rPr>
        <w:t>其他支出（类）：是指用于反映除上述项目以外其他不能划分到具体功能科目中的支出项目，包括保障机构正常运转、完成日常和特定的工作任务或事业发展目标的支出。</w:t>
      </w:r>
    </w:p>
    <w:p w14:paraId="67DBD059">
      <w:pPr>
        <w:ind w:firstLine="640" w:firstLineChars="200"/>
        <w:jc w:val="left"/>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eastAsia="zh-CN"/>
        </w:rPr>
        <w:t>五、</w:t>
      </w:r>
      <w:r>
        <w:rPr>
          <w:rFonts w:hint="eastAsia" w:ascii="宋体" w:hAnsi="宋体" w:eastAsia="宋体" w:cs="宋体"/>
          <w:color w:val="000000"/>
          <w:kern w:val="0"/>
          <w:sz w:val="32"/>
          <w:szCs w:val="32"/>
          <w:highlight w:val="white"/>
          <w:lang w:val="en-US"/>
        </w:rPr>
        <w:t>基本支出：指保障机构正常运转、完成支日常工作任务而发生的人员支出和公用支出。</w:t>
      </w:r>
    </w:p>
    <w:p w14:paraId="6E71010F">
      <w:pPr>
        <w:ind w:firstLine="640" w:firstLineChars="200"/>
        <w:jc w:val="left"/>
        <w:rPr>
          <w:rFonts w:hint="eastAsia" w:ascii="宋体" w:hAnsi="宋体" w:eastAsia="宋体" w:cs="宋体"/>
          <w:color w:val="000000"/>
          <w:kern w:val="0"/>
          <w:sz w:val="32"/>
          <w:szCs w:val="32"/>
          <w:highlight w:val="white"/>
          <w:lang w:val="en-US"/>
        </w:rPr>
      </w:pPr>
      <w:r>
        <w:rPr>
          <w:rFonts w:hint="eastAsia" w:ascii="宋体" w:hAnsi="宋体" w:eastAsia="宋体" w:cs="宋体"/>
          <w:color w:val="000000"/>
          <w:kern w:val="0"/>
          <w:sz w:val="32"/>
          <w:szCs w:val="32"/>
          <w:highlight w:val="white"/>
          <w:lang w:val="en-US" w:eastAsia="zh-CN"/>
        </w:rPr>
        <w:t>六、</w:t>
      </w:r>
      <w:r>
        <w:rPr>
          <w:rFonts w:hint="eastAsia" w:ascii="宋体" w:hAnsi="宋体" w:eastAsia="宋体" w:cs="宋体"/>
          <w:color w:val="000000"/>
          <w:kern w:val="0"/>
          <w:sz w:val="32"/>
          <w:szCs w:val="32"/>
          <w:highlight w:val="white"/>
          <w:lang w:val="en-US"/>
        </w:rPr>
        <w:t>项目支出：指在基本支出之外为完成特定行政任务和事业发展目标所发生的支出。</w:t>
      </w:r>
    </w:p>
    <w:p w14:paraId="393BE24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14:paraId="4392CD4C">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0D70D9F0">
      <w:pPr>
        <w:pStyle w:val="13"/>
        <w:jc w:val="center"/>
        <w:rPr>
          <w:rFonts w:hint="eastAsia" w:ascii="微软雅黑" w:hAnsi="微软雅黑" w:eastAsia="微软雅黑" w:cs="微软雅黑"/>
          <w:sz w:val="72"/>
          <w:szCs w:val="72"/>
        </w:rPr>
      </w:pPr>
    </w:p>
    <w:p w14:paraId="4DCF1AAE">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6706A55F">
      <w:pPr>
        <w:jc w:val="center"/>
        <w:rPr>
          <w:rFonts w:hint="eastAsia" w:ascii="微软雅黑" w:hAnsi="微软雅黑" w:eastAsia="微软雅黑" w:cs="微软雅黑"/>
          <w:b/>
          <w:bCs/>
          <w:color w:val="000000"/>
          <w:kern w:val="0"/>
          <w:sz w:val="70"/>
          <w:szCs w:val="70"/>
        </w:rPr>
      </w:pPr>
    </w:p>
    <w:p w14:paraId="5C7885B5">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27FA108A">
      <w:pPr>
        <w:ind w:firstLine="640" w:firstLineChars="200"/>
        <w:jc w:val="left"/>
        <w:rPr>
          <w:rFonts w:hint="eastAsia" w:ascii="微软雅黑" w:hAnsi="微软雅黑" w:eastAsia="微软雅黑" w:cs="微软雅黑"/>
          <w:b/>
          <w:bCs/>
          <w:color w:val="000000"/>
          <w:kern w:val="0"/>
          <w:sz w:val="32"/>
          <w:szCs w:val="32"/>
          <w:lang w:val="en-US" w:eastAsia="zh-CN"/>
        </w:rPr>
      </w:pPr>
    </w:p>
    <w:p w14:paraId="78526DF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14:paraId="335F071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NzhjNDA1M2Q0YzRjYzQ2OWIwZmU2NTIyOGEwYTQ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A3117E"/>
    <w:rsid w:val="05271123"/>
    <w:rsid w:val="05482261"/>
    <w:rsid w:val="074309F6"/>
    <w:rsid w:val="07966D78"/>
    <w:rsid w:val="07E04F3D"/>
    <w:rsid w:val="096227F5"/>
    <w:rsid w:val="0AC57974"/>
    <w:rsid w:val="0F9016DB"/>
    <w:rsid w:val="0FE268D2"/>
    <w:rsid w:val="10A73DA4"/>
    <w:rsid w:val="10CF50A9"/>
    <w:rsid w:val="11A63AC3"/>
    <w:rsid w:val="13135140"/>
    <w:rsid w:val="134641EF"/>
    <w:rsid w:val="15986B0A"/>
    <w:rsid w:val="15A64981"/>
    <w:rsid w:val="17D85E72"/>
    <w:rsid w:val="191A1185"/>
    <w:rsid w:val="1A4B623A"/>
    <w:rsid w:val="1C325968"/>
    <w:rsid w:val="21680401"/>
    <w:rsid w:val="217E28FF"/>
    <w:rsid w:val="27B766F6"/>
    <w:rsid w:val="29701875"/>
    <w:rsid w:val="2A0D0CC4"/>
    <w:rsid w:val="2F026361"/>
    <w:rsid w:val="2F5729E1"/>
    <w:rsid w:val="306F0E15"/>
    <w:rsid w:val="31B77767"/>
    <w:rsid w:val="33E12879"/>
    <w:rsid w:val="34095384"/>
    <w:rsid w:val="34E24AFB"/>
    <w:rsid w:val="36743E79"/>
    <w:rsid w:val="36E96615"/>
    <w:rsid w:val="3BC62A80"/>
    <w:rsid w:val="3FD348C7"/>
    <w:rsid w:val="3FF322B2"/>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7F30C49"/>
    <w:rsid w:val="59743537"/>
    <w:rsid w:val="5AEE0DD0"/>
    <w:rsid w:val="5B4F3FC2"/>
    <w:rsid w:val="5D2E44D2"/>
    <w:rsid w:val="5DA84284"/>
    <w:rsid w:val="5DB1138B"/>
    <w:rsid w:val="5E026FEC"/>
    <w:rsid w:val="5EED07A6"/>
    <w:rsid w:val="5FC6BB1E"/>
    <w:rsid w:val="5FF720F1"/>
    <w:rsid w:val="60791F08"/>
    <w:rsid w:val="63930AB7"/>
    <w:rsid w:val="643C1282"/>
    <w:rsid w:val="645753D4"/>
    <w:rsid w:val="65B05FE0"/>
    <w:rsid w:val="65C43C25"/>
    <w:rsid w:val="660109D5"/>
    <w:rsid w:val="6720463D"/>
    <w:rsid w:val="67511D0F"/>
    <w:rsid w:val="6BD30F4C"/>
    <w:rsid w:val="6C9B0032"/>
    <w:rsid w:val="6D15603E"/>
    <w:rsid w:val="6D1D2BA3"/>
    <w:rsid w:val="6D340BE9"/>
    <w:rsid w:val="6E4E0530"/>
    <w:rsid w:val="71B615C9"/>
    <w:rsid w:val="72853156"/>
    <w:rsid w:val="72D57472"/>
    <w:rsid w:val="73653335"/>
    <w:rsid w:val="737D59BA"/>
    <w:rsid w:val="73D15FE7"/>
    <w:rsid w:val="743957DE"/>
    <w:rsid w:val="75063912"/>
    <w:rsid w:val="769D490C"/>
    <w:rsid w:val="772C33D8"/>
    <w:rsid w:val="776B5ABC"/>
    <w:rsid w:val="776D2CE2"/>
    <w:rsid w:val="77C37683"/>
    <w:rsid w:val="79FF515B"/>
    <w:rsid w:val="7B9A1258"/>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4870</Words>
  <Characters>5433</Characters>
  <Lines>63</Lines>
  <Paragraphs>18</Paragraphs>
  <TotalTime>10</TotalTime>
  <ScaleCrop>false</ScaleCrop>
  <LinksUpToDate>false</LinksUpToDate>
  <CharactersWithSpaces>5458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杨云</cp:lastModifiedBy>
  <cp:lastPrinted>2023-08-15T09:28:00Z</cp:lastPrinted>
  <dcterms:modified xsi:type="dcterms:W3CDTF">2024-09-26T03:18:09Z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