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9976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6AA61587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63A3D1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B43E4A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0F186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1F82586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岳阳县博物馆</w:t>
      </w:r>
      <w:r>
        <w:rPr>
          <w:rFonts w:hint="eastAsia" w:ascii="微软雅黑" w:hAnsi="微软雅黑" w:eastAsia="微软雅黑" w:cs="微软雅黑"/>
          <w:b/>
          <w:sz w:val="84"/>
          <w:lang w:eastAsia="zh-CN"/>
        </w:rPr>
        <w:t>单位</w:t>
      </w:r>
      <w:r>
        <w:rPr>
          <w:rFonts w:ascii="微软雅黑" w:hAnsi="微软雅黑" w:eastAsia="微软雅黑" w:cs="微软雅黑"/>
          <w:b/>
          <w:sz w:val="84"/>
        </w:rPr>
        <w:t>部门决算</w:t>
      </w:r>
    </w:p>
    <w:p w14:paraId="75AE3C46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8E4FE28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F27891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434F2F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CE7E7DC">
      <w:pPr>
        <w:bidi w:val="0"/>
        <w:rPr>
          <w:rFonts w:hint="eastAsia" w:ascii="微软雅黑" w:hAnsi="微软雅黑" w:eastAsia="微软雅黑" w:cs="微软雅黑"/>
        </w:rPr>
      </w:pPr>
    </w:p>
    <w:p w14:paraId="23A8E8C6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1AB9E1F8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157216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岳阳县博物馆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240AF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46A6DD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78ED56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34CC4E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725EC0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04717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3A7FE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00946C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375E43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711A9B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437AF57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3E3B4F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699884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11DA7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337BFC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6F47155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3FB4FFB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19CF11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17C6FE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687761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09B7EC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05ECA7F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3E3486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400371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0F2A30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289456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59CBBF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1103F9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69E08C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326A9DE3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11BF87E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B2202FE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57614D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229656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222A7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5FE8B5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6629100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岳阳县博物馆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173AE3A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4FAF5A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FD6A7F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9AD0A7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F84CF8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2E8C870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2757C0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（一）负责县博物馆的日常运行工作；</w:t>
      </w:r>
    </w:p>
    <w:p w14:paraId="14BA11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（二）</w:t>
      </w:r>
      <w:r>
        <w:rPr>
          <w:rFonts w:hint="eastAsia" w:ascii="微软雅黑" w:hAnsi="微软雅黑" w:eastAsia="微软雅黑" w:cs="微软雅黑"/>
          <w:sz w:val="32"/>
          <w:szCs w:val="32"/>
        </w:rPr>
        <w:t>负责本土文物收集、保护和管理馆藏文物；负责馆藏文物展览，开展文物展览活动，推介湘北抗战文化；</w:t>
      </w:r>
    </w:p>
    <w:p w14:paraId="23B84B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（三）</w:t>
      </w:r>
      <w:r>
        <w:rPr>
          <w:rFonts w:hint="eastAsia" w:ascii="微软雅黑" w:hAnsi="微软雅黑" w:eastAsia="微软雅黑" w:cs="微软雅黑"/>
          <w:sz w:val="32"/>
          <w:szCs w:val="32"/>
        </w:rPr>
        <w:t>完成上级主管部门交办的其他事务性工作。</w:t>
      </w:r>
    </w:p>
    <w:p w14:paraId="1675BDDD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73706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ascii="微软雅黑" w:hAnsi="微软雅黑" w:eastAsia="微软雅黑" w:cs="微软雅黑"/>
          <w:sz w:val="32"/>
        </w:rPr>
        <w:t>岳阳县博物馆单位内设机构包括：</w:t>
      </w:r>
      <w:r>
        <w:rPr>
          <w:rFonts w:hint="eastAsia" w:ascii="微软雅黑" w:hAnsi="微软雅黑" w:eastAsia="微软雅黑" w:cs="微软雅黑"/>
          <w:sz w:val="32"/>
        </w:rPr>
        <w:t>办公室、展览股、文物保护股、运营维护中心。</w:t>
      </w:r>
    </w:p>
    <w:p w14:paraId="234D05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/>
          <w:color w:val="FF0000"/>
          <w:sz w:val="32"/>
          <w:szCs w:val="24"/>
          <w:highlight w:val="white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（二）决算单位构成。</w:t>
      </w:r>
      <w:r>
        <w:rPr>
          <w:rFonts w:ascii="微软雅黑" w:hAnsi="微软雅黑" w:eastAsia="微软雅黑" w:cs="微软雅黑"/>
          <w:sz w:val="32"/>
        </w:rPr>
        <w:t>岳阳县博物馆单位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年部门决算汇总公开单位构成包括：</w:t>
      </w:r>
      <w:r>
        <w:rPr>
          <w:rFonts w:ascii="微软雅黑" w:hAnsi="微软雅黑" w:eastAsia="微软雅黑" w:cs="微软雅黑"/>
          <w:sz w:val="32"/>
        </w:rPr>
        <w:t>岳阳县博物馆单位本级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，我单位没有独立预算和独立核算的二级预算单位。</w:t>
      </w:r>
    </w:p>
    <w:p w14:paraId="7A7504E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D2C195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756079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5A3E38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9224D5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0358D15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36C01BF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56934DD7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3FB8F864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B052895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38A4B0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9AF1447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AC08E3D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7928C40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DD92FE3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422B5A88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7701B91A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7981D21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17FCB2AF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2CA93B7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AB426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69C37B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219.38万元。</w:t>
      </w:r>
      <w:r>
        <w:rPr>
          <w:rFonts w:hint="eastAsia" w:ascii="微软雅黑" w:hAnsi="微软雅黑" w:eastAsia="微软雅黑" w:cs="微软雅黑"/>
          <w:sz w:val="32"/>
          <w:lang w:eastAsia="zh-CN"/>
        </w:rPr>
        <w:t>因为本单位为新增决算单位，无法与上年对比。</w:t>
      </w:r>
    </w:p>
    <w:p w14:paraId="2E3574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5A062A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218.12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135.62万元，占62.18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82.50万元，占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37.82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41B031C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32E0D2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年度支出合计180.31万元，其中：基本支出52.12万元，占28.91%；项目支出128.18万元，占71.09%；上缴上级支出0.00万元，占0.00%；经营支出0.00万元，占0.00%；对附属单位补助支出0.00万元，占0.00%。</w:t>
      </w:r>
    </w:p>
    <w:p w14:paraId="440FCE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07470B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年度财政拨款收、支总计135.62万元，</w:t>
      </w:r>
      <w:r>
        <w:rPr>
          <w:rFonts w:hint="eastAsia" w:ascii="微软雅黑" w:hAnsi="微软雅黑" w:eastAsia="微软雅黑" w:cs="微软雅黑"/>
          <w:sz w:val="32"/>
        </w:rPr>
        <w:t>因为本单位为新增决算单位，无法与上年对比。</w:t>
      </w:r>
    </w:p>
    <w:p w14:paraId="2DCAE4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202F9A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4831BB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年度财政拨款支出135.62万元，占本年支出合计的75.21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%，因为本单位为新增决算单位，无法与上年对比。</w:t>
      </w:r>
    </w:p>
    <w:p w14:paraId="64556F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375E4E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年度财政拨款支出135.62万元，主要用于以下方面：</w:t>
      </w:r>
      <w:r>
        <w:rPr>
          <w:rFonts w:hint="eastAsia" w:ascii="微软雅黑" w:hAnsi="微软雅黑" w:eastAsia="微软雅黑" w:cs="微软雅黑"/>
          <w:sz w:val="32"/>
        </w:rPr>
        <w:t>文化旅游体育与传媒（类）支出124.46万元，占91.77%；社会保障和就业（类）支出4.93万元，占3.64%；卫生健康（类）支出2.75万元，占2.03%；住房保障（类）支出3.48万元，占2.57%。</w:t>
      </w:r>
    </w:p>
    <w:p w14:paraId="40FE35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6632AC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年度财政拨款支出年初预算数为336.37万元，支出决算数为135.62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ascii="微软雅黑" w:hAnsi="微软雅黑" w:eastAsia="微软雅黑" w:cs="微软雅黑"/>
          <w:sz w:val="32"/>
        </w:rPr>
        <w:t>40.32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3D76D463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文化旅游体育与传媒支出（类）文物（款）行政运行（项）</w:t>
      </w:r>
    </w:p>
    <w:p w14:paraId="5D4D88C2"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年初预算为2.70万元，支出决算为2.04万元，完成年初预算的75.56%， 决算数小于预算数的主要原因是本单位压缩一般支出，公用经费较预算有所节约。</w:t>
      </w:r>
    </w:p>
    <w:p w14:paraId="47B51D01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文化旅游体育与传媒支出（类）文物（款）博物馆（项）</w:t>
      </w:r>
    </w:p>
    <w:p w14:paraId="2A517E47"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年初预算为119.51万元，支出决算为109.93万元，完成年初预算的91.98%， 决算数小于预算数的主要原因是本单位压缩一般支出，公用经费较预算有所节约。</w:t>
      </w:r>
    </w:p>
    <w:p w14:paraId="4D3A11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、文化旅游体育与传媒支出（类）文物（款）其他文物支出（项）</w:t>
      </w:r>
    </w:p>
    <w:p w14:paraId="2E0E2F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年初预算为203.00万元，支出决算为12.50万元，完成年初预算的6.16%，决算数小于预算数的主要原因是项目进度实施较慢，大部分项目指标只能结转下年度支付。</w:t>
      </w:r>
    </w:p>
    <w:p w14:paraId="11BC4A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、社会保障和就业支出（类）行政事业单位养老支出（款）机关事业单位基本养老保险缴费支出（项）</w:t>
      </w:r>
    </w:p>
    <w:p w14:paraId="6E3F21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年初预算为4.64万元，支出决算为4.64万元，完成年初预算的100%。决算数与预算数一致，我单位严格按预算执行决算。</w:t>
      </w:r>
    </w:p>
    <w:p w14:paraId="7B3811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社会保障和就业支出（类）其他社会保障和就业支出（款）其他社会保障和就业支出（项）</w:t>
      </w:r>
    </w:p>
    <w:p w14:paraId="0F5F60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年初预算为0.29万元，支出决算为0.29万元，完成年初预算的100%，决算数与预算数一致，我单位严格按预算执行决算。    </w:t>
      </w:r>
    </w:p>
    <w:p w14:paraId="3ED9C6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 xml:space="preserve">卫生健康支出（类）行政事业单位医疗（款）行政单位医疗（项）年初预算为2.75万元，支出决算为2.75万元，完成年初预算的100%。决算数与预算数一致，我单位严格按预算执行决算。    </w:t>
      </w:r>
    </w:p>
    <w:p w14:paraId="59E3B8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、住房保障支出（类）住房改革支出（款）住房公积金（项）</w:t>
      </w:r>
    </w:p>
    <w:p w14:paraId="3C09253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年初预算为3.48万元，支出决算为3.48万元，完成年初预算的100%。  决算数与预算数一致，我单位严格按预算执行决算。</w:t>
      </w:r>
    </w:p>
    <w:p w14:paraId="5C5C91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5B379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年度财政拨款基本支出47.37万元，其中：</w:t>
      </w:r>
    </w:p>
    <w:p w14:paraId="24C1584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41.88万元，占基本支出的88.41%,主要包括</w:t>
      </w:r>
      <w:r>
        <w:rPr>
          <w:rFonts w:hint="eastAsia" w:ascii="微软雅黑" w:hAnsi="微软雅黑" w:eastAsia="微软雅黑" w:cs="微软雅黑"/>
          <w:sz w:val="32"/>
        </w:rPr>
        <w:t>基本工资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津贴补贴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奖金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绩效工资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机关事业单位基本养老保险缴费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职业年金缴费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 xml:space="preserve"> 职工基本医疗保险缴费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公务员医疗补助缴费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其他社会保障缴费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</w:rPr>
        <w:t>住房公积金</w:t>
      </w:r>
      <w:r>
        <w:rPr>
          <w:rFonts w:ascii="微软雅黑" w:hAnsi="微软雅黑" w:eastAsia="微软雅黑" w:cs="微软雅黑"/>
          <w:sz w:val="32"/>
        </w:rPr>
        <w:t>。</w:t>
      </w:r>
    </w:p>
    <w:p w14:paraId="730DE2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5.49万元，占基本支出的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11.59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%，主要包括办公费、邮电费、  物业管理费、差旅费、培训费、劳务费、工会经费、其他交通费用、其他商品和服务支出。</w:t>
      </w:r>
    </w:p>
    <w:p w14:paraId="186AF0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66931FE8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798CB9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140433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本单位无国有资本经营预算财政拨款支出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03EF82A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222AAB5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513765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1CFA01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%，决算数与预算数一致，我单位严格按预算执行决算，本单位为新增决算单位，无法与上年对比。</w:t>
      </w:r>
    </w:p>
    <w:p w14:paraId="0C4267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%，决算数与预算数一致，我单位严格按预算执行决算，本单位为新增决算单位，无法与上年对比。</w:t>
      </w:r>
    </w:p>
    <w:p w14:paraId="0AA2663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%，决算数与预算数一致，我单位严格按预算执行决算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本单位为新增决算单位，无法与上年对比。</w:t>
      </w:r>
    </w:p>
    <w:p w14:paraId="40A616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%，决算数与预算数一致，我单位严格按预算执行决算，本单位为新增决算单位，无法与上年对比。</w:t>
      </w:r>
    </w:p>
    <w:p w14:paraId="7130F2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286EFD3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0308F9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</w:rPr>
        <w:t>,</w:t>
      </w:r>
      <w:r>
        <w:rPr>
          <w:rFonts w:hint="eastAsia" w:ascii="微软雅黑" w:hAnsi="微软雅黑" w:eastAsia="微软雅黑" w:cs="微软雅黑"/>
          <w:sz w:val="32"/>
          <w:szCs w:val="32"/>
        </w:rPr>
        <w:t>开支内容包括：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无。</w:t>
      </w:r>
    </w:p>
    <w:p w14:paraId="56D6A2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内容无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8E32E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 w:val="0"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岳阳县博物馆（单位本级）更新公务用车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内容无</w:t>
      </w:r>
      <w:r>
        <w:rPr>
          <w:rFonts w:hint="eastAsia" w:ascii="微软雅黑" w:hAnsi="微软雅黑" w:eastAsia="微软雅黑" w:cs="微软雅黑"/>
          <w:sz w:val="32"/>
          <w:szCs w:val="32"/>
        </w:rPr>
        <w:t>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1B4472F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DA9BF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非参照公务员管理的</w:t>
      </w:r>
      <w:r>
        <w:rPr>
          <w:rFonts w:hint="eastAsia" w:ascii="微软雅黑" w:hAnsi="微软雅黑" w:eastAsia="微软雅黑" w:cs="微软雅黑"/>
          <w:sz w:val="32"/>
          <w:szCs w:val="32"/>
        </w:rPr>
        <w:t>事业单位，按照机关运行经费的口径，本年度机关运行经费为0。</w:t>
      </w:r>
    </w:p>
    <w:p w14:paraId="5835FD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3027FE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万元，用于召开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0次</w:t>
      </w:r>
      <w:r>
        <w:rPr>
          <w:rFonts w:hint="eastAsia" w:ascii="微软雅黑" w:hAnsi="微软雅黑" w:eastAsia="微软雅黑" w:cs="微软雅黑"/>
          <w:sz w:val="32"/>
          <w:szCs w:val="32"/>
        </w:rPr>
        <w:t>会议，人数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人，内容为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无</w:t>
      </w:r>
      <w:r>
        <w:rPr>
          <w:rFonts w:hint="eastAsia" w:ascii="微软雅黑" w:hAnsi="微软雅黑" w:eastAsia="微软雅黑" w:cs="微软雅黑"/>
          <w:sz w:val="32"/>
          <w:szCs w:val="32"/>
        </w:rPr>
        <w:t>；开支培训费</w:t>
      </w:r>
      <w:r>
        <w:rPr>
          <w:rFonts w:ascii="微软雅黑" w:hAnsi="微软雅黑" w:eastAsia="微软雅黑" w:cs="微软雅黑"/>
          <w:sz w:val="32"/>
        </w:rPr>
        <w:t>0.56万元，用于开展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2次</w:t>
      </w:r>
      <w:r>
        <w:rPr>
          <w:rFonts w:ascii="微软雅黑" w:hAnsi="微软雅黑" w:eastAsia="微软雅黑" w:cs="微软雅黑"/>
          <w:sz w:val="32"/>
        </w:rPr>
        <w:t>培训，人数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25</w:t>
      </w:r>
      <w:r>
        <w:rPr>
          <w:rFonts w:ascii="微软雅黑" w:hAnsi="微软雅黑" w:eastAsia="微软雅黑" w:cs="微软雅黑"/>
          <w:sz w:val="32"/>
        </w:rPr>
        <w:t>人，内容为</w:t>
      </w:r>
      <w:r>
        <w:rPr>
          <w:rFonts w:hint="eastAsia" w:ascii="微软雅黑" w:hAnsi="微软雅黑" w:eastAsia="微软雅黑" w:cs="微软雅黑"/>
          <w:sz w:val="32"/>
          <w:lang w:eastAsia="zh-CN"/>
        </w:rPr>
        <w:t>博物馆管理业务提升工作培训</w:t>
      </w:r>
      <w:r>
        <w:rPr>
          <w:rFonts w:ascii="微软雅黑" w:hAnsi="微软雅黑" w:eastAsia="微软雅黑" w:cs="微软雅黑"/>
          <w:sz w:val="32"/>
        </w:rPr>
        <w:t>；举办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0次</w:t>
      </w:r>
      <w:r>
        <w:rPr>
          <w:rFonts w:ascii="微软雅黑" w:hAnsi="微软雅黑" w:eastAsia="微软雅黑" w:cs="微软雅黑"/>
          <w:sz w:val="32"/>
        </w:rPr>
        <w:t>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万元，</w:t>
      </w:r>
      <w:r>
        <w:rPr>
          <w:rFonts w:hint="eastAsia" w:ascii="微软雅黑" w:hAnsi="微软雅黑" w:eastAsia="微软雅黑" w:cs="微软雅黑"/>
          <w:sz w:val="32"/>
          <w:lang w:eastAsia="zh-CN"/>
        </w:rPr>
        <w:t>内容无</w:t>
      </w:r>
      <w:r>
        <w:rPr>
          <w:rFonts w:ascii="微软雅黑" w:hAnsi="微软雅黑" w:eastAsia="微软雅黑" w:cs="微软雅黑"/>
          <w:sz w:val="32"/>
        </w:rPr>
        <w:t>。</w:t>
      </w:r>
    </w:p>
    <w:p w14:paraId="72C3B2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5EA0C72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32.50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5.00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7.50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32.50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29.23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2E5EAD4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794EFF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辆，其他用车主要是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无</w:t>
      </w:r>
      <w:r>
        <w:rPr>
          <w:rFonts w:hint="eastAsia" w:ascii="微软雅黑" w:hAnsi="微软雅黑" w:eastAsia="微软雅黑" w:cs="微软雅黑"/>
          <w:sz w:val="32"/>
          <w:szCs w:val="32"/>
        </w:rPr>
        <w:t>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109794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06E0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。</w:t>
      </w:r>
    </w:p>
    <w:p w14:paraId="5802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根据预算绩效管理要求，我单位组织对</w:t>
      </w:r>
      <w:r>
        <w:rPr>
          <w:rFonts w:ascii="微软雅黑" w:hAnsi="微软雅黑" w:eastAsia="微软雅黑" w:cs="微软雅黑"/>
          <w:color w:val="000000"/>
          <w:sz w:val="32"/>
        </w:rPr>
        <w:t>2023年度一般公共预算项目支出全面开展绩效自评，其中，一级项目</w:t>
      </w:r>
      <w:r>
        <w:rPr>
          <w:rFonts w:hint="eastAsia" w:ascii="微软雅黑" w:hAnsi="微软雅黑" w:eastAsia="微软雅黑" w:cs="微软雅黑"/>
          <w:color w:val="000000"/>
          <w:sz w:val="32"/>
          <w:lang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个，二级项目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2</w:t>
      </w:r>
      <w:r>
        <w:rPr>
          <w:rFonts w:ascii="微软雅黑" w:hAnsi="微软雅黑" w:eastAsia="微软雅黑" w:cs="微软雅黑"/>
          <w:color w:val="000000"/>
          <w:sz w:val="32"/>
        </w:rPr>
        <w:t xml:space="preserve"> 个，共涉及资金</w:t>
      </w:r>
      <w:r>
        <w:rPr>
          <w:rFonts w:hint="eastAsia" w:ascii="微软雅黑" w:hAnsi="微软雅黑" w:eastAsia="微软雅黑" w:cs="微软雅黑"/>
          <w:color w:val="000000"/>
          <w:sz w:val="32"/>
        </w:rPr>
        <w:t>88.26</w:t>
      </w:r>
      <w:r>
        <w:rPr>
          <w:rFonts w:ascii="微软雅黑" w:hAnsi="微软雅黑" w:eastAsia="微软雅黑" w:cs="微软雅黑"/>
          <w:color w:val="000000"/>
          <w:sz w:val="32"/>
        </w:rPr>
        <w:t xml:space="preserve"> 万元，占一般公共预算项目支出总额的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100.00</w:t>
      </w:r>
      <w:r>
        <w:rPr>
          <w:rFonts w:ascii="微软雅黑" w:hAnsi="微软雅黑" w:eastAsia="微软雅黑" w:cs="微软雅黑"/>
          <w:color w:val="000000"/>
          <w:sz w:val="32"/>
        </w:rPr>
        <w:t>%。组织对2023年度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个政府性基金预算项目支出开展绩效自评，共涉及资金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万元，占政府性基金预算项目支出总额的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%。组织对2023年度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个国有资本经营预算项目支出开展绩效自评，共涉及资金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万元，占国有资本经营预算项目支出总额的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color w:val="000000"/>
          <w:sz w:val="32"/>
        </w:rPr>
        <w:t>%。</w:t>
      </w:r>
      <w:r>
        <w:rPr>
          <w:rFonts w:hint="eastAsia" w:ascii="微软雅黑" w:hAnsi="微软雅黑" w:eastAsia="微软雅黑" w:cs="微软雅黑"/>
          <w:color w:val="000000"/>
          <w:sz w:val="32"/>
        </w:rPr>
        <w:t>组织对2023年度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32"/>
        </w:rPr>
        <w:t>个</w:t>
      </w:r>
      <w:r>
        <w:rPr>
          <w:rFonts w:hint="eastAsia" w:ascii="微软雅黑" w:hAnsi="微软雅黑" w:eastAsia="微软雅黑" w:cs="微软雅黑"/>
          <w:color w:val="000000"/>
          <w:sz w:val="32"/>
          <w:lang w:eastAsia="zh-CN"/>
        </w:rPr>
        <w:t>其他资金</w:t>
      </w:r>
      <w:r>
        <w:rPr>
          <w:rFonts w:hint="eastAsia" w:ascii="微软雅黑" w:hAnsi="微软雅黑" w:eastAsia="微软雅黑" w:cs="微软雅黑"/>
          <w:color w:val="000000"/>
          <w:sz w:val="32"/>
        </w:rPr>
        <w:t>项目支出开展绩效自评，共涉及资金39.92万元，占</w:t>
      </w:r>
      <w:r>
        <w:rPr>
          <w:rFonts w:hint="eastAsia" w:ascii="微软雅黑" w:hAnsi="微软雅黑" w:eastAsia="微软雅黑" w:cs="微软雅黑"/>
          <w:color w:val="000000"/>
          <w:sz w:val="32"/>
          <w:lang w:eastAsia="zh-CN"/>
        </w:rPr>
        <w:t>其他资金</w:t>
      </w:r>
      <w:r>
        <w:rPr>
          <w:rFonts w:hint="eastAsia" w:ascii="微软雅黑" w:hAnsi="微软雅黑" w:eastAsia="微软雅黑" w:cs="微软雅黑"/>
          <w:color w:val="000000"/>
          <w:sz w:val="32"/>
        </w:rPr>
        <w:t>项目支出总额的</w:t>
      </w:r>
      <w:r>
        <w:rPr>
          <w:rFonts w:hint="eastAsia" w:ascii="微软雅黑" w:hAnsi="微软雅黑" w:eastAsia="微软雅黑" w:cs="微软雅黑"/>
          <w:color w:val="000000"/>
          <w:sz w:val="32"/>
          <w:lang w:val="en-US" w:eastAsia="zh-CN"/>
        </w:rPr>
        <w:t>100.00</w:t>
      </w:r>
      <w:r>
        <w:rPr>
          <w:rFonts w:hint="eastAsia" w:ascii="微软雅黑" w:hAnsi="微软雅黑" w:eastAsia="微软雅黑" w:cs="微软雅黑"/>
          <w:color w:val="000000"/>
          <w:sz w:val="32"/>
        </w:rPr>
        <w:t>%。</w:t>
      </w:r>
    </w:p>
    <w:p w14:paraId="6451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组织对“博物馆运行经费”“凌云塔维修项目”等2个项目开展了部门评价，涉及一般公共预算支出88.26万元，政府性基金预算支出0万元，国有资本经营预算支出0万元，其他资金支出39.92万元，从评价情况来看，本单位专项资金实行专款专用、专项核算，费用支出严格按财务审批程序和项目进度等进行支付，确保资金充分发挥效益。</w:t>
      </w:r>
    </w:p>
    <w:p w14:paraId="33F6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组织对“岳阳县博物馆”等1个单位开展整体支出绩效评价，涉及一般公共预算支出135.62万元，政府性基金预算支出0万元，其他资金支出44.69万元。从评价情况来看，部门整体支出达到了预期工作成果，实现了预期工作目标，保障了单位正常运行，特别是专项项目的实施，为保障新墙河抗战博物馆免费对公众开放，缅怀先列，警示未来，弘扬伟大的抗战精神，实现中华民族复兴的中国梦，为中洲凌云古塔提供修缮和保护，基本实现古塔保护的规范化和可持续性提供了坚实保障，丰富了市民精神文化生活。</w:t>
      </w:r>
    </w:p>
    <w:p w14:paraId="7484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（2）部门决算中项目绩效自评结果</w:t>
      </w:r>
    </w:p>
    <w:p w14:paraId="49EB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博物馆运行经费项目绩效自评综述：根据年初设定的绩效目标，项目绩效自评得分为98.00分。项目全年预算数为75.76万元，执行数为75.76万元，完成预算的100.00%。项目绩效目标完成情况：一是保证了博物馆正常运行；二是参观人员满意度达到了95%以上。发现的主要问题及原因：无。下一步改进措施：无。</w:t>
      </w:r>
    </w:p>
    <w:p w14:paraId="7A06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凌云塔维修项目绩效自评综述：根据年初设定的绩效目标，项目绩效自评得分为92.70分。项目全年预算数为91.5万元，执行数为52.43万元，完成预算的57.00%。项目绩效目标完成情况：一是维修保养次数达到了4次；二是修缮质量处于安全可控的范围内，三是工程实施进度完成了57%。发现的主要问题及原因：无。下一步改进措施：无。</w:t>
      </w:r>
    </w:p>
    <w:p w14:paraId="1F94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</w:rPr>
        <w:t>（3）部门评价项目绩效评价结果。</w:t>
      </w:r>
    </w:p>
    <w:p w14:paraId="4075D7C4">
      <w:pP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  <w:br w:type="page"/>
      </w:r>
    </w:p>
    <w:p w14:paraId="30DD0C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4ADAA9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3B810295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D6C4062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401081C5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269CB1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2B10CA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74F01676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00B72341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0457B14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7A04FEAB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589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1DF5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6E73E"/>
    <w:multiLevelType w:val="singleLevel"/>
    <w:tmpl w:val="B8F6E7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AzYWI3YTMwMjNkYjY2ODU3M2Q2ODhjMGI3MTE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561A81"/>
    <w:rsid w:val="01761E20"/>
    <w:rsid w:val="017966FE"/>
    <w:rsid w:val="025C7268"/>
    <w:rsid w:val="034321D6"/>
    <w:rsid w:val="05482261"/>
    <w:rsid w:val="07320597"/>
    <w:rsid w:val="074309F6"/>
    <w:rsid w:val="07966D78"/>
    <w:rsid w:val="07E04F3D"/>
    <w:rsid w:val="096227F5"/>
    <w:rsid w:val="09F00295"/>
    <w:rsid w:val="0A7235BF"/>
    <w:rsid w:val="0A8E0695"/>
    <w:rsid w:val="0AC57974"/>
    <w:rsid w:val="0B413C35"/>
    <w:rsid w:val="0F9016DB"/>
    <w:rsid w:val="0F9A7273"/>
    <w:rsid w:val="0FE268D2"/>
    <w:rsid w:val="10A73DA4"/>
    <w:rsid w:val="11010158"/>
    <w:rsid w:val="114E06C3"/>
    <w:rsid w:val="11A63AC3"/>
    <w:rsid w:val="124D69FC"/>
    <w:rsid w:val="128E4CD4"/>
    <w:rsid w:val="13135140"/>
    <w:rsid w:val="13445861"/>
    <w:rsid w:val="134641EF"/>
    <w:rsid w:val="136B7D14"/>
    <w:rsid w:val="15986B0A"/>
    <w:rsid w:val="15A64981"/>
    <w:rsid w:val="1635775C"/>
    <w:rsid w:val="163F4A7E"/>
    <w:rsid w:val="17D85E72"/>
    <w:rsid w:val="18037914"/>
    <w:rsid w:val="18217070"/>
    <w:rsid w:val="182A0E16"/>
    <w:rsid w:val="18DE0B18"/>
    <w:rsid w:val="191A1185"/>
    <w:rsid w:val="197B082F"/>
    <w:rsid w:val="1A4B623A"/>
    <w:rsid w:val="21680401"/>
    <w:rsid w:val="239F090A"/>
    <w:rsid w:val="24945A79"/>
    <w:rsid w:val="27624C01"/>
    <w:rsid w:val="27B766F6"/>
    <w:rsid w:val="2886653D"/>
    <w:rsid w:val="28C80903"/>
    <w:rsid w:val="29701875"/>
    <w:rsid w:val="29765CFA"/>
    <w:rsid w:val="2B265E7C"/>
    <w:rsid w:val="2DA54CA6"/>
    <w:rsid w:val="2F026361"/>
    <w:rsid w:val="2F5729E1"/>
    <w:rsid w:val="2FFB511A"/>
    <w:rsid w:val="306F0E15"/>
    <w:rsid w:val="309C7E33"/>
    <w:rsid w:val="31496EEC"/>
    <w:rsid w:val="31B77767"/>
    <w:rsid w:val="33E12879"/>
    <w:rsid w:val="34095384"/>
    <w:rsid w:val="34E24AFB"/>
    <w:rsid w:val="351233DB"/>
    <w:rsid w:val="363F0F06"/>
    <w:rsid w:val="36E96615"/>
    <w:rsid w:val="38EA6674"/>
    <w:rsid w:val="3BC62A80"/>
    <w:rsid w:val="3F7448C2"/>
    <w:rsid w:val="3FD348C7"/>
    <w:rsid w:val="400B0179"/>
    <w:rsid w:val="40C80669"/>
    <w:rsid w:val="41940D6D"/>
    <w:rsid w:val="41F540C0"/>
    <w:rsid w:val="42415557"/>
    <w:rsid w:val="42FC322C"/>
    <w:rsid w:val="44AC435F"/>
    <w:rsid w:val="45860AB4"/>
    <w:rsid w:val="46DF70EC"/>
    <w:rsid w:val="487D493C"/>
    <w:rsid w:val="489A777E"/>
    <w:rsid w:val="493A4AAE"/>
    <w:rsid w:val="4A9C4613"/>
    <w:rsid w:val="4C76404F"/>
    <w:rsid w:val="4D542DAB"/>
    <w:rsid w:val="4DA67FC9"/>
    <w:rsid w:val="4E7F3751"/>
    <w:rsid w:val="4EC70B92"/>
    <w:rsid w:val="512C2F2E"/>
    <w:rsid w:val="51DD38FD"/>
    <w:rsid w:val="52E579D6"/>
    <w:rsid w:val="549870A0"/>
    <w:rsid w:val="55C63EE6"/>
    <w:rsid w:val="56D007FF"/>
    <w:rsid w:val="570F5142"/>
    <w:rsid w:val="576F586A"/>
    <w:rsid w:val="5777D4F5"/>
    <w:rsid w:val="57D94F90"/>
    <w:rsid w:val="581229C3"/>
    <w:rsid w:val="595653E6"/>
    <w:rsid w:val="59743537"/>
    <w:rsid w:val="598D011F"/>
    <w:rsid w:val="5B4F3FC2"/>
    <w:rsid w:val="5BAD751D"/>
    <w:rsid w:val="5D2E44D2"/>
    <w:rsid w:val="5DA84284"/>
    <w:rsid w:val="5DB1138B"/>
    <w:rsid w:val="5E026FEC"/>
    <w:rsid w:val="5FB148F4"/>
    <w:rsid w:val="5FC6BB1E"/>
    <w:rsid w:val="5FF720F1"/>
    <w:rsid w:val="60C74A21"/>
    <w:rsid w:val="60EE0200"/>
    <w:rsid w:val="61B3163D"/>
    <w:rsid w:val="62F85366"/>
    <w:rsid w:val="63930AB7"/>
    <w:rsid w:val="643C1282"/>
    <w:rsid w:val="645753D4"/>
    <w:rsid w:val="649305A2"/>
    <w:rsid w:val="64D43BB1"/>
    <w:rsid w:val="64EE0E70"/>
    <w:rsid w:val="6532706E"/>
    <w:rsid w:val="65705687"/>
    <w:rsid w:val="65B05FE0"/>
    <w:rsid w:val="660109D5"/>
    <w:rsid w:val="667445FD"/>
    <w:rsid w:val="6720463D"/>
    <w:rsid w:val="67260575"/>
    <w:rsid w:val="6A294057"/>
    <w:rsid w:val="6AFF0859"/>
    <w:rsid w:val="6BD30F4C"/>
    <w:rsid w:val="6C65770A"/>
    <w:rsid w:val="6D15603E"/>
    <w:rsid w:val="6D1D2BA3"/>
    <w:rsid w:val="6D340BE9"/>
    <w:rsid w:val="6DC24EEE"/>
    <w:rsid w:val="6E4E0530"/>
    <w:rsid w:val="6FB46AB9"/>
    <w:rsid w:val="701C532F"/>
    <w:rsid w:val="71B615C9"/>
    <w:rsid w:val="72853156"/>
    <w:rsid w:val="72D57472"/>
    <w:rsid w:val="73653335"/>
    <w:rsid w:val="737D59BA"/>
    <w:rsid w:val="73861F99"/>
    <w:rsid w:val="73D15FE7"/>
    <w:rsid w:val="743957DE"/>
    <w:rsid w:val="75063912"/>
    <w:rsid w:val="750F78A6"/>
    <w:rsid w:val="772C33D8"/>
    <w:rsid w:val="775C4FEC"/>
    <w:rsid w:val="776B5ABC"/>
    <w:rsid w:val="776D2CE2"/>
    <w:rsid w:val="77C37683"/>
    <w:rsid w:val="79FF515B"/>
    <w:rsid w:val="7B4E716C"/>
    <w:rsid w:val="7C4D3A17"/>
    <w:rsid w:val="7CD410F5"/>
    <w:rsid w:val="7E1266A0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5066</Words>
  <Characters>5567</Characters>
  <Lines>63</Lines>
  <Paragraphs>18</Paragraphs>
  <TotalTime>43</TotalTime>
  <ScaleCrop>false</ScaleCrop>
  <LinksUpToDate>false</LinksUpToDate>
  <CharactersWithSpaces>5614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亍宝他爸</cp:lastModifiedBy>
  <cp:lastPrinted>2023-08-15T09:28:00Z</cp:lastPrinted>
  <dcterms:modified xsi:type="dcterms:W3CDTF">2024-09-28T02:08:24Z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