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8335F">
      <w:pPr>
        <w:pStyle w:val="13"/>
        <w:jc w:val="center"/>
        <w:rPr>
          <w:rFonts w:ascii="仿宋" w:hAnsi="仿宋" w:eastAsia="仿宋" w:cs="微软雅黑"/>
          <w:sz w:val="56"/>
          <w:szCs w:val="56"/>
        </w:rPr>
      </w:pPr>
    </w:p>
    <w:p w14:paraId="110BBF2D">
      <w:pPr>
        <w:pStyle w:val="13"/>
        <w:jc w:val="center"/>
        <w:rPr>
          <w:rFonts w:ascii="仿宋" w:hAnsi="仿宋" w:eastAsia="仿宋" w:cs="微软雅黑"/>
          <w:sz w:val="56"/>
          <w:szCs w:val="56"/>
        </w:rPr>
      </w:pPr>
    </w:p>
    <w:p w14:paraId="56EC0889">
      <w:pPr>
        <w:pStyle w:val="13"/>
        <w:jc w:val="center"/>
        <w:rPr>
          <w:rFonts w:ascii="仿宋" w:hAnsi="仿宋" w:eastAsia="仿宋" w:cs="微软雅黑"/>
          <w:sz w:val="84"/>
          <w:szCs w:val="84"/>
        </w:rPr>
      </w:pPr>
    </w:p>
    <w:p w14:paraId="15636658">
      <w:pPr>
        <w:pStyle w:val="13"/>
        <w:jc w:val="center"/>
        <w:rPr>
          <w:rFonts w:ascii="仿宋" w:hAnsi="仿宋" w:eastAsia="仿宋" w:cs="微软雅黑"/>
          <w:sz w:val="84"/>
          <w:szCs w:val="84"/>
        </w:rPr>
      </w:pPr>
    </w:p>
    <w:p w14:paraId="5A263938">
      <w:pPr>
        <w:pStyle w:val="13"/>
        <w:jc w:val="center"/>
        <w:rPr>
          <w:rFonts w:ascii="仿宋" w:hAnsi="仿宋" w:eastAsia="仿宋" w:cs="微软雅黑"/>
          <w:b/>
          <w:bCs/>
          <w:sz w:val="84"/>
          <w:szCs w:val="84"/>
        </w:rPr>
      </w:pPr>
      <w:r>
        <w:rPr>
          <w:rFonts w:hint="eastAsia" w:ascii="仿宋" w:hAnsi="仿宋" w:eastAsia="仿宋" w:cs="微软雅黑"/>
          <w:b/>
          <w:bCs/>
          <w:sz w:val="84"/>
          <w:szCs w:val="84"/>
        </w:rPr>
        <w:t>2023</w:t>
      </w:r>
      <w:r>
        <w:rPr>
          <w:rFonts w:ascii="仿宋" w:hAnsi="仿宋" w:eastAsia="仿宋" w:cs="微软雅黑"/>
          <w:b/>
          <w:sz w:val="84"/>
        </w:rPr>
        <w:t>年度</w:t>
      </w:r>
    </w:p>
    <w:p w14:paraId="47DADE0B">
      <w:pPr>
        <w:pStyle w:val="13"/>
        <w:jc w:val="center"/>
        <w:rPr>
          <w:rFonts w:ascii="仿宋" w:hAnsi="仿宋" w:eastAsia="仿宋" w:cs="微软雅黑"/>
          <w:b/>
          <w:bCs/>
          <w:sz w:val="84"/>
          <w:szCs w:val="84"/>
        </w:rPr>
      </w:pPr>
      <w:r>
        <w:rPr>
          <w:rFonts w:hint="eastAsia" w:ascii="仿宋" w:hAnsi="仿宋" w:eastAsia="仿宋" w:cs="微软雅黑"/>
          <w:b/>
          <w:bCs/>
          <w:sz w:val="84"/>
          <w:szCs w:val="84"/>
        </w:rPr>
        <w:t>岳阳县农业农村局</w:t>
      </w:r>
      <w:r>
        <w:rPr>
          <w:rFonts w:ascii="仿宋" w:hAnsi="仿宋" w:eastAsia="仿宋" w:cs="微软雅黑"/>
          <w:b/>
          <w:sz w:val="84"/>
        </w:rPr>
        <w:t>部门（</w:t>
      </w:r>
      <w:r>
        <w:rPr>
          <w:rFonts w:hint="eastAsia" w:ascii="仿宋" w:hAnsi="仿宋" w:eastAsia="仿宋" w:cs="微软雅黑"/>
          <w:b/>
          <w:sz w:val="84"/>
        </w:rPr>
        <w:t>本级</w:t>
      </w:r>
      <w:r>
        <w:rPr>
          <w:rFonts w:ascii="仿宋" w:hAnsi="仿宋" w:eastAsia="仿宋" w:cs="微软雅黑"/>
          <w:b/>
          <w:sz w:val="84"/>
        </w:rPr>
        <w:t>）部门决算</w:t>
      </w:r>
    </w:p>
    <w:p w14:paraId="3D23C5C0">
      <w:pPr>
        <w:pStyle w:val="13"/>
        <w:jc w:val="center"/>
        <w:rPr>
          <w:rFonts w:ascii="仿宋" w:hAnsi="仿宋" w:eastAsia="仿宋" w:cs="微软雅黑"/>
          <w:sz w:val="84"/>
          <w:szCs w:val="84"/>
        </w:rPr>
      </w:pPr>
    </w:p>
    <w:p w14:paraId="162D62AF">
      <w:pPr>
        <w:pStyle w:val="13"/>
        <w:jc w:val="center"/>
        <w:rPr>
          <w:rFonts w:ascii="仿宋" w:hAnsi="仿宋" w:eastAsia="仿宋" w:cs="微软雅黑"/>
          <w:sz w:val="84"/>
          <w:szCs w:val="84"/>
        </w:rPr>
      </w:pPr>
    </w:p>
    <w:p w14:paraId="4A585E11">
      <w:pPr>
        <w:pStyle w:val="13"/>
        <w:jc w:val="center"/>
        <w:rPr>
          <w:rFonts w:ascii="仿宋" w:hAnsi="仿宋" w:eastAsia="仿宋" w:cs="微软雅黑"/>
          <w:sz w:val="84"/>
          <w:szCs w:val="84"/>
        </w:rPr>
      </w:pPr>
    </w:p>
    <w:p w14:paraId="79AD0B97">
      <w:pPr>
        <w:pStyle w:val="13"/>
        <w:jc w:val="center"/>
        <w:rPr>
          <w:rFonts w:ascii="仿宋" w:hAnsi="仿宋" w:eastAsia="仿宋" w:cs="微软雅黑"/>
          <w:sz w:val="84"/>
          <w:szCs w:val="84"/>
        </w:rPr>
      </w:pPr>
    </w:p>
    <w:p w14:paraId="133043C9">
      <w:pPr>
        <w:pStyle w:val="13"/>
        <w:jc w:val="center"/>
        <w:rPr>
          <w:rFonts w:ascii="仿宋" w:hAnsi="仿宋" w:eastAsia="仿宋" w:cs="微软雅黑"/>
          <w:sz w:val="84"/>
          <w:szCs w:val="84"/>
        </w:rPr>
      </w:pPr>
    </w:p>
    <w:p w14:paraId="303F86CC">
      <w:pPr>
        <w:pStyle w:val="13"/>
        <w:jc w:val="center"/>
        <w:rPr>
          <w:rFonts w:ascii="仿宋" w:hAnsi="仿宋" w:eastAsia="仿宋" w:cs="微软雅黑"/>
          <w:sz w:val="84"/>
          <w:szCs w:val="84"/>
        </w:rPr>
      </w:pPr>
    </w:p>
    <w:p w14:paraId="05302044">
      <w:pPr>
        <w:rPr>
          <w:rFonts w:ascii="仿宋" w:hAnsi="仿宋" w:eastAsia="仿宋" w:cs="微软雅黑"/>
        </w:rPr>
      </w:pPr>
    </w:p>
    <w:p w14:paraId="25B51FC8">
      <w:pPr>
        <w:pStyle w:val="13"/>
        <w:spacing w:line="500" w:lineRule="exact"/>
        <w:jc w:val="center"/>
        <w:rPr>
          <w:rFonts w:ascii="仿宋" w:hAnsi="仿宋" w:eastAsia="仿宋" w:cs="微软雅黑"/>
          <w:b/>
          <w:sz w:val="36"/>
          <w:szCs w:val="28"/>
        </w:rPr>
      </w:pPr>
      <w:r>
        <w:rPr>
          <w:rFonts w:hint="eastAsia" w:ascii="仿宋" w:hAnsi="仿宋" w:eastAsia="仿宋" w:cs="微软雅黑"/>
          <w:b/>
          <w:sz w:val="36"/>
          <w:szCs w:val="28"/>
        </w:rPr>
        <w:t>目录</w:t>
      </w:r>
    </w:p>
    <w:p w14:paraId="20B47733">
      <w:pPr>
        <w:pStyle w:val="13"/>
        <w:spacing w:line="500" w:lineRule="exact"/>
        <w:jc w:val="center"/>
        <w:rPr>
          <w:rFonts w:ascii="仿宋" w:hAnsi="仿宋" w:eastAsia="仿宋" w:cs="微软雅黑"/>
          <w:b/>
          <w:sz w:val="36"/>
          <w:szCs w:val="28"/>
        </w:rPr>
      </w:pPr>
    </w:p>
    <w:p w14:paraId="2E95B1E1">
      <w:pPr>
        <w:pStyle w:val="13"/>
        <w:spacing w:line="360" w:lineRule="auto"/>
        <w:rPr>
          <w:rFonts w:ascii="仿宋" w:hAnsi="仿宋" w:eastAsia="仿宋" w:cs="微软雅黑"/>
          <w:b/>
          <w:sz w:val="28"/>
          <w:szCs w:val="28"/>
        </w:rPr>
      </w:pPr>
      <w:r>
        <w:rPr>
          <w:rFonts w:hint="eastAsia" w:ascii="仿宋" w:hAnsi="仿宋" w:eastAsia="仿宋" w:cs="微软雅黑"/>
          <w:b/>
          <w:sz w:val="28"/>
          <w:szCs w:val="28"/>
        </w:rPr>
        <w:t>第一部分 岳阳县农业农村局部门（单位）概况</w:t>
      </w:r>
    </w:p>
    <w:p w14:paraId="46639CFD">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一、部门职责</w:t>
      </w:r>
    </w:p>
    <w:p w14:paraId="6412B4C8">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二、机构设置及决算单位构成</w:t>
      </w:r>
    </w:p>
    <w:p w14:paraId="4A4A8405">
      <w:pPr>
        <w:pStyle w:val="13"/>
        <w:spacing w:line="360" w:lineRule="auto"/>
        <w:rPr>
          <w:rFonts w:ascii="仿宋" w:hAnsi="仿宋" w:eastAsia="仿宋" w:cs="微软雅黑"/>
          <w:b/>
          <w:sz w:val="28"/>
          <w:szCs w:val="28"/>
        </w:rPr>
      </w:pPr>
      <w:r>
        <w:rPr>
          <w:rFonts w:hint="eastAsia" w:ascii="仿宋" w:hAnsi="仿宋" w:eastAsia="仿宋" w:cs="微软雅黑"/>
          <w:b/>
          <w:sz w:val="28"/>
          <w:szCs w:val="28"/>
        </w:rPr>
        <w:t>第二部分 部门决算表</w:t>
      </w:r>
    </w:p>
    <w:p w14:paraId="6159B932">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一、收入支出决算总表</w:t>
      </w:r>
    </w:p>
    <w:p w14:paraId="60E1EB6B">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二、收入决算表</w:t>
      </w:r>
    </w:p>
    <w:p w14:paraId="22CF8139">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三、支出决算表</w:t>
      </w:r>
    </w:p>
    <w:p w14:paraId="5CA11161">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四、财政拨款收入支出决算总表</w:t>
      </w:r>
    </w:p>
    <w:p w14:paraId="27FF44A5">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五、一般公共预算财政拨款支出决算表</w:t>
      </w:r>
    </w:p>
    <w:p w14:paraId="0B57FB56">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六、一般公共预算财政拨款基本支出决算明细表</w:t>
      </w:r>
    </w:p>
    <w:p w14:paraId="68840DCD">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七、政府性基金预算财政拨款收入支出决算表</w:t>
      </w:r>
    </w:p>
    <w:p w14:paraId="2BFFE8FF">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八、国有资本经营预算财政拨款支出决算表</w:t>
      </w:r>
    </w:p>
    <w:p w14:paraId="6EFA0802">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九、财政拨款“三公”经费支出决算表</w:t>
      </w:r>
    </w:p>
    <w:p w14:paraId="7E662443">
      <w:pPr>
        <w:pStyle w:val="13"/>
        <w:spacing w:line="360" w:lineRule="auto"/>
        <w:rPr>
          <w:rFonts w:ascii="仿宋" w:hAnsi="仿宋" w:eastAsia="仿宋" w:cs="微软雅黑"/>
          <w:b/>
          <w:sz w:val="28"/>
          <w:szCs w:val="28"/>
        </w:rPr>
      </w:pPr>
      <w:r>
        <w:rPr>
          <w:rFonts w:hint="eastAsia" w:ascii="仿宋" w:hAnsi="仿宋" w:eastAsia="仿宋" w:cs="微软雅黑"/>
          <w:b/>
          <w:sz w:val="28"/>
          <w:szCs w:val="28"/>
        </w:rPr>
        <w:t>第三部分 部门决算情况说明</w:t>
      </w:r>
    </w:p>
    <w:p w14:paraId="3DC25760">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一、收入支出决算总体情况说明</w:t>
      </w:r>
    </w:p>
    <w:p w14:paraId="117D1609">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二、收入决算情况说明</w:t>
      </w:r>
    </w:p>
    <w:p w14:paraId="1EE75FDA">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三、支出决算情况说明</w:t>
      </w:r>
    </w:p>
    <w:p w14:paraId="44FB54D8">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四、财政拨款收入支出决算总体情况说明</w:t>
      </w:r>
    </w:p>
    <w:p w14:paraId="16A15635">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五、一般公共预算财政拨款支出决算情况说明</w:t>
      </w:r>
    </w:p>
    <w:p w14:paraId="46C2ECEA">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六、一般公共预算财政拨款基本支出决算情况说明</w:t>
      </w:r>
    </w:p>
    <w:p w14:paraId="5A39250B">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七、政府性基金预算收入支出决算情况</w:t>
      </w:r>
    </w:p>
    <w:p w14:paraId="4F40C3DB">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八、国有资本经营预算财政拨款支出决算情况</w:t>
      </w:r>
    </w:p>
    <w:p w14:paraId="6DDCD277">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九、财政拨款三公经费支出决算情况说明</w:t>
      </w:r>
    </w:p>
    <w:p w14:paraId="76B9F070">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十、关于机关运行经费支出说明</w:t>
      </w:r>
    </w:p>
    <w:p w14:paraId="2CA94228">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十一、一般性支出情况说明</w:t>
      </w:r>
    </w:p>
    <w:p w14:paraId="188AF1F5">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十二、关于政府采购支出说明</w:t>
      </w:r>
    </w:p>
    <w:p w14:paraId="330398F7">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十三、关于国有资产占用情况说明</w:t>
      </w:r>
    </w:p>
    <w:p w14:paraId="32F0CF04">
      <w:pPr>
        <w:pStyle w:val="13"/>
        <w:spacing w:line="360" w:lineRule="auto"/>
        <w:ind w:firstLine="700" w:firstLineChars="250"/>
        <w:rPr>
          <w:rFonts w:ascii="仿宋" w:hAnsi="仿宋" w:eastAsia="仿宋" w:cs="微软雅黑"/>
          <w:sz w:val="28"/>
          <w:szCs w:val="28"/>
        </w:rPr>
      </w:pPr>
      <w:r>
        <w:rPr>
          <w:rFonts w:hint="eastAsia" w:ascii="仿宋" w:hAnsi="仿宋" w:eastAsia="仿宋" w:cs="微软雅黑"/>
          <w:sz w:val="28"/>
          <w:szCs w:val="28"/>
        </w:rPr>
        <w:t>十四、关于2023</w:t>
      </w:r>
      <w:r>
        <w:rPr>
          <w:rFonts w:ascii="仿宋" w:hAnsi="仿宋" w:eastAsia="仿宋" w:cs="微软雅黑"/>
          <w:sz w:val="28"/>
        </w:rPr>
        <w:t>年度</w:t>
      </w:r>
      <w:r>
        <w:rPr>
          <w:rFonts w:hint="eastAsia" w:ascii="仿宋" w:hAnsi="仿宋" w:eastAsia="仿宋" w:cs="微软雅黑"/>
          <w:sz w:val="28"/>
          <w:szCs w:val="28"/>
        </w:rPr>
        <w:t>绩效评价情况的说明</w:t>
      </w:r>
    </w:p>
    <w:p w14:paraId="2A936173">
      <w:pPr>
        <w:pStyle w:val="13"/>
        <w:spacing w:line="360" w:lineRule="auto"/>
        <w:rPr>
          <w:rFonts w:ascii="仿宋" w:hAnsi="仿宋" w:eastAsia="仿宋" w:cs="微软雅黑"/>
          <w:b/>
          <w:sz w:val="28"/>
          <w:szCs w:val="28"/>
        </w:rPr>
      </w:pPr>
      <w:r>
        <w:rPr>
          <w:rFonts w:hint="eastAsia" w:ascii="仿宋" w:hAnsi="仿宋" w:eastAsia="仿宋" w:cs="微软雅黑"/>
          <w:b/>
          <w:sz w:val="28"/>
          <w:szCs w:val="28"/>
        </w:rPr>
        <w:t>第四部分 名词解释</w:t>
      </w:r>
    </w:p>
    <w:p w14:paraId="3CCDBC7B">
      <w:pPr>
        <w:pStyle w:val="13"/>
        <w:spacing w:line="360" w:lineRule="auto"/>
        <w:rPr>
          <w:rFonts w:ascii="仿宋" w:hAnsi="仿宋" w:eastAsia="仿宋" w:cs="微软雅黑"/>
          <w:b/>
          <w:sz w:val="28"/>
          <w:szCs w:val="28"/>
        </w:rPr>
      </w:pPr>
      <w:r>
        <w:rPr>
          <w:rFonts w:hint="eastAsia" w:ascii="仿宋" w:hAnsi="仿宋" w:eastAsia="仿宋" w:cs="微软雅黑"/>
          <w:b/>
          <w:sz w:val="28"/>
          <w:szCs w:val="28"/>
        </w:rPr>
        <w:t>第五部分 附件</w:t>
      </w:r>
    </w:p>
    <w:p w14:paraId="4DE2D415">
      <w:pPr>
        <w:pStyle w:val="13"/>
        <w:spacing w:line="500" w:lineRule="exact"/>
        <w:rPr>
          <w:rFonts w:ascii="仿宋" w:hAnsi="仿宋" w:eastAsia="仿宋" w:cs="微软雅黑"/>
          <w:bCs/>
          <w:sz w:val="28"/>
          <w:szCs w:val="28"/>
        </w:rPr>
      </w:pPr>
      <w:r>
        <w:rPr>
          <w:rFonts w:hint="eastAsia" w:ascii="仿宋" w:hAnsi="仿宋" w:eastAsia="仿宋" w:cs="微软雅黑"/>
          <w:bCs/>
          <w:sz w:val="28"/>
          <w:szCs w:val="28"/>
        </w:rPr>
        <w:br w:type="page"/>
      </w:r>
    </w:p>
    <w:p w14:paraId="5C146346">
      <w:pPr>
        <w:jc w:val="center"/>
        <w:rPr>
          <w:rFonts w:ascii="仿宋" w:hAnsi="仿宋" w:eastAsia="仿宋" w:cs="微软雅黑"/>
          <w:sz w:val="72"/>
          <w:szCs w:val="72"/>
        </w:rPr>
      </w:pPr>
    </w:p>
    <w:p w14:paraId="3B1727BA">
      <w:pPr>
        <w:jc w:val="center"/>
        <w:rPr>
          <w:rFonts w:ascii="仿宋" w:hAnsi="仿宋" w:eastAsia="仿宋" w:cs="微软雅黑"/>
          <w:sz w:val="72"/>
          <w:szCs w:val="72"/>
        </w:rPr>
      </w:pPr>
    </w:p>
    <w:p w14:paraId="73F707AE">
      <w:pPr>
        <w:jc w:val="center"/>
        <w:rPr>
          <w:rFonts w:ascii="仿宋" w:hAnsi="仿宋" w:eastAsia="仿宋" w:cs="微软雅黑"/>
          <w:sz w:val="72"/>
          <w:szCs w:val="72"/>
        </w:rPr>
      </w:pPr>
    </w:p>
    <w:p w14:paraId="692E8C83">
      <w:pPr>
        <w:jc w:val="center"/>
        <w:rPr>
          <w:rFonts w:ascii="仿宋" w:hAnsi="仿宋" w:eastAsia="仿宋" w:cs="微软雅黑"/>
          <w:sz w:val="72"/>
          <w:szCs w:val="72"/>
        </w:rPr>
      </w:pPr>
    </w:p>
    <w:p w14:paraId="4170C938">
      <w:pPr>
        <w:pStyle w:val="13"/>
        <w:jc w:val="center"/>
        <w:rPr>
          <w:rFonts w:ascii="仿宋" w:hAnsi="仿宋" w:eastAsia="仿宋" w:cs="微软雅黑"/>
          <w:b/>
          <w:bCs/>
          <w:sz w:val="84"/>
          <w:szCs w:val="84"/>
        </w:rPr>
      </w:pPr>
      <w:r>
        <w:rPr>
          <w:rFonts w:hint="eastAsia" w:ascii="仿宋" w:hAnsi="仿宋" w:eastAsia="仿宋" w:cs="微软雅黑"/>
          <w:b/>
          <w:bCs/>
          <w:sz w:val="84"/>
          <w:szCs w:val="84"/>
        </w:rPr>
        <w:t xml:space="preserve">第一部分 </w:t>
      </w:r>
    </w:p>
    <w:p w14:paraId="0AB2ACB7">
      <w:pPr>
        <w:pStyle w:val="13"/>
        <w:jc w:val="center"/>
        <w:rPr>
          <w:rFonts w:ascii="仿宋" w:hAnsi="仿宋" w:eastAsia="仿宋" w:cs="微软雅黑"/>
          <w:b/>
          <w:bCs/>
          <w:sz w:val="84"/>
          <w:szCs w:val="84"/>
        </w:rPr>
      </w:pPr>
    </w:p>
    <w:p w14:paraId="0FCDF5D3">
      <w:pPr>
        <w:pStyle w:val="13"/>
        <w:jc w:val="center"/>
        <w:rPr>
          <w:rFonts w:ascii="仿宋" w:hAnsi="仿宋" w:eastAsia="仿宋" w:cs="微软雅黑"/>
          <w:b/>
          <w:bCs/>
          <w:sz w:val="84"/>
          <w:szCs w:val="84"/>
        </w:rPr>
      </w:pPr>
      <w:r>
        <w:rPr>
          <w:rFonts w:hint="eastAsia" w:ascii="仿宋" w:hAnsi="仿宋" w:eastAsia="仿宋" w:cs="微软雅黑"/>
          <w:b/>
          <w:bCs/>
          <w:sz w:val="84"/>
          <w:szCs w:val="84"/>
        </w:rPr>
        <w:t>岳阳县农业农村局部门（本级）概况</w:t>
      </w:r>
    </w:p>
    <w:p w14:paraId="2EAFE606">
      <w:pPr>
        <w:jc w:val="center"/>
        <w:rPr>
          <w:rFonts w:ascii="仿宋" w:hAnsi="仿宋" w:eastAsia="仿宋" w:cs="微软雅黑"/>
          <w:sz w:val="72"/>
          <w:szCs w:val="72"/>
        </w:rPr>
      </w:pPr>
    </w:p>
    <w:p w14:paraId="572E84E1">
      <w:pPr>
        <w:jc w:val="center"/>
        <w:rPr>
          <w:rFonts w:ascii="仿宋" w:hAnsi="仿宋" w:eastAsia="仿宋" w:cs="微软雅黑"/>
          <w:sz w:val="72"/>
          <w:szCs w:val="72"/>
        </w:rPr>
      </w:pPr>
    </w:p>
    <w:p w14:paraId="3ECA1F3E">
      <w:pPr>
        <w:jc w:val="center"/>
        <w:rPr>
          <w:rFonts w:ascii="仿宋" w:hAnsi="仿宋" w:eastAsia="仿宋" w:cs="微软雅黑"/>
          <w:sz w:val="72"/>
          <w:szCs w:val="72"/>
        </w:rPr>
      </w:pPr>
    </w:p>
    <w:p w14:paraId="25A8B762">
      <w:pPr>
        <w:jc w:val="center"/>
        <w:rPr>
          <w:rFonts w:ascii="仿宋" w:hAnsi="仿宋" w:eastAsia="仿宋" w:cs="微软雅黑"/>
          <w:sz w:val="72"/>
          <w:szCs w:val="72"/>
        </w:rPr>
      </w:pPr>
    </w:p>
    <w:p w14:paraId="6B271A37">
      <w:pPr>
        <w:jc w:val="center"/>
        <w:rPr>
          <w:rFonts w:ascii="仿宋" w:hAnsi="仿宋" w:eastAsia="仿宋" w:cs="微软雅黑"/>
          <w:sz w:val="72"/>
          <w:szCs w:val="72"/>
        </w:rPr>
      </w:pPr>
    </w:p>
    <w:p w14:paraId="7E44D11A">
      <w:pPr>
        <w:jc w:val="center"/>
        <w:rPr>
          <w:rFonts w:ascii="仿宋" w:hAnsi="仿宋" w:eastAsia="仿宋" w:cs="微软雅黑"/>
          <w:sz w:val="72"/>
          <w:szCs w:val="72"/>
        </w:rPr>
      </w:pPr>
    </w:p>
    <w:p w14:paraId="7066925A">
      <w:pPr>
        <w:jc w:val="center"/>
        <w:rPr>
          <w:rFonts w:ascii="仿宋" w:hAnsi="仿宋" w:eastAsia="仿宋" w:cs="微软雅黑"/>
          <w:sz w:val="72"/>
          <w:szCs w:val="72"/>
        </w:rPr>
      </w:pPr>
    </w:p>
    <w:p w14:paraId="1A966A00">
      <w:pPr>
        <w:pStyle w:val="14"/>
        <w:ind w:firstLine="0" w:firstLineChars="0"/>
        <w:jc w:val="left"/>
        <w:rPr>
          <w:rFonts w:ascii="仿宋" w:hAnsi="仿宋" w:eastAsia="仿宋" w:cs="微软雅黑"/>
          <w:b/>
          <w:bCs/>
          <w:sz w:val="32"/>
          <w:szCs w:val="32"/>
        </w:rPr>
      </w:pPr>
      <w:r>
        <w:rPr>
          <w:rFonts w:hint="eastAsia" w:ascii="仿宋" w:hAnsi="仿宋" w:eastAsia="仿宋" w:cs="微软雅黑"/>
          <w:b/>
          <w:bCs/>
          <w:sz w:val="32"/>
          <w:szCs w:val="32"/>
        </w:rPr>
        <w:t>一、部门职责</w:t>
      </w:r>
    </w:p>
    <w:p w14:paraId="335DB0A9">
      <w:pPr>
        <w:widowControl/>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负责全县农业、农村工作的协调和综合工作,组织研究全县农业、农村发展和改革中的问题,提出农业、农村发展和改革的政策建议,指导农村改革发展工作。会同有关部门研究提出城乡经济社会发展一体化体制机制改革的建议,指导协调县域经济发展和新农村建设。</w:t>
      </w:r>
    </w:p>
    <w:p w14:paraId="4F02BAE9">
      <w:pPr>
        <w:widowControl/>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指导粮食等主要农产品生产,组织落实促进粮食等主要农产品生产发展的相关政策措施,会同有关部门指导农业标准化、规模化生产。</w:t>
      </w:r>
    </w:p>
    <w:p w14:paraId="4F973433">
      <w:pPr>
        <w:widowControl/>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承担提升农产品质量安全水平的责任,依法开展农产品质量安全风险评估,收集上报有关农产品质量安全状况信息,负责农产品质量安全监测。</w:t>
      </w:r>
    </w:p>
    <w:p w14:paraId="7A7F3771">
      <w:pPr>
        <w:widowControl/>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负责农作物重大病虫害防治,贯彻执行国家、省植物防疫检疫法律法规和政策。</w:t>
      </w:r>
    </w:p>
    <w:p w14:paraId="2B07CA4F">
      <w:pPr>
        <w:widowControl/>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承担农业防灾减灾的责任。</w:t>
      </w:r>
    </w:p>
    <w:p w14:paraId="35610BD8">
      <w:pPr>
        <w:widowControl/>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制定全县农业科研、农技推广的规划、计划和有关政策并指导实施。</w:t>
      </w:r>
    </w:p>
    <w:p w14:paraId="5FBA0944">
      <w:pPr>
        <w:widowControl/>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实施全县茶叶产业发展规划,品牌宣传,针对新品种、新技术的实验、示范、推广和利用,引导全县茶叶产业发展。</w:t>
      </w:r>
    </w:p>
    <w:p w14:paraId="7F2C432E">
      <w:pPr>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承担全县生猪定点屠宰厂(场、点)宰点设置、病害猪无害化处理、屠宰活动的监督管理等。</w:t>
      </w:r>
    </w:p>
    <w:p w14:paraId="78DAA7B4">
      <w:pPr>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承担县农村集体产权制度改革、农村集体“三资”监管、农村合作经济组织、农业产业社会化服务体系建设与发展、农村集体经济组织财务监管、审计监督、互联网+监督等方面的事务性工作；承担指导农村集体经济组织建设与发展、协调乡村治理体系建设方面的事务性工作。</w:t>
      </w:r>
    </w:p>
    <w:p w14:paraId="4C088020">
      <w:pPr>
        <w:numPr>
          <w:ilvl w:val="0"/>
          <w:numId w:val="1"/>
        </w:numPr>
        <w:spacing w:line="480" w:lineRule="exact"/>
        <w:rPr>
          <w:rFonts w:ascii="仿宋" w:hAnsi="仿宋" w:eastAsia="仿宋" w:cs="仿宋"/>
          <w:kern w:val="0"/>
          <w:sz w:val="28"/>
          <w:szCs w:val="28"/>
        </w:rPr>
      </w:pPr>
      <w:r>
        <w:rPr>
          <w:rFonts w:hint="eastAsia" w:ascii="仿宋" w:hAnsi="仿宋" w:eastAsia="仿宋" w:cs="仿宋"/>
          <w:kern w:val="0"/>
          <w:sz w:val="28"/>
          <w:szCs w:val="28"/>
        </w:rPr>
        <w:t>实施农村可再生能源的法律、法规和政策,可再生能源科学技术开发、新技术引进、推广,可再生能源服务体系建设和能源开发利用项目的实施,负责城镇污水厌氧净化处理的规划与实施。</w:t>
      </w:r>
    </w:p>
    <w:p w14:paraId="49FC9BC6">
      <w:pPr>
        <w:numPr>
          <w:ilvl w:val="0"/>
          <w:numId w:val="1"/>
        </w:numPr>
        <w:spacing w:line="480" w:lineRule="exact"/>
        <w:jc w:val="left"/>
        <w:rPr>
          <w:rFonts w:ascii="仿宋" w:hAnsi="仿宋" w:eastAsia="仿宋" w:cs="仿宋"/>
          <w:kern w:val="0"/>
          <w:sz w:val="28"/>
          <w:szCs w:val="28"/>
        </w:rPr>
      </w:pPr>
      <w:r>
        <w:rPr>
          <w:rFonts w:hint="eastAsia" w:ascii="仿宋" w:hAnsi="仿宋" w:eastAsia="仿宋" w:cs="仿宋"/>
          <w:kern w:val="0"/>
          <w:sz w:val="28"/>
          <w:szCs w:val="28"/>
        </w:rPr>
        <w:t>承担农村实用技术培训,农民素质教育,农村劳动力就业技能培训,农民体育健身活动,承担农民体育协会,农科教结合组织实施,农民教育培训、远距离农业成人高等教育和中等职业教育等工作。</w:t>
      </w:r>
    </w:p>
    <w:p w14:paraId="14C88877">
      <w:pPr>
        <w:numPr>
          <w:ilvl w:val="0"/>
          <w:numId w:val="1"/>
        </w:numPr>
        <w:spacing w:line="480" w:lineRule="exact"/>
        <w:jc w:val="left"/>
        <w:rPr>
          <w:rFonts w:ascii="仿宋" w:hAnsi="仿宋" w:eastAsia="仿宋" w:cs="仿宋"/>
          <w:kern w:val="0"/>
          <w:sz w:val="28"/>
          <w:szCs w:val="28"/>
        </w:rPr>
      </w:pPr>
      <w:r>
        <w:rPr>
          <w:rFonts w:hint="eastAsia" w:ascii="仿宋" w:hAnsi="仿宋" w:eastAsia="仿宋" w:cs="仿宋"/>
          <w:kern w:val="0"/>
          <w:sz w:val="28"/>
          <w:szCs w:val="28"/>
        </w:rPr>
        <w:t>组织实施农机化、农业工程、农业机械的安全生产监督管理,农机操作人员的培训考试,农机技术检测,农机事故的处理,农用油的经营预测管理,农机抗灾救灾,引进农机新机具、新技术等工作。</w:t>
      </w:r>
    </w:p>
    <w:p w14:paraId="688CCA59">
      <w:pPr>
        <w:numPr>
          <w:ilvl w:val="0"/>
          <w:numId w:val="1"/>
        </w:numPr>
        <w:spacing w:line="480" w:lineRule="exact"/>
        <w:jc w:val="left"/>
        <w:rPr>
          <w:rFonts w:ascii="仿宋" w:hAnsi="仿宋" w:eastAsia="仿宋" w:cs="仿宋"/>
          <w:kern w:val="0"/>
          <w:sz w:val="28"/>
          <w:szCs w:val="28"/>
        </w:rPr>
      </w:pPr>
      <w:r>
        <w:rPr>
          <w:rFonts w:hint="eastAsia" w:ascii="仿宋" w:hAnsi="仿宋" w:eastAsia="仿宋" w:cs="仿宋"/>
          <w:kern w:val="0"/>
          <w:sz w:val="28"/>
          <w:szCs w:val="28"/>
        </w:rPr>
        <w:t>负责原种场区域财源建设、计划生育、社会治安、党的建设、农业管理等；繁育高质量农作物原良种和杂交亲本种子；进行良种良法高效标准化栽培示范；培训农业技术人才,推广先进农业技术；负责品种的合理布局和搭配,承担品种区域试验；良种经营,根据市场需求做好新选育或新引进良种的经营工作；</w:t>
      </w:r>
    </w:p>
    <w:p w14:paraId="33FDF649">
      <w:pPr>
        <w:widowControl/>
        <w:numPr>
          <w:ilvl w:val="0"/>
          <w:numId w:val="1"/>
        </w:numPr>
        <w:spacing w:line="480" w:lineRule="exact"/>
        <w:jc w:val="left"/>
        <w:outlineLvl w:val="0"/>
        <w:rPr>
          <w:rFonts w:ascii="仿宋" w:hAnsi="仿宋" w:eastAsia="仿宋" w:cs="仿宋"/>
          <w:kern w:val="0"/>
          <w:sz w:val="28"/>
          <w:szCs w:val="28"/>
        </w:rPr>
      </w:pPr>
      <w:r>
        <w:rPr>
          <w:rFonts w:hint="eastAsia" w:ascii="仿宋" w:hAnsi="仿宋" w:eastAsia="仿宋" w:cs="仿宋"/>
          <w:kern w:val="0"/>
          <w:sz w:val="28"/>
          <w:szCs w:val="28"/>
        </w:rPr>
        <w:t>负责全县农业种子技术推广计划的制定、种子资源保护、新品种引进及区域实验与示范、农业种子救灾储备等工作。</w:t>
      </w:r>
    </w:p>
    <w:p w14:paraId="7ACC461F">
      <w:pPr>
        <w:widowControl/>
        <w:numPr>
          <w:ilvl w:val="0"/>
          <w:numId w:val="1"/>
        </w:numPr>
        <w:spacing w:line="480" w:lineRule="exact"/>
        <w:jc w:val="left"/>
        <w:outlineLvl w:val="0"/>
        <w:rPr>
          <w:rFonts w:ascii="仿宋" w:hAnsi="仿宋" w:eastAsia="仿宋" w:cs="仿宋"/>
          <w:kern w:val="0"/>
          <w:sz w:val="28"/>
          <w:szCs w:val="28"/>
        </w:rPr>
      </w:pPr>
      <w:r>
        <w:rPr>
          <w:rFonts w:hint="eastAsia" w:ascii="仿宋" w:hAnsi="仿宋" w:eastAsia="仿宋" w:cs="仿宋"/>
          <w:kern w:val="0"/>
          <w:sz w:val="28"/>
          <w:szCs w:val="28"/>
        </w:rPr>
        <w:t>承办县委、县人民政府交办的其他事项。</w:t>
      </w:r>
    </w:p>
    <w:p w14:paraId="1C1C81E1">
      <w:pPr>
        <w:widowControl/>
        <w:spacing w:line="600" w:lineRule="exact"/>
        <w:rPr>
          <w:rFonts w:ascii="仿宋" w:hAnsi="仿宋" w:eastAsia="仿宋" w:cs="微软雅黑"/>
          <w:b/>
          <w:kern w:val="0"/>
          <w:sz w:val="32"/>
          <w:szCs w:val="32"/>
        </w:rPr>
      </w:pPr>
      <w:r>
        <w:rPr>
          <w:rFonts w:hint="eastAsia" w:ascii="仿宋" w:hAnsi="仿宋" w:eastAsia="仿宋" w:cs="微软雅黑"/>
          <w:b/>
          <w:kern w:val="0"/>
          <w:sz w:val="32"/>
          <w:szCs w:val="32"/>
        </w:rPr>
        <w:t>二、机构设置及决算单位构成</w:t>
      </w:r>
    </w:p>
    <w:p w14:paraId="1FF7C9C8">
      <w:pPr>
        <w:widowControl/>
        <w:spacing w:line="600" w:lineRule="exact"/>
        <w:ind w:firstLine="640" w:firstLineChars="200"/>
        <w:rPr>
          <w:rFonts w:ascii="仿宋" w:hAnsi="仿宋" w:eastAsia="仿宋" w:cs="微软雅黑"/>
          <w:bCs/>
          <w:kern w:val="0"/>
          <w:sz w:val="32"/>
          <w:szCs w:val="32"/>
        </w:rPr>
      </w:pPr>
      <w:r>
        <w:rPr>
          <w:rFonts w:hint="eastAsia" w:ascii="仿宋" w:hAnsi="仿宋" w:eastAsia="仿宋" w:cs="微软雅黑"/>
          <w:bCs/>
          <w:kern w:val="0"/>
          <w:sz w:val="32"/>
          <w:szCs w:val="32"/>
        </w:rPr>
        <w:t>（一）内设机构设置。</w:t>
      </w:r>
    </w:p>
    <w:p w14:paraId="13E350B2">
      <w:pPr>
        <w:widowControl/>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岳阳县农业农村局为县人民政府工作部门,加挂“中共岳阳县委农村工作办公室”的牌子。农业农村局机关内设办公室、法规股、行政审批股、发展规划股、计划财务股、乡村产业发展股、农村社会事业促进股（乡村振兴工作办公室）、市场信息与对外交流股、科技教育股、农业资源保护与利用股、农产品质量安全监管股（县绿色食品办公室）、种植业管理股（农药管理股）、种业管理股、农田建设股、农业保险工作办公室、人事股、机关党委等17个股室；下设县农业行政执法大队、县土壤肥料工作站、县农产品质量检验检测站、县农业技术推广站、县植保植检站、县农田建设服务中心6个非独立核算二级机构。</w:t>
      </w:r>
    </w:p>
    <w:p w14:paraId="77A59279">
      <w:pPr>
        <w:widowControl/>
        <w:spacing w:line="6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管辖县生态能源服务中心、县农业广播电视学校、县定点屠宰服务中心、县茶产业发展中心（县黄沙街茶叶示范场）、县原种场、县农业种子技术推广站、县农业机械化服务中心、县农村经营服务站8个独立核算的二级机构。</w:t>
      </w:r>
    </w:p>
    <w:p w14:paraId="407C4134">
      <w:pPr>
        <w:widowControl/>
        <w:spacing w:line="360" w:lineRule="auto"/>
        <w:rPr>
          <w:rFonts w:ascii="仿宋" w:hAnsi="仿宋" w:eastAsia="仿宋" w:cs="微软雅黑"/>
          <w:i/>
          <w:iCs/>
          <w:color w:val="FF0000"/>
          <w:sz w:val="32"/>
          <w:szCs w:val="24"/>
          <w:highlight w:val="white"/>
        </w:rPr>
        <w:sectPr>
          <w:pgSz w:w="11906" w:h="16838"/>
          <w:pgMar w:top="720" w:right="720" w:bottom="720" w:left="720" w:header="851" w:footer="992" w:gutter="0"/>
          <w:cols w:space="720" w:num="1"/>
          <w:docGrid w:type="linesAndChars" w:linePitch="312" w:charSpace="0"/>
        </w:sectPr>
      </w:pPr>
      <w:r>
        <w:rPr>
          <w:rFonts w:hint="eastAsia" w:ascii="仿宋" w:hAnsi="仿宋" w:eastAsia="仿宋" w:cs="微软雅黑"/>
          <w:bCs/>
          <w:kern w:val="0"/>
          <w:sz w:val="32"/>
          <w:szCs w:val="32"/>
        </w:rPr>
        <w:t>（二）决算单位构成。</w:t>
      </w:r>
      <w:r>
        <w:rPr>
          <w:rFonts w:ascii="仿宋" w:hAnsi="仿宋" w:eastAsia="仿宋" w:cs="仿宋"/>
          <w:kern w:val="0"/>
          <w:sz w:val="28"/>
          <w:szCs w:val="28"/>
        </w:rPr>
        <w:t>岳阳县农业农村局单位</w:t>
      </w:r>
      <w:r>
        <w:rPr>
          <w:rFonts w:hint="eastAsia" w:ascii="仿宋" w:hAnsi="仿宋" w:eastAsia="仿宋" w:cs="仿宋"/>
          <w:kern w:val="0"/>
          <w:sz w:val="28"/>
          <w:szCs w:val="28"/>
        </w:rPr>
        <w:t>2023年部门决算汇总公开单位仅包括</w:t>
      </w:r>
      <w:r>
        <w:rPr>
          <w:rFonts w:ascii="仿宋" w:hAnsi="仿宋" w:eastAsia="仿宋" w:cs="仿宋"/>
          <w:kern w:val="0"/>
          <w:sz w:val="28"/>
          <w:szCs w:val="28"/>
        </w:rPr>
        <w:t>岳阳县农业农村局单位本级</w:t>
      </w:r>
    </w:p>
    <w:p w14:paraId="57BD24E1">
      <w:pPr>
        <w:jc w:val="center"/>
        <w:rPr>
          <w:rFonts w:ascii="仿宋" w:hAnsi="仿宋" w:eastAsia="仿宋" w:cs="微软雅黑"/>
          <w:sz w:val="72"/>
          <w:szCs w:val="72"/>
        </w:rPr>
      </w:pPr>
    </w:p>
    <w:p w14:paraId="6E917169">
      <w:pPr>
        <w:jc w:val="center"/>
        <w:rPr>
          <w:rFonts w:ascii="仿宋" w:hAnsi="仿宋" w:eastAsia="仿宋" w:cs="微软雅黑"/>
          <w:sz w:val="72"/>
          <w:szCs w:val="72"/>
        </w:rPr>
      </w:pPr>
    </w:p>
    <w:p w14:paraId="79BC9C80">
      <w:pPr>
        <w:jc w:val="center"/>
        <w:rPr>
          <w:rFonts w:ascii="仿宋" w:hAnsi="仿宋" w:eastAsia="仿宋" w:cs="微软雅黑"/>
          <w:sz w:val="72"/>
          <w:szCs w:val="72"/>
        </w:rPr>
      </w:pPr>
    </w:p>
    <w:p w14:paraId="31CC350D">
      <w:pPr>
        <w:pStyle w:val="13"/>
        <w:jc w:val="center"/>
        <w:rPr>
          <w:rFonts w:ascii="仿宋" w:hAnsi="仿宋" w:eastAsia="仿宋" w:cs="微软雅黑"/>
          <w:sz w:val="84"/>
          <w:szCs w:val="84"/>
        </w:rPr>
      </w:pPr>
    </w:p>
    <w:p w14:paraId="7AF74223">
      <w:pPr>
        <w:pStyle w:val="13"/>
        <w:jc w:val="center"/>
        <w:rPr>
          <w:rFonts w:ascii="仿宋" w:hAnsi="仿宋" w:eastAsia="仿宋" w:cs="微软雅黑"/>
          <w:b/>
          <w:bCs/>
          <w:sz w:val="72"/>
          <w:szCs w:val="72"/>
        </w:rPr>
      </w:pPr>
      <w:r>
        <w:rPr>
          <w:rFonts w:hint="eastAsia" w:ascii="仿宋" w:hAnsi="仿宋" w:eastAsia="仿宋" w:cs="微软雅黑"/>
          <w:b/>
          <w:bCs/>
          <w:sz w:val="72"/>
          <w:szCs w:val="72"/>
        </w:rPr>
        <w:t>第二部分</w:t>
      </w:r>
    </w:p>
    <w:p w14:paraId="0B47172D">
      <w:pPr>
        <w:pStyle w:val="13"/>
        <w:jc w:val="center"/>
        <w:rPr>
          <w:rFonts w:ascii="仿宋" w:hAnsi="仿宋" w:eastAsia="仿宋" w:cs="微软雅黑"/>
          <w:b/>
          <w:bCs/>
          <w:sz w:val="72"/>
          <w:szCs w:val="72"/>
        </w:rPr>
      </w:pPr>
    </w:p>
    <w:p w14:paraId="185B1512">
      <w:pPr>
        <w:pStyle w:val="13"/>
        <w:jc w:val="center"/>
        <w:rPr>
          <w:rFonts w:ascii="仿宋" w:hAnsi="仿宋" w:eastAsia="仿宋" w:cs="微软雅黑"/>
          <w:b/>
          <w:bCs/>
          <w:sz w:val="72"/>
          <w:szCs w:val="72"/>
        </w:rPr>
      </w:pPr>
      <w:r>
        <w:rPr>
          <w:rFonts w:hint="eastAsia" w:ascii="仿宋" w:hAnsi="仿宋" w:eastAsia="仿宋" w:cs="微软雅黑"/>
          <w:b/>
          <w:bCs/>
          <w:sz w:val="72"/>
          <w:szCs w:val="72"/>
        </w:rPr>
        <w:t>部门决算表</w:t>
      </w:r>
    </w:p>
    <w:p w14:paraId="4DB7AEAA">
      <w:pPr>
        <w:jc w:val="center"/>
        <w:rPr>
          <w:rFonts w:ascii="仿宋" w:hAnsi="仿宋" w:eastAsia="仿宋" w:cs="微软雅黑"/>
          <w:b/>
          <w:bCs/>
          <w:sz w:val="72"/>
          <w:szCs w:val="72"/>
        </w:rPr>
        <w:sectPr>
          <w:pgSz w:w="11906" w:h="16838"/>
          <w:pgMar w:top="720" w:right="720" w:bottom="720" w:left="720" w:header="851" w:footer="992" w:gutter="0"/>
          <w:cols w:space="720" w:num="1"/>
          <w:docGrid w:type="linesAndChars" w:linePitch="312" w:charSpace="0"/>
        </w:sectPr>
      </w:pPr>
      <w:r>
        <w:rPr>
          <w:rFonts w:hint="eastAsia" w:ascii="仿宋" w:hAnsi="仿宋" w:eastAsia="仿宋" w:cs="微软雅黑"/>
          <w:b/>
          <w:bCs/>
          <w:sz w:val="72"/>
          <w:szCs w:val="72"/>
        </w:rPr>
        <w:t>（见附件）</w:t>
      </w:r>
    </w:p>
    <w:p w14:paraId="6EC05D17">
      <w:pPr>
        <w:pStyle w:val="13"/>
        <w:jc w:val="center"/>
        <w:rPr>
          <w:rFonts w:ascii="仿宋" w:hAnsi="仿宋" w:eastAsia="仿宋" w:cs="微软雅黑"/>
          <w:sz w:val="72"/>
          <w:szCs w:val="72"/>
        </w:rPr>
      </w:pPr>
    </w:p>
    <w:p w14:paraId="5EA01584">
      <w:pPr>
        <w:pStyle w:val="13"/>
        <w:jc w:val="center"/>
        <w:rPr>
          <w:rFonts w:ascii="仿宋" w:hAnsi="仿宋" w:eastAsia="仿宋" w:cs="微软雅黑"/>
          <w:sz w:val="72"/>
          <w:szCs w:val="72"/>
        </w:rPr>
      </w:pPr>
    </w:p>
    <w:p w14:paraId="7244FBE7">
      <w:pPr>
        <w:pStyle w:val="13"/>
        <w:jc w:val="center"/>
        <w:rPr>
          <w:rFonts w:ascii="仿宋" w:hAnsi="仿宋" w:eastAsia="仿宋" w:cs="微软雅黑"/>
          <w:sz w:val="72"/>
          <w:szCs w:val="72"/>
        </w:rPr>
      </w:pPr>
    </w:p>
    <w:p w14:paraId="48E2C14B">
      <w:pPr>
        <w:pStyle w:val="13"/>
        <w:jc w:val="center"/>
        <w:rPr>
          <w:rFonts w:ascii="仿宋" w:hAnsi="仿宋" w:eastAsia="仿宋" w:cs="微软雅黑"/>
          <w:sz w:val="72"/>
          <w:szCs w:val="72"/>
        </w:rPr>
      </w:pPr>
    </w:p>
    <w:p w14:paraId="1FBB413D">
      <w:pPr>
        <w:pStyle w:val="13"/>
        <w:jc w:val="center"/>
        <w:rPr>
          <w:rFonts w:ascii="仿宋" w:hAnsi="仿宋" w:eastAsia="仿宋" w:cs="微软雅黑"/>
          <w:b/>
          <w:bCs/>
          <w:sz w:val="72"/>
          <w:szCs w:val="72"/>
        </w:rPr>
      </w:pPr>
      <w:r>
        <w:rPr>
          <w:rFonts w:hint="eastAsia" w:ascii="仿宋" w:hAnsi="仿宋" w:eastAsia="仿宋" w:cs="微软雅黑"/>
          <w:b/>
          <w:bCs/>
          <w:sz w:val="72"/>
          <w:szCs w:val="72"/>
        </w:rPr>
        <w:t>第三部分</w:t>
      </w:r>
    </w:p>
    <w:p w14:paraId="39DD9F69">
      <w:pPr>
        <w:pStyle w:val="13"/>
        <w:jc w:val="center"/>
        <w:rPr>
          <w:rFonts w:ascii="仿宋" w:hAnsi="仿宋" w:eastAsia="仿宋" w:cs="微软雅黑"/>
          <w:b/>
          <w:bCs/>
          <w:sz w:val="70"/>
          <w:szCs w:val="70"/>
        </w:rPr>
      </w:pPr>
    </w:p>
    <w:p w14:paraId="0E5FCDB4">
      <w:pPr>
        <w:pStyle w:val="13"/>
        <w:jc w:val="center"/>
        <w:rPr>
          <w:rFonts w:ascii="仿宋" w:hAnsi="仿宋" w:eastAsia="仿宋" w:cs="微软雅黑"/>
          <w:sz w:val="70"/>
          <w:szCs w:val="70"/>
        </w:rPr>
      </w:pPr>
      <w:r>
        <w:rPr>
          <w:rFonts w:hint="eastAsia" w:ascii="仿宋" w:hAnsi="仿宋" w:eastAsia="仿宋" w:cs="微软雅黑"/>
          <w:b/>
          <w:bCs/>
          <w:sz w:val="70"/>
          <w:szCs w:val="70"/>
        </w:rPr>
        <w:t>2023年度部门决算情况说明</w:t>
      </w:r>
    </w:p>
    <w:p w14:paraId="309F8F1C">
      <w:pPr>
        <w:pStyle w:val="13"/>
        <w:jc w:val="center"/>
        <w:rPr>
          <w:rFonts w:ascii="仿宋" w:hAnsi="仿宋" w:eastAsia="仿宋" w:cs="微软雅黑"/>
          <w:sz w:val="70"/>
          <w:szCs w:val="70"/>
        </w:rPr>
      </w:pPr>
    </w:p>
    <w:p w14:paraId="6A86C85E">
      <w:pPr>
        <w:pStyle w:val="13"/>
        <w:jc w:val="center"/>
        <w:rPr>
          <w:rFonts w:ascii="仿宋" w:hAnsi="仿宋" w:eastAsia="仿宋" w:cs="微软雅黑"/>
          <w:sz w:val="70"/>
          <w:szCs w:val="70"/>
        </w:rPr>
      </w:pPr>
    </w:p>
    <w:p w14:paraId="60620363">
      <w:pPr>
        <w:pStyle w:val="13"/>
        <w:jc w:val="center"/>
        <w:rPr>
          <w:rFonts w:ascii="仿宋" w:hAnsi="仿宋" w:eastAsia="仿宋" w:cs="微软雅黑"/>
          <w:sz w:val="70"/>
          <w:szCs w:val="70"/>
        </w:rPr>
      </w:pPr>
    </w:p>
    <w:p w14:paraId="78567C16">
      <w:pPr>
        <w:pStyle w:val="13"/>
        <w:jc w:val="center"/>
        <w:rPr>
          <w:rFonts w:ascii="仿宋" w:hAnsi="仿宋" w:eastAsia="仿宋" w:cs="微软雅黑"/>
          <w:sz w:val="70"/>
          <w:szCs w:val="70"/>
        </w:rPr>
      </w:pPr>
    </w:p>
    <w:p w14:paraId="2568375C">
      <w:pPr>
        <w:pStyle w:val="13"/>
        <w:jc w:val="center"/>
        <w:rPr>
          <w:rFonts w:ascii="仿宋" w:hAnsi="仿宋" w:eastAsia="仿宋" w:cs="微软雅黑"/>
          <w:sz w:val="70"/>
          <w:szCs w:val="70"/>
        </w:rPr>
      </w:pPr>
    </w:p>
    <w:p w14:paraId="5A6447C5">
      <w:pPr>
        <w:pStyle w:val="13"/>
        <w:jc w:val="center"/>
        <w:rPr>
          <w:rFonts w:ascii="仿宋" w:hAnsi="仿宋" w:eastAsia="仿宋" w:cs="微软雅黑"/>
          <w:sz w:val="70"/>
          <w:szCs w:val="70"/>
        </w:rPr>
      </w:pPr>
    </w:p>
    <w:p w14:paraId="4CD3A4EC">
      <w:pPr>
        <w:pStyle w:val="13"/>
        <w:jc w:val="center"/>
        <w:rPr>
          <w:rFonts w:ascii="仿宋" w:hAnsi="仿宋" w:eastAsia="仿宋" w:cs="微软雅黑"/>
          <w:sz w:val="70"/>
          <w:szCs w:val="70"/>
        </w:rPr>
      </w:pPr>
    </w:p>
    <w:p w14:paraId="12894E3E">
      <w:pPr>
        <w:pStyle w:val="13"/>
        <w:jc w:val="center"/>
        <w:rPr>
          <w:rFonts w:ascii="仿宋" w:hAnsi="仿宋" w:eastAsia="仿宋" w:cs="微软雅黑"/>
          <w:sz w:val="70"/>
          <w:szCs w:val="70"/>
        </w:rPr>
      </w:pPr>
    </w:p>
    <w:p w14:paraId="53789347">
      <w:pPr>
        <w:pStyle w:val="13"/>
        <w:jc w:val="center"/>
        <w:rPr>
          <w:rFonts w:ascii="仿宋" w:hAnsi="仿宋" w:eastAsia="仿宋" w:cs="微软雅黑"/>
          <w:sz w:val="70"/>
          <w:szCs w:val="70"/>
        </w:rPr>
      </w:pPr>
    </w:p>
    <w:p w14:paraId="44552299">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一、收入支出决算总体情况说明</w:t>
      </w:r>
    </w:p>
    <w:p w14:paraId="1FB2B708">
      <w:pPr>
        <w:pStyle w:val="13"/>
        <w:spacing w:line="360" w:lineRule="auto"/>
        <w:ind w:firstLine="640" w:firstLineChars="200"/>
        <w:rPr>
          <w:rFonts w:ascii="仿宋" w:hAnsi="仿宋" w:eastAsia="仿宋" w:cs="微软雅黑"/>
          <w:sz w:val="32"/>
        </w:rPr>
      </w:pPr>
      <w:r>
        <w:rPr>
          <w:rFonts w:hint="eastAsia" w:ascii="仿宋" w:hAnsi="仿宋" w:eastAsia="仿宋" w:cs="微软雅黑"/>
          <w:sz w:val="32"/>
          <w:szCs w:val="32"/>
        </w:rPr>
        <w:t>2023年度收、支总计</w:t>
      </w:r>
      <w:r>
        <w:rPr>
          <w:rFonts w:ascii="仿宋" w:hAnsi="仿宋" w:eastAsia="仿宋" w:cs="微软雅黑"/>
          <w:sz w:val="32"/>
        </w:rPr>
        <w:t>28,541.68万元。与上年</w:t>
      </w:r>
      <w:r>
        <w:rPr>
          <w:rFonts w:hint="eastAsia" w:ascii="仿宋" w:hAnsi="仿宋" w:eastAsia="仿宋" w:cs="微软雅黑"/>
          <w:sz w:val="32"/>
          <w:szCs w:val="32"/>
        </w:rPr>
        <w:t>相比，增长10814.82</w:t>
      </w:r>
      <w:r>
        <w:rPr>
          <w:rFonts w:ascii="仿宋" w:hAnsi="仿宋" w:eastAsia="仿宋" w:cs="微软雅黑"/>
          <w:sz w:val="32"/>
        </w:rPr>
        <w:t>万元，增长61.01%，主要是</w:t>
      </w:r>
      <w:r>
        <w:rPr>
          <w:rFonts w:hint="eastAsia" w:ascii="仿宋" w:hAnsi="仿宋" w:eastAsia="仿宋" w:cs="微软雅黑"/>
          <w:sz w:val="32"/>
        </w:rPr>
        <w:t>由于惠农资金发放方式改变导致项目投入增加10938万元。</w:t>
      </w:r>
    </w:p>
    <w:p w14:paraId="025F943C">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二、收入决算情况说明</w:t>
      </w:r>
    </w:p>
    <w:p w14:paraId="1EE9C098">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2023</w:t>
      </w:r>
      <w:r>
        <w:rPr>
          <w:rFonts w:ascii="仿宋" w:hAnsi="仿宋" w:eastAsia="仿宋" w:cs="微软雅黑"/>
          <w:sz w:val="32"/>
        </w:rPr>
        <w:t>年度收入合计</w:t>
      </w:r>
      <w:r>
        <w:rPr>
          <w:rFonts w:hint="eastAsia" w:ascii="仿宋" w:hAnsi="仿宋" w:eastAsia="仿宋" w:cs="微软雅黑"/>
          <w:sz w:val="32"/>
          <w:szCs w:val="32"/>
        </w:rPr>
        <w:t>27,493.31万元，其中：财政拨款收入</w:t>
      </w:r>
      <w:r>
        <w:rPr>
          <w:rFonts w:ascii="仿宋" w:hAnsi="仿宋" w:eastAsia="仿宋" w:cs="微软雅黑"/>
          <w:sz w:val="32"/>
        </w:rPr>
        <w:t>26,504.61万元，占96.40</w:t>
      </w:r>
      <w:r>
        <w:rPr>
          <w:rFonts w:hint="eastAsia" w:ascii="仿宋" w:hAnsi="仿宋" w:eastAsia="仿宋" w:cs="微软雅黑"/>
          <w:sz w:val="32"/>
          <w:szCs w:val="32"/>
        </w:rPr>
        <w:t>%；上级补助收入</w:t>
      </w:r>
      <w:r>
        <w:rPr>
          <w:rFonts w:ascii="仿宋" w:hAnsi="仿宋" w:eastAsia="仿宋" w:cs="微软雅黑"/>
          <w:sz w:val="32"/>
        </w:rPr>
        <w:t>0.00万元，占0.00</w:t>
      </w:r>
      <w:r>
        <w:rPr>
          <w:rFonts w:hint="eastAsia" w:ascii="仿宋" w:hAnsi="仿宋" w:eastAsia="仿宋" w:cs="微软雅黑"/>
          <w:sz w:val="32"/>
          <w:szCs w:val="32"/>
        </w:rPr>
        <w:t>%；事业收入</w:t>
      </w:r>
      <w:r>
        <w:rPr>
          <w:rFonts w:ascii="仿宋" w:hAnsi="仿宋" w:eastAsia="仿宋" w:cs="微软雅黑"/>
          <w:sz w:val="32"/>
        </w:rPr>
        <w:t>0.00万元，占0.00</w:t>
      </w:r>
      <w:r>
        <w:rPr>
          <w:rFonts w:hint="eastAsia" w:ascii="仿宋" w:hAnsi="仿宋" w:eastAsia="仿宋" w:cs="微软雅黑"/>
          <w:sz w:val="32"/>
          <w:szCs w:val="32"/>
        </w:rPr>
        <w:t>%；经营收入</w:t>
      </w:r>
      <w:r>
        <w:rPr>
          <w:rFonts w:ascii="仿宋" w:hAnsi="仿宋" w:eastAsia="仿宋" w:cs="微软雅黑"/>
          <w:sz w:val="32"/>
        </w:rPr>
        <w:t>0.00万元，占0.00</w:t>
      </w:r>
      <w:r>
        <w:rPr>
          <w:rFonts w:hint="eastAsia" w:ascii="仿宋" w:hAnsi="仿宋" w:eastAsia="仿宋" w:cs="微软雅黑"/>
          <w:sz w:val="32"/>
          <w:szCs w:val="32"/>
        </w:rPr>
        <w:t>%；附属单位上缴收入</w:t>
      </w:r>
      <w:r>
        <w:rPr>
          <w:rFonts w:ascii="仿宋" w:hAnsi="仿宋" w:eastAsia="仿宋" w:cs="微软雅黑"/>
          <w:sz w:val="32"/>
        </w:rPr>
        <w:t>0.00万元，占0.00</w:t>
      </w:r>
      <w:r>
        <w:rPr>
          <w:rFonts w:hint="eastAsia" w:ascii="仿宋" w:hAnsi="仿宋" w:eastAsia="仿宋" w:cs="微软雅黑"/>
          <w:sz w:val="32"/>
          <w:szCs w:val="32"/>
        </w:rPr>
        <w:t>%；其他收入</w:t>
      </w:r>
      <w:r>
        <w:rPr>
          <w:rFonts w:ascii="仿宋" w:hAnsi="仿宋" w:eastAsia="仿宋" w:cs="微软雅黑"/>
          <w:sz w:val="32"/>
        </w:rPr>
        <w:t>988.69万元，</w:t>
      </w:r>
      <w:r>
        <w:rPr>
          <w:rFonts w:hint="eastAsia" w:ascii="仿宋" w:hAnsi="仿宋" w:eastAsia="仿宋" w:cs="微软雅黑"/>
          <w:sz w:val="32"/>
        </w:rPr>
        <w:t>主要为人居环境整治项目511.70万元、畈中路征地拆迁补偿项目355万元等，</w:t>
      </w:r>
      <w:r>
        <w:rPr>
          <w:rFonts w:ascii="仿宋" w:hAnsi="仿宋" w:eastAsia="仿宋" w:cs="微软雅黑"/>
          <w:sz w:val="32"/>
        </w:rPr>
        <w:t>占</w:t>
      </w:r>
      <w:r>
        <w:rPr>
          <w:rFonts w:hint="eastAsia" w:ascii="仿宋" w:hAnsi="仿宋" w:eastAsia="仿宋" w:cs="微软雅黑"/>
          <w:sz w:val="32"/>
          <w:szCs w:val="32"/>
        </w:rPr>
        <w:t>3.60%。</w:t>
      </w:r>
    </w:p>
    <w:p w14:paraId="1E033B7A">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三、支出决算情况说明</w:t>
      </w:r>
    </w:p>
    <w:p w14:paraId="34DE2F39">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2023</w:t>
      </w:r>
      <w:r>
        <w:rPr>
          <w:rFonts w:ascii="仿宋" w:hAnsi="仿宋" w:eastAsia="仿宋" w:cs="微软雅黑"/>
          <w:sz w:val="32"/>
        </w:rPr>
        <w:t>年度支出合计28,351.46万元，其中：基本支出2,176.66万元，占7.68%；项目支出26,174.80万元，占92.32%；上缴上级支出0.00万元，占0.00%；经营支出0.00万元，占0.00%；对附属单位补助支出0.00万元，占0.00%。</w:t>
      </w:r>
    </w:p>
    <w:p w14:paraId="76D0B9AA">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四、财政拨款收入支出决算总体情况说明</w:t>
      </w:r>
    </w:p>
    <w:p w14:paraId="5C892032">
      <w:pPr>
        <w:pStyle w:val="13"/>
        <w:spacing w:line="360" w:lineRule="auto"/>
        <w:ind w:firstLine="640" w:firstLineChars="200"/>
        <w:rPr>
          <w:rFonts w:ascii="仿宋" w:hAnsi="仿宋" w:eastAsia="仿宋" w:cs="微软雅黑"/>
          <w:sz w:val="32"/>
        </w:rPr>
      </w:pPr>
      <w:r>
        <w:rPr>
          <w:rFonts w:hint="eastAsia" w:ascii="仿宋" w:hAnsi="仿宋" w:eastAsia="仿宋" w:cs="微软雅黑"/>
          <w:sz w:val="32"/>
          <w:szCs w:val="32"/>
        </w:rPr>
        <w:t>2023</w:t>
      </w:r>
      <w:r>
        <w:rPr>
          <w:rFonts w:ascii="仿宋" w:hAnsi="仿宋" w:eastAsia="仿宋" w:cs="微软雅黑"/>
          <w:sz w:val="32"/>
        </w:rPr>
        <w:t>年度财政拨款收、支总计26,504.61万元，与上年相比，增长10654.39万元,增长67.22%，主要是</w:t>
      </w:r>
      <w:r>
        <w:rPr>
          <w:rFonts w:hint="eastAsia" w:ascii="仿宋" w:hAnsi="仿宋" w:eastAsia="仿宋" w:cs="微软雅黑"/>
          <w:sz w:val="32"/>
        </w:rPr>
        <w:t>惠农资金发放方式改变导致项目投入与支付增多。</w:t>
      </w:r>
    </w:p>
    <w:p w14:paraId="35D5DF8A">
      <w:pPr>
        <w:pStyle w:val="13"/>
        <w:spacing w:line="360" w:lineRule="auto"/>
        <w:ind w:firstLine="640" w:firstLineChars="200"/>
        <w:rPr>
          <w:rFonts w:ascii="仿宋" w:hAnsi="仿宋" w:eastAsia="仿宋" w:cs="微软雅黑"/>
          <w:bCs/>
          <w:sz w:val="32"/>
          <w:szCs w:val="32"/>
        </w:rPr>
      </w:pPr>
      <w:r>
        <w:rPr>
          <w:rFonts w:hint="eastAsia" w:ascii="仿宋" w:hAnsi="仿宋" w:eastAsia="仿宋" w:cs="微软雅黑"/>
          <w:b/>
          <w:sz w:val="32"/>
          <w:szCs w:val="32"/>
        </w:rPr>
        <w:t>五、一般公共预算财政拨款支出决算情况说明</w:t>
      </w:r>
    </w:p>
    <w:p w14:paraId="405173B8">
      <w:pPr>
        <w:pStyle w:val="13"/>
        <w:spacing w:line="360" w:lineRule="auto"/>
        <w:ind w:firstLine="640" w:firstLineChars="200"/>
        <w:rPr>
          <w:rFonts w:ascii="仿宋" w:hAnsi="仿宋" w:eastAsia="仿宋" w:cs="微软雅黑"/>
          <w:b/>
          <w:bCs/>
          <w:sz w:val="32"/>
          <w:szCs w:val="32"/>
        </w:rPr>
      </w:pPr>
      <w:r>
        <w:rPr>
          <w:rFonts w:hint="eastAsia" w:ascii="仿宋" w:hAnsi="仿宋" w:eastAsia="仿宋" w:cs="微软雅黑"/>
          <w:b/>
          <w:bCs/>
          <w:sz w:val="32"/>
          <w:szCs w:val="32"/>
        </w:rPr>
        <w:t>（一）财政拨款支出决算总体情况</w:t>
      </w:r>
    </w:p>
    <w:p w14:paraId="32C3B866">
      <w:pPr>
        <w:pStyle w:val="13"/>
        <w:spacing w:line="360" w:lineRule="auto"/>
        <w:ind w:firstLine="640" w:firstLineChars="200"/>
        <w:rPr>
          <w:rFonts w:ascii="仿宋" w:hAnsi="仿宋" w:eastAsia="仿宋" w:cs="微软雅黑"/>
          <w:sz w:val="32"/>
        </w:rPr>
      </w:pPr>
      <w:r>
        <w:rPr>
          <w:rFonts w:hint="eastAsia" w:ascii="仿宋" w:hAnsi="仿宋" w:eastAsia="仿宋" w:cs="微软雅黑"/>
          <w:sz w:val="32"/>
          <w:szCs w:val="32"/>
        </w:rPr>
        <w:t>2023</w:t>
      </w:r>
      <w:r>
        <w:rPr>
          <w:rFonts w:ascii="仿宋" w:hAnsi="仿宋" w:eastAsia="仿宋" w:cs="微软雅黑"/>
          <w:sz w:val="32"/>
        </w:rPr>
        <w:t>年度财政拨款支出26,504.61万元，占本年支出合计的93.49</w:t>
      </w:r>
      <w:r>
        <w:rPr>
          <w:rFonts w:hint="eastAsia" w:ascii="仿宋" w:hAnsi="仿宋" w:eastAsia="仿宋" w:cs="微软雅黑"/>
          <w:sz w:val="32"/>
          <w:szCs w:val="32"/>
        </w:rPr>
        <w:t>%，与上年相比，财政拨款支出</w:t>
      </w:r>
      <w:r>
        <w:rPr>
          <w:rFonts w:ascii="仿宋" w:hAnsi="仿宋" w:eastAsia="仿宋" w:cs="微软雅黑"/>
          <w:sz w:val="32"/>
        </w:rPr>
        <w:t>增长10654.39万元，增长67.22%，主要是</w:t>
      </w:r>
      <w:r>
        <w:rPr>
          <w:rFonts w:hint="eastAsia" w:ascii="仿宋" w:hAnsi="仿宋" w:eastAsia="仿宋" w:cs="微软雅黑"/>
          <w:sz w:val="32"/>
        </w:rPr>
        <w:t>由于惠农资金发放方式改变导致项目支付增多。</w:t>
      </w:r>
    </w:p>
    <w:p w14:paraId="4F5EB729">
      <w:pPr>
        <w:pStyle w:val="13"/>
        <w:spacing w:line="360" w:lineRule="auto"/>
        <w:ind w:firstLine="640" w:firstLineChars="200"/>
        <w:rPr>
          <w:rFonts w:ascii="仿宋" w:hAnsi="仿宋" w:eastAsia="仿宋" w:cs="微软雅黑"/>
          <w:b/>
          <w:bCs/>
          <w:sz w:val="32"/>
          <w:szCs w:val="32"/>
        </w:rPr>
      </w:pPr>
      <w:r>
        <w:rPr>
          <w:rFonts w:hint="eastAsia" w:ascii="仿宋" w:hAnsi="仿宋" w:eastAsia="仿宋" w:cs="微软雅黑"/>
          <w:b/>
          <w:bCs/>
          <w:sz w:val="32"/>
          <w:szCs w:val="32"/>
        </w:rPr>
        <w:t>（二）财政拨款支出决算结构情况</w:t>
      </w:r>
    </w:p>
    <w:p w14:paraId="6E07A49D">
      <w:pPr>
        <w:pStyle w:val="13"/>
        <w:spacing w:line="360" w:lineRule="auto"/>
        <w:ind w:firstLine="640" w:firstLineChars="200"/>
        <w:rPr>
          <w:rFonts w:ascii="仿宋" w:hAnsi="仿宋" w:eastAsia="仿宋" w:cs="微软雅黑"/>
          <w:i/>
          <w:iCs/>
          <w:color w:val="FF0000"/>
          <w:sz w:val="32"/>
          <w:szCs w:val="32"/>
        </w:rPr>
      </w:pPr>
      <w:r>
        <w:rPr>
          <w:rFonts w:hint="eastAsia" w:ascii="仿宋" w:hAnsi="仿宋" w:eastAsia="仿宋" w:cs="微软雅黑"/>
          <w:sz w:val="32"/>
          <w:szCs w:val="32"/>
        </w:rPr>
        <w:t>2023</w:t>
      </w:r>
      <w:r>
        <w:rPr>
          <w:rFonts w:ascii="仿宋" w:hAnsi="仿宋" w:eastAsia="仿宋" w:cs="微软雅黑"/>
          <w:sz w:val="32"/>
        </w:rPr>
        <w:t>年度财政拨款支出26,504.61万元，主要用于以下方面：一般公共服务（类）支出54.55</w:t>
      </w:r>
      <w:r>
        <w:rPr>
          <w:rFonts w:hint="eastAsia" w:ascii="仿宋" w:hAnsi="仿宋" w:eastAsia="仿宋" w:cs="微软雅黑"/>
          <w:sz w:val="32"/>
          <w:szCs w:val="32"/>
        </w:rPr>
        <w:t>万元，占</w:t>
      </w:r>
      <w:r>
        <w:rPr>
          <w:rFonts w:ascii="仿宋" w:hAnsi="仿宋" w:eastAsia="仿宋" w:cs="微软雅黑"/>
          <w:sz w:val="32"/>
        </w:rPr>
        <w:t>0.21</w:t>
      </w:r>
      <w:r>
        <w:rPr>
          <w:rFonts w:hint="eastAsia" w:ascii="仿宋" w:hAnsi="仿宋" w:eastAsia="仿宋" w:cs="微软雅黑"/>
          <w:sz w:val="32"/>
          <w:szCs w:val="32"/>
        </w:rPr>
        <w:t>%；科学技术（类）支出</w:t>
      </w:r>
      <w:r>
        <w:rPr>
          <w:rFonts w:hint="eastAsia" w:ascii="仿宋" w:hAnsi="仿宋" w:eastAsia="仿宋" w:cs="微软雅黑"/>
          <w:sz w:val="32"/>
        </w:rPr>
        <w:t>300</w:t>
      </w:r>
      <w:r>
        <w:rPr>
          <w:rFonts w:hint="eastAsia" w:ascii="仿宋" w:hAnsi="仿宋" w:eastAsia="仿宋" w:cs="微软雅黑"/>
          <w:sz w:val="32"/>
          <w:szCs w:val="32"/>
        </w:rPr>
        <w:t>万元，占</w:t>
      </w:r>
      <w:r>
        <w:rPr>
          <w:rFonts w:hint="eastAsia" w:ascii="仿宋" w:hAnsi="仿宋" w:eastAsia="仿宋" w:cs="微软雅黑"/>
          <w:sz w:val="32"/>
        </w:rPr>
        <w:t>1.13</w:t>
      </w:r>
      <w:r>
        <w:rPr>
          <w:rFonts w:hint="eastAsia" w:ascii="仿宋" w:hAnsi="仿宋" w:eastAsia="仿宋" w:cs="微软雅黑"/>
          <w:sz w:val="32"/>
          <w:szCs w:val="32"/>
        </w:rPr>
        <w:t>%;社会保障和就业（类）支出</w:t>
      </w:r>
      <w:r>
        <w:rPr>
          <w:rFonts w:hint="eastAsia" w:ascii="仿宋" w:hAnsi="仿宋" w:eastAsia="仿宋" w:cs="微软雅黑"/>
          <w:sz w:val="32"/>
        </w:rPr>
        <w:t>125.32</w:t>
      </w:r>
      <w:r>
        <w:rPr>
          <w:rFonts w:hint="eastAsia" w:ascii="仿宋" w:hAnsi="仿宋" w:eastAsia="仿宋" w:cs="微软雅黑"/>
          <w:sz w:val="32"/>
          <w:szCs w:val="32"/>
        </w:rPr>
        <w:t>万元，占</w:t>
      </w:r>
      <w:r>
        <w:rPr>
          <w:rFonts w:hint="eastAsia" w:ascii="仿宋" w:hAnsi="仿宋" w:eastAsia="仿宋" w:cs="微软雅黑"/>
          <w:sz w:val="32"/>
        </w:rPr>
        <w:t>0.47</w:t>
      </w:r>
      <w:r>
        <w:rPr>
          <w:rFonts w:hint="eastAsia" w:ascii="仿宋" w:hAnsi="仿宋" w:eastAsia="仿宋" w:cs="微软雅黑"/>
          <w:sz w:val="32"/>
          <w:szCs w:val="32"/>
        </w:rPr>
        <w:t>%;卫生健康（类）支出</w:t>
      </w:r>
      <w:r>
        <w:rPr>
          <w:rFonts w:hint="eastAsia" w:ascii="仿宋" w:hAnsi="仿宋" w:eastAsia="仿宋" w:cs="微软雅黑"/>
          <w:sz w:val="32"/>
        </w:rPr>
        <w:t>66.56</w:t>
      </w:r>
      <w:r>
        <w:rPr>
          <w:rFonts w:hint="eastAsia" w:ascii="仿宋" w:hAnsi="仿宋" w:eastAsia="仿宋" w:cs="微软雅黑"/>
          <w:sz w:val="32"/>
          <w:szCs w:val="32"/>
        </w:rPr>
        <w:t>万元，占</w:t>
      </w:r>
      <w:r>
        <w:rPr>
          <w:rFonts w:hint="eastAsia" w:ascii="仿宋" w:hAnsi="仿宋" w:eastAsia="仿宋" w:cs="微软雅黑"/>
          <w:sz w:val="32"/>
        </w:rPr>
        <w:t>0.25</w:t>
      </w:r>
      <w:r>
        <w:rPr>
          <w:rFonts w:hint="eastAsia" w:ascii="仿宋" w:hAnsi="仿宋" w:eastAsia="仿宋" w:cs="微软雅黑"/>
          <w:sz w:val="32"/>
          <w:szCs w:val="32"/>
        </w:rPr>
        <w:t>%;节能环保（类）支出</w:t>
      </w:r>
      <w:r>
        <w:rPr>
          <w:rFonts w:hint="eastAsia" w:ascii="仿宋" w:hAnsi="仿宋" w:eastAsia="仿宋" w:cs="微软雅黑"/>
          <w:sz w:val="32"/>
        </w:rPr>
        <w:t>1,806.85</w:t>
      </w:r>
      <w:r>
        <w:rPr>
          <w:rFonts w:hint="eastAsia" w:ascii="仿宋" w:hAnsi="仿宋" w:eastAsia="仿宋" w:cs="微软雅黑"/>
          <w:sz w:val="32"/>
          <w:szCs w:val="32"/>
        </w:rPr>
        <w:t>万元，占</w:t>
      </w:r>
      <w:r>
        <w:rPr>
          <w:rFonts w:hint="eastAsia" w:ascii="仿宋" w:hAnsi="仿宋" w:eastAsia="仿宋" w:cs="微软雅黑"/>
          <w:sz w:val="32"/>
        </w:rPr>
        <w:t>6.82</w:t>
      </w:r>
      <w:r>
        <w:rPr>
          <w:rFonts w:hint="eastAsia" w:ascii="仿宋" w:hAnsi="仿宋" w:eastAsia="仿宋" w:cs="微软雅黑"/>
          <w:sz w:val="32"/>
          <w:szCs w:val="32"/>
        </w:rPr>
        <w:t>%;农林水（类）支出</w:t>
      </w:r>
      <w:r>
        <w:rPr>
          <w:rFonts w:hint="eastAsia" w:ascii="仿宋" w:hAnsi="仿宋" w:eastAsia="仿宋" w:cs="微软雅黑"/>
          <w:sz w:val="32"/>
        </w:rPr>
        <w:t>22,868.47</w:t>
      </w:r>
      <w:r>
        <w:rPr>
          <w:rFonts w:hint="eastAsia" w:ascii="仿宋" w:hAnsi="仿宋" w:eastAsia="仿宋" w:cs="微软雅黑"/>
          <w:sz w:val="32"/>
          <w:szCs w:val="32"/>
        </w:rPr>
        <w:t>万元，占</w:t>
      </w:r>
      <w:r>
        <w:rPr>
          <w:rFonts w:hint="eastAsia" w:ascii="仿宋" w:hAnsi="仿宋" w:eastAsia="仿宋" w:cs="微软雅黑"/>
          <w:sz w:val="32"/>
        </w:rPr>
        <w:t>86.28</w:t>
      </w:r>
      <w:r>
        <w:rPr>
          <w:rFonts w:hint="eastAsia" w:ascii="仿宋" w:hAnsi="仿宋" w:eastAsia="仿宋" w:cs="微软雅黑"/>
          <w:sz w:val="32"/>
          <w:szCs w:val="32"/>
        </w:rPr>
        <w:t>%;住房保障（类）支出</w:t>
      </w:r>
      <w:r>
        <w:rPr>
          <w:rFonts w:hint="eastAsia" w:ascii="仿宋" w:hAnsi="仿宋" w:eastAsia="仿宋" w:cs="微软雅黑"/>
          <w:sz w:val="32"/>
        </w:rPr>
        <w:t>92.58</w:t>
      </w:r>
      <w:r>
        <w:rPr>
          <w:rFonts w:hint="eastAsia" w:ascii="仿宋" w:hAnsi="仿宋" w:eastAsia="仿宋" w:cs="微软雅黑"/>
          <w:sz w:val="32"/>
          <w:szCs w:val="32"/>
        </w:rPr>
        <w:t>万元，占</w:t>
      </w:r>
      <w:r>
        <w:rPr>
          <w:rFonts w:hint="eastAsia" w:ascii="仿宋" w:hAnsi="仿宋" w:eastAsia="仿宋" w:cs="微软雅黑"/>
          <w:sz w:val="32"/>
        </w:rPr>
        <w:t>0.35</w:t>
      </w:r>
      <w:r>
        <w:rPr>
          <w:rFonts w:hint="eastAsia" w:ascii="仿宋" w:hAnsi="仿宋" w:eastAsia="仿宋" w:cs="微软雅黑"/>
          <w:sz w:val="32"/>
          <w:szCs w:val="32"/>
        </w:rPr>
        <w:t>%;粮油物资储备（类）支出</w:t>
      </w:r>
      <w:r>
        <w:rPr>
          <w:rFonts w:hint="eastAsia" w:ascii="仿宋" w:hAnsi="仿宋" w:eastAsia="仿宋" w:cs="微软雅黑"/>
          <w:sz w:val="32"/>
        </w:rPr>
        <w:t>1,190.28</w:t>
      </w:r>
      <w:r>
        <w:rPr>
          <w:rFonts w:hint="eastAsia" w:ascii="仿宋" w:hAnsi="仿宋" w:eastAsia="仿宋" w:cs="微软雅黑"/>
          <w:sz w:val="32"/>
          <w:szCs w:val="32"/>
        </w:rPr>
        <w:t>万元，占</w:t>
      </w:r>
      <w:r>
        <w:rPr>
          <w:rFonts w:hint="eastAsia" w:ascii="仿宋" w:hAnsi="仿宋" w:eastAsia="仿宋" w:cs="微软雅黑"/>
          <w:sz w:val="32"/>
        </w:rPr>
        <w:t>4.49</w:t>
      </w:r>
      <w:r>
        <w:rPr>
          <w:rFonts w:hint="eastAsia" w:ascii="仿宋" w:hAnsi="仿宋" w:eastAsia="仿宋" w:cs="微软雅黑"/>
          <w:sz w:val="32"/>
          <w:szCs w:val="32"/>
        </w:rPr>
        <w:t>%。</w:t>
      </w:r>
    </w:p>
    <w:p w14:paraId="5CC3223C">
      <w:pPr>
        <w:pStyle w:val="13"/>
        <w:spacing w:line="360" w:lineRule="auto"/>
        <w:ind w:firstLine="640" w:firstLineChars="200"/>
        <w:rPr>
          <w:rFonts w:ascii="仿宋" w:hAnsi="仿宋" w:eastAsia="仿宋" w:cs="微软雅黑"/>
          <w:b/>
          <w:bCs/>
          <w:sz w:val="32"/>
          <w:szCs w:val="32"/>
        </w:rPr>
      </w:pPr>
      <w:r>
        <w:rPr>
          <w:rFonts w:hint="eastAsia" w:ascii="仿宋" w:hAnsi="仿宋" w:eastAsia="仿宋" w:cs="微软雅黑"/>
          <w:b/>
          <w:bCs/>
          <w:sz w:val="32"/>
          <w:szCs w:val="32"/>
        </w:rPr>
        <w:t>（三）财政拨款支出决算具体情况</w:t>
      </w:r>
    </w:p>
    <w:p w14:paraId="762143E5">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2023</w:t>
      </w:r>
      <w:r>
        <w:rPr>
          <w:rFonts w:ascii="仿宋" w:hAnsi="仿宋" w:eastAsia="仿宋" w:cs="微软雅黑"/>
          <w:sz w:val="32"/>
          <w:szCs w:val="32"/>
        </w:rPr>
        <w:t>年度财政拨款支出年初预算数为16,972.75万元，支出决算数为26,504.61</w:t>
      </w:r>
      <w:r>
        <w:rPr>
          <w:rFonts w:hint="eastAsia" w:ascii="仿宋" w:hAnsi="仿宋" w:eastAsia="仿宋" w:cs="微软雅黑"/>
          <w:sz w:val="32"/>
          <w:szCs w:val="32"/>
        </w:rPr>
        <w:t>万元，完成年初预算的</w:t>
      </w:r>
      <w:r>
        <w:rPr>
          <w:rFonts w:ascii="仿宋" w:hAnsi="仿宋" w:eastAsia="仿宋" w:cs="微软雅黑"/>
          <w:sz w:val="32"/>
          <w:szCs w:val="32"/>
        </w:rPr>
        <w:t>156.16</w:t>
      </w:r>
      <w:r>
        <w:rPr>
          <w:rFonts w:hint="eastAsia" w:ascii="仿宋" w:hAnsi="仿宋" w:eastAsia="仿宋" w:cs="微软雅黑"/>
          <w:sz w:val="32"/>
          <w:szCs w:val="32"/>
        </w:rPr>
        <w:t>%，其中：</w:t>
      </w:r>
    </w:p>
    <w:p w14:paraId="1C0D058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1、一般公共服务（类）政府办公厅（室）及相关机构事务（款）其他政府办公厅（室）及相关机构事务支出（项）。</w:t>
      </w:r>
    </w:p>
    <w:p w14:paraId="658CF67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年初预算为0万元，支出决算为54.55万元，决算数大于年初预算数的主要原因是：年初无预算，本年度县本级根据考核结果发放绩效考核奖金、项目前期经费等支出。</w:t>
      </w:r>
    </w:p>
    <w:p w14:paraId="3E914F40">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2、科学技术（类）技术研究与开发（款）科技成果转化与扩散（项）。</w:t>
      </w:r>
    </w:p>
    <w:p w14:paraId="4C61A70F">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年初预算为0万元，支出决算为300万元，决算数大于年初预算数的主要原因是：年初无预算，本年度县级财政根据项目开展进度增加项目支出。</w:t>
      </w:r>
    </w:p>
    <w:p w14:paraId="4C746A69">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3、社会保障和就业（类）行政事业单位养老支出（款）机关事业单位基本养老保险缴费支出（项）。</w:t>
      </w:r>
    </w:p>
    <w:p w14:paraId="3D57C38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年初预算为124.56万元，支出决算为114.43万元，完成年初预算的90.41%，决算数小于年初预算数的主要原因是：根据本年度人员实际增减变化调整支出的功能科目。</w:t>
      </w:r>
    </w:p>
    <w:p w14:paraId="4936A570">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4、社会保障和就业（类）抚恤（款）死亡抚恤（项）。</w:t>
      </w:r>
    </w:p>
    <w:p w14:paraId="06C24E89">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年初预算为0万元，支出决算为3.88万元，决算数大于年初预算数的主要原因是：年初无预算，本年度县级财政根据退休人员变动情况增加基本支出。</w:t>
      </w:r>
    </w:p>
    <w:p w14:paraId="77328A4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5、社会保障和就业（类）其他社会保障和就业支出（款）其他社会保障和就业支出（项）。</w:t>
      </w:r>
    </w:p>
    <w:p w14:paraId="1A2DE475">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年初预算为7.79万元，支出决算为7.01万元，完成年初预算的90%，决算数小于年初预算数的主要原因是：根据本年度人员实际增减变化调整支出的功能科目。</w:t>
      </w:r>
    </w:p>
    <w:p w14:paraId="1AD7A3EC">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6、卫生健康（类）行政事业单位医疗（款）行政单位医疗（项）。</w:t>
      </w:r>
    </w:p>
    <w:p w14:paraId="7F8E452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年初预算为73.96万元，支出决算为66.56万元，完成年初预算的90%，决算数小于年初预算数的主要原因是：根据本年度人员实际增减变化调整支出功能科目。</w:t>
      </w:r>
    </w:p>
    <w:p w14:paraId="31777DBC">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7、节能环保（类）污染防治（款）其他污染防治支出（项）。</w:t>
      </w:r>
    </w:p>
    <w:p w14:paraId="27398CC6">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年初预算为0万元，支出决算为166.96万元，决算数大于年初预算数的主要原因是：年初无预算，本年度根据上级对项目的安排增加各项目预算支出。</w:t>
      </w:r>
    </w:p>
    <w:p w14:paraId="14FCFFDC">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8、节能环保（类）自然生态保护（款）农村环境保护（项）。</w:t>
      </w:r>
    </w:p>
    <w:p w14:paraId="357B0B0E">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年初预算为0万元，支出决算为741.49万元，决算数大于年初预算数的主要原因是：年初无预算，本年度根据上级对项目的安排增加各项目预算支出。</w:t>
      </w:r>
    </w:p>
    <w:p w14:paraId="6B9B1E47">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9、节能环保（类）其他节能环保支出（款）其他节能环保支出（项）。</w:t>
      </w:r>
    </w:p>
    <w:p w14:paraId="48842C93">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年初预算为0万元，支出决算为898.40万元，决算数大于年初预算数的主要原因是：年初无预算，本年度根据上级对项目的安排增加各项目预算支出。</w:t>
      </w:r>
    </w:p>
    <w:p w14:paraId="4E0AEADB">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10、农林水（类）农业农村（款）行政运行（项）。</w:t>
      </w:r>
    </w:p>
    <w:p w14:paraId="2E80B8F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年初预算为1,260.20万元，支出决算为1,448.65万元，完成年初预算的114.95%，决算数大于年初预算数的主要原因是：财政根据我单位人员增减变动、职工工资普调、以及实际工作需要增加预算支出。</w:t>
      </w:r>
    </w:p>
    <w:p w14:paraId="1B87719B">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11、农林水（类）农业农村（款）科技转化与推广服务（项）。</w:t>
      </w:r>
    </w:p>
    <w:p w14:paraId="49993C69">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年初预算为0万元，支出决算为405.57万元，决算数大于年初预算数的主要原因是：年初无预算，本年度根据上级对项目的安排增加各项目预算支出。</w:t>
      </w:r>
    </w:p>
    <w:p w14:paraId="70A1804B">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12、农林水（类）农业农村（款）病虫害控制（项）。</w:t>
      </w:r>
    </w:p>
    <w:p w14:paraId="1D6FFB3B">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年初预算为0万元，支出决算为201.08万元，决算数大于年初预算数的主要原因是：年初无预算，本年度根据上级对项目的安排增加各项目预算支出。</w:t>
      </w:r>
    </w:p>
    <w:p w14:paraId="15CA814C">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13、农林水（类）农业农村（款）农产品质量安全（项）。</w:t>
      </w:r>
    </w:p>
    <w:p w14:paraId="05D67E20">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年初预算为0万元，支出决算为84万元，决算数大于年初预算数的主要原因是：年初无预算，本年度根据上级对项目的安排增加各项目预算支出。</w:t>
      </w:r>
    </w:p>
    <w:p w14:paraId="5C42AB3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14、农林水（类）农业农村（款）执法监管（项）。</w:t>
      </w:r>
    </w:p>
    <w:p w14:paraId="2191A168">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年初预算为0万元，支出决算为16.77万元，决算数大于年初预算数的主要原因是：年初无预算，本年度根据上级对项目的安排增加各项目预算支出。</w:t>
      </w:r>
    </w:p>
    <w:p w14:paraId="68FBF3D7">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15、农林水（类）农业农村（款）统计监测与信息服务（项）。</w:t>
      </w:r>
    </w:p>
    <w:p w14:paraId="5086AE86">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年初预算为0万元，支出决算为14.93万元，决算数大于年初预算数的主要原因是：年初无预算，本年度根据上级对项目的安排增加各项目预算支出。</w:t>
      </w:r>
    </w:p>
    <w:p w14:paraId="5BD34001">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16、农林水（类）农业农村（款）防灾救灾（项）。</w:t>
      </w:r>
    </w:p>
    <w:p w14:paraId="36764D58">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年初预算为0万元，支出决算为1.31万元，决算数大于年初预算数的主要原因是：年初无预算，本年度根据上级对项目的安排增加各项目预算支出。</w:t>
      </w:r>
    </w:p>
    <w:p w14:paraId="3A369A76">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17、农林水（类）农业农村（款）农业结构调整补贴（项）。</w:t>
      </w:r>
    </w:p>
    <w:p w14:paraId="082B2FFD">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年初预算为0万元，支出决算为1,583.61万元，决算数大于年初预算数的主要原因是：本年度根据上级对项目的安排增加各项目预算支出。</w:t>
      </w:r>
    </w:p>
    <w:p w14:paraId="3B7C3E02">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18、农林水（类）农业农村（款）农业生产发展（项）。</w:t>
      </w:r>
    </w:p>
    <w:p w14:paraId="624ADF6F">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年初预算为13,637万元，支出决算为9,432.54万元，完成年初预算的69.17%，决算数小于年初预算数的主要原因是：本年度根据各级财政对项目的安排调整各项目预算支出。</w:t>
      </w:r>
    </w:p>
    <w:p w14:paraId="7C264061">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19、农林水（类）农业农村（款）农村合作经济（项）。</w:t>
      </w:r>
    </w:p>
    <w:p w14:paraId="2999D88D">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年初预算为0万元，支出决算为38万元，决算数大于年初预算数的主要原因是：年初无预算，本年度县级财政根据项目开展进度增加项目支出。</w:t>
      </w:r>
    </w:p>
    <w:p w14:paraId="0267A612">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20、农林水（类）农业农村（款）农产品加工与促销（项）。</w:t>
      </w:r>
    </w:p>
    <w:p w14:paraId="2AAEB472">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年初预算为300万元，支出决算为998.58万元，完成年初预算的332.86%，决算数大于年初预算数的主要原因是：本年度根据上级对项目的安排增加各项目预算支出。</w:t>
      </w:r>
    </w:p>
    <w:p w14:paraId="3C363908">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21、农林水（类）农业农村（款）农村社会事业（项）。</w:t>
      </w:r>
    </w:p>
    <w:p w14:paraId="20C4FE9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年初预算为0万元，支出决算为155.46万元，决算数大于年初预算数的主要原因是：本年度根据上级对项目的安排增加各项目预算支出。</w:t>
      </w:r>
    </w:p>
    <w:p w14:paraId="31862556">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22、农林水（类）农业农村（款）农业资源保护修复与利用（项）。</w:t>
      </w:r>
    </w:p>
    <w:p w14:paraId="521B1325">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年初预算为273.90万元，支出决算为743.39万元，完成年初预算的271.41%，决算数大于年初预算数的主要原因是：本年度根据上级对项目的安排增加各项目预算支出。</w:t>
      </w:r>
    </w:p>
    <w:p w14:paraId="47B9B429">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23、农林水（类）农业农村（款）其他农业农村支出（项）。</w:t>
      </w:r>
    </w:p>
    <w:p w14:paraId="139BAE0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年初预算为1,201.92万元，支出决算为992.94万元，完成年初预算的82.61%，决算数小于年初预算数的主要原因是：本年度根据各级财政对项目的安排调整各项目预算支出。</w:t>
      </w:r>
    </w:p>
    <w:p w14:paraId="6CB4C2CE">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24、农林水（类）水利（款）农村水利（项）。</w:t>
      </w:r>
    </w:p>
    <w:p w14:paraId="2AE92346">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年初预算为0万元，支出决算为64.77万元，决算数大于年初预算数的主要原因是：本年度根据上级对项目的安排增加各项目预算支出。</w:t>
      </w:r>
    </w:p>
    <w:p w14:paraId="58CD255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25、农林水（类）巩固脱贫攻坚成果衔接乡村振兴（款）行政运行（项）。</w:t>
      </w:r>
    </w:p>
    <w:p w14:paraId="46FD6F5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年初预算为0万元，支出决算为17.61万元，决算数大于年初预算数的主要原因是：本年度根据上级对项目的安排增加各项目预算支出。</w:t>
      </w:r>
    </w:p>
    <w:p w14:paraId="1F7653ED">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26、农林水（类）巩固脱贫攻坚成果衔接乡村振兴（款）农村基础设施建设（项）。</w:t>
      </w:r>
    </w:p>
    <w:p w14:paraId="3DA742C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年初预算为0万元，支出决算为100万元，决算数大于年初预算数的主要原因是：本年度根据本级对项目的安排增加各项目预算支出。</w:t>
      </w:r>
    </w:p>
    <w:p w14:paraId="1B890F7F">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27、农林水（类）巩固脱贫攻坚成果衔接乡村振兴（款）生产发展（项）。</w:t>
      </w:r>
    </w:p>
    <w:p w14:paraId="79963EB5">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年初预算为0万元，支出决算为471.21万元，决算数大于年初预算数的主要原因是：本年度根据上级对项目的安排增加各项目预算支出。</w:t>
      </w:r>
    </w:p>
    <w:p w14:paraId="04488549">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28、农林水（类）巩固脱贫攻坚成果衔接乡村振兴（款）社会发展（项）。</w:t>
      </w:r>
    </w:p>
    <w:p w14:paraId="527541A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年初预算为0万元，支出决算为296.60万元，决算数大于年初预算数的主要原因是：本年度根据上级对项目的安排增加各项目预算支出。</w:t>
      </w:r>
    </w:p>
    <w:p w14:paraId="3442784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29、农林水（类）巩固脱贫攻坚成果衔接乡村振兴（款）贷款奖补和贴息（项）。</w:t>
      </w:r>
    </w:p>
    <w:p w14:paraId="2CFB6A15">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年初预算为0万元，支出决算为555万元，决算数大于年初预算数的主要原因是：本年度根据上级对项目的安排增加各项目预算支出。</w:t>
      </w:r>
    </w:p>
    <w:p w14:paraId="26164F33">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30、农林水（类）巩固脱贫攻坚成果衔接乡村振兴（款）其他巩固脱贫攻坚成果衔接乡村振兴支出（项）。</w:t>
      </w:r>
    </w:p>
    <w:p w14:paraId="74D90E87">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年初预算为0万元，支出决算为1,279万元，决算数大于年初预算数的主要原因是：本年度根据上级对项目的安排增加各项目预算支出。</w:t>
      </w:r>
    </w:p>
    <w:p w14:paraId="5553FC2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31、农林水（类）目标价格补贴（款）棉花目标价格补贴（项）。</w:t>
      </w:r>
    </w:p>
    <w:p w14:paraId="363E559B">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年初预算为0万元，支出决算为914.87万元，决算数大于年初预算数的主要原因是：本年度根据上级对项目的安排增加各项目预算支出。</w:t>
      </w:r>
    </w:p>
    <w:p w14:paraId="38DF2140">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32、农林水（类）目标价格补贴（款）其他目标价格补贴（项）。</w:t>
      </w:r>
    </w:p>
    <w:p w14:paraId="5A7EE3B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年初预算为0万元，支出决算为3,022.58万元，决算数大于年初预算数的主要原因是：本年度根据上级对项目的安排增加各项目预算支出。</w:t>
      </w:r>
    </w:p>
    <w:p w14:paraId="7A958F2F">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33、农林水（类）其他农林水支出（款）其他农林水支出（项）。</w:t>
      </w:r>
    </w:p>
    <w:p w14:paraId="608F9C35">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年初预算为0万元，支出决算为30万元，决算数大于年初预算数的主要原因是：本年度根据上级对项目的安排增加各项目预算支出。</w:t>
      </w:r>
    </w:p>
    <w:p w14:paraId="54342AA3">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34、住房保障（类）住房改革支出（款）住房公积金（项）。</w:t>
      </w:r>
    </w:p>
    <w:p w14:paraId="1E091190">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年初预算为93.42万元，支出决算为92.58万元，完成年初预算的98.05%，决算数小于年初预算数的主要原因是：根据本年度人员实际增减变化调整支出功能科目。</w:t>
      </w:r>
    </w:p>
    <w:p w14:paraId="66226B66">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35、粮油物资储备（类）粮油物资事务（款）其他粮油物资事务支出（项）。</w:t>
      </w:r>
    </w:p>
    <w:p w14:paraId="4B69ADD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年初预算为0万元，支出决算为1,190.28万元，决算数大于年初预算数的主要原因是：本年度根据上级对项目的安排增加各项目预算支出。</w:t>
      </w:r>
    </w:p>
    <w:p w14:paraId="36BEB68F">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六、一般公共预算财政拨款基本支出决算情况说明</w:t>
      </w:r>
    </w:p>
    <w:p w14:paraId="6CE2E64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2023</w:t>
      </w:r>
      <w:r>
        <w:rPr>
          <w:rFonts w:ascii="仿宋" w:hAnsi="仿宋" w:eastAsia="仿宋" w:cs="微软雅黑"/>
          <w:sz w:val="32"/>
          <w:szCs w:val="32"/>
        </w:rPr>
        <w:t>年度财政拨款基本支出2037.79万元，其中：</w:t>
      </w:r>
    </w:p>
    <w:p w14:paraId="2DF3702E">
      <w:pPr>
        <w:widowControl/>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人员经费</w:t>
      </w:r>
      <w:r>
        <w:rPr>
          <w:rFonts w:ascii="仿宋" w:hAnsi="仿宋" w:eastAsia="仿宋" w:cs="微软雅黑"/>
          <w:color w:val="000000"/>
          <w:kern w:val="0"/>
          <w:sz w:val="32"/>
          <w:szCs w:val="32"/>
        </w:rPr>
        <w:t>1,632.11万元，占基本支出的80.09%</w:t>
      </w:r>
      <w:r>
        <w:rPr>
          <w:rFonts w:hint="eastAsia" w:ascii="仿宋" w:hAnsi="仿宋" w:eastAsia="仿宋" w:cs="微软雅黑"/>
          <w:color w:val="000000"/>
          <w:kern w:val="0"/>
          <w:sz w:val="32"/>
          <w:szCs w:val="32"/>
        </w:rPr>
        <w:t>，</w:t>
      </w:r>
      <w:r>
        <w:rPr>
          <w:rFonts w:ascii="仿宋" w:hAnsi="仿宋" w:eastAsia="仿宋" w:cs="微软雅黑"/>
          <w:color w:val="000000"/>
          <w:kern w:val="0"/>
          <w:sz w:val="32"/>
          <w:szCs w:val="32"/>
        </w:rPr>
        <w:t>主要包括</w:t>
      </w:r>
      <w:r>
        <w:rPr>
          <w:rFonts w:hint="eastAsia" w:ascii="仿宋" w:hAnsi="仿宋" w:eastAsia="仿宋" w:cs="微软雅黑"/>
          <w:color w:val="000000"/>
          <w:kern w:val="0"/>
          <w:sz w:val="32"/>
          <w:szCs w:val="32"/>
        </w:rPr>
        <w:t>基本工资、津贴补贴、奖金、机关事业单位基本养老保险缴费、职业年金缴费、职工基本医疗保险缴费、公务员医疗补助缴费、其他社会保障缴费、住房公积金、其他工资福利支出，退休费、抚恤金、生活补助、救济费、奖励金、其他对个人和家庭的补助</w:t>
      </w:r>
      <w:r>
        <w:rPr>
          <w:rFonts w:ascii="仿宋" w:hAnsi="仿宋" w:eastAsia="仿宋" w:cs="微软雅黑"/>
          <w:color w:val="000000"/>
          <w:kern w:val="0"/>
          <w:sz w:val="32"/>
          <w:szCs w:val="32"/>
        </w:rPr>
        <w:t>。</w:t>
      </w:r>
    </w:p>
    <w:p w14:paraId="7A93AF0D">
      <w:pPr>
        <w:widowControl/>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公用经费</w:t>
      </w:r>
      <w:r>
        <w:rPr>
          <w:rFonts w:ascii="仿宋" w:hAnsi="仿宋" w:eastAsia="仿宋" w:cs="微软雅黑"/>
          <w:color w:val="000000"/>
          <w:kern w:val="0"/>
          <w:sz w:val="32"/>
          <w:szCs w:val="32"/>
        </w:rPr>
        <w:t>405.68万元，占基本支出的</w:t>
      </w:r>
      <w:r>
        <w:rPr>
          <w:rFonts w:hint="eastAsia" w:ascii="仿宋" w:hAnsi="仿宋" w:eastAsia="仿宋" w:cs="微软雅黑"/>
          <w:color w:val="000000"/>
          <w:kern w:val="0"/>
          <w:sz w:val="32"/>
          <w:szCs w:val="32"/>
        </w:rPr>
        <w:t>19.91%，主要包括办公费、印刷费、咨询费、水费、电费、邮电费、物业管理费、差旅费、维修（护）费、租赁费、会议费、培训费、公务接待费、劳务费、委托业务费、工会经费、公务用车运行维护费、其他交通费用、其他商品和服务支出、办公设备购置。</w:t>
      </w:r>
    </w:p>
    <w:p w14:paraId="28E142E8">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七、政府性基金预算收入支出决算情况</w:t>
      </w:r>
    </w:p>
    <w:p w14:paraId="7214AC45">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本单位无政府性基金收支</w:t>
      </w:r>
    </w:p>
    <w:p w14:paraId="5F0EC4A2">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八、国有资本经营预算财政拨款支出决算情况</w:t>
      </w:r>
    </w:p>
    <w:p w14:paraId="3AB1A500">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本单位无</w:t>
      </w:r>
      <w:r>
        <w:rPr>
          <w:rFonts w:ascii="仿宋" w:hAnsi="仿宋" w:eastAsia="仿宋" w:cs="微软雅黑"/>
          <w:sz w:val="32"/>
          <w:szCs w:val="32"/>
        </w:rPr>
        <w:t>国有资本经营预算财政拨款支出</w:t>
      </w:r>
    </w:p>
    <w:p w14:paraId="6BDCC1C9">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九、财政拨款三公经费支出决算情况说明</w:t>
      </w:r>
    </w:p>
    <w:p w14:paraId="3CCF16B1">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（一）“三公”经费财政拨款支出决算总体情况说明</w:t>
      </w:r>
    </w:p>
    <w:p w14:paraId="021D74A1">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“三公”经费财政拨款支出预算为</w:t>
      </w:r>
      <w:r>
        <w:rPr>
          <w:rFonts w:ascii="仿宋" w:hAnsi="仿宋" w:eastAsia="仿宋" w:cs="微软雅黑"/>
          <w:sz w:val="32"/>
          <w:szCs w:val="32"/>
        </w:rPr>
        <w:t>60.6</w:t>
      </w:r>
      <w:r>
        <w:rPr>
          <w:rFonts w:hint="eastAsia" w:ascii="仿宋" w:hAnsi="仿宋" w:eastAsia="仿宋" w:cs="微软雅黑"/>
          <w:sz w:val="32"/>
          <w:szCs w:val="32"/>
        </w:rPr>
        <w:t>万元，支出决算为</w:t>
      </w:r>
      <w:r>
        <w:rPr>
          <w:rFonts w:ascii="仿宋" w:hAnsi="仿宋" w:eastAsia="仿宋" w:cs="微软雅黑"/>
          <w:sz w:val="32"/>
          <w:szCs w:val="32"/>
        </w:rPr>
        <w:t>16.56</w:t>
      </w:r>
      <w:r>
        <w:rPr>
          <w:rFonts w:hint="eastAsia" w:ascii="仿宋" w:hAnsi="仿宋" w:eastAsia="仿宋" w:cs="微软雅黑"/>
          <w:sz w:val="32"/>
          <w:szCs w:val="32"/>
        </w:rPr>
        <w:t>万元，同口径比较预算数为23.90，决算完成预算的69.29%，其中：</w:t>
      </w:r>
    </w:p>
    <w:p w14:paraId="7BE1E582">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因公出国（境）费支出预算为</w:t>
      </w:r>
      <w:r>
        <w:rPr>
          <w:rFonts w:ascii="仿宋" w:hAnsi="仿宋" w:eastAsia="仿宋" w:cs="微软雅黑"/>
          <w:sz w:val="32"/>
          <w:szCs w:val="32"/>
        </w:rPr>
        <w:t>0</w:t>
      </w:r>
      <w:r>
        <w:rPr>
          <w:rFonts w:hint="eastAsia" w:ascii="仿宋" w:hAnsi="仿宋" w:eastAsia="仿宋" w:cs="微软雅黑"/>
          <w:sz w:val="32"/>
          <w:szCs w:val="32"/>
        </w:rPr>
        <w:t>万元，支出决算为</w:t>
      </w:r>
      <w:r>
        <w:rPr>
          <w:rFonts w:ascii="仿宋" w:hAnsi="仿宋" w:eastAsia="仿宋" w:cs="微软雅黑"/>
          <w:sz w:val="32"/>
          <w:szCs w:val="32"/>
        </w:rPr>
        <w:t>0</w:t>
      </w:r>
      <w:r>
        <w:rPr>
          <w:rFonts w:hint="eastAsia" w:ascii="仿宋" w:hAnsi="仿宋" w:eastAsia="仿宋" w:cs="微软雅黑"/>
          <w:sz w:val="32"/>
          <w:szCs w:val="32"/>
        </w:rPr>
        <w:t>万元，决算数与预算数持平。</w:t>
      </w:r>
    </w:p>
    <w:p w14:paraId="41085288">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公务接待费支出预算为</w:t>
      </w:r>
      <w:r>
        <w:rPr>
          <w:rFonts w:ascii="仿宋" w:hAnsi="仿宋" w:eastAsia="仿宋" w:cs="微软雅黑"/>
          <w:sz w:val="32"/>
          <w:szCs w:val="32"/>
        </w:rPr>
        <w:t>16.40</w:t>
      </w:r>
      <w:r>
        <w:rPr>
          <w:rFonts w:hint="eastAsia" w:ascii="仿宋" w:hAnsi="仿宋" w:eastAsia="仿宋" w:cs="微软雅黑"/>
          <w:sz w:val="32"/>
          <w:szCs w:val="32"/>
        </w:rPr>
        <w:t>万元，支出决算为</w:t>
      </w:r>
      <w:r>
        <w:rPr>
          <w:rFonts w:ascii="仿宋" w:hAnsi="仿宋" w:eastAsia="仿宋" w:cs="微软雅黑"/>
          <w:sz w:val="32"/>
          <w:szCs w:val="32"/>
        </w:rPr>
        <w:t>11.87</w:t>
      </w:r>
      <w:r>
        <w:rPr>
          <w:rFonts w:hint="eastAsia" w:ascii="仿宋" w:hAnsi="仿宋" w:eastAsia="仿宋" w:cs="微软雅黑"/>
          <w:sz w:val="32"/>
          <w:szCs w:val="32"/>
        </w:rPr>
        <w:t>万元，完成预算的</w:t>
      </w:r>
      <w:r>
        <w:rPr>
          <w:rFonts w:ascii="仿宋" w:hAnsi="仿宋" w:eastAsia="仿宋" w:cs="微软雅黑"/>
          <w:sz w:val="32"/>
          <w:szCs w:val="32"/>
        </w:rPr>
        <w:t>72.38</w:t>
      </w:r>
      <w:r>
        <w:rPr>
          <w:rFonts w:hint="eastAsia" w:ascii="仿宋" w:hAnsi="仿宋" w:eastAsia="仿宋" w:cs="微软雅黑"/>
          <w:sz w:val="32"/>
          <w:szCs w:val="32"/>
        </w:rPr>
        <w:t>%，决算数小于预算数的主要原因是认真贯彻落实中央八项规定精神和厉行节约要求，从严控制“三公”经费开支。与上年相比</w:t>
      </w:r>
      <w:r>
        <w:rPr>
          <w:rFonts w:ascii="仿宋" w:hAnsi="仿宋" w:eastAsia="仿宋" w:cs="微软雅黑"/>
          <w:sz w:val="32"/>
          <w:szCs w:val="32"/>
        </w:rPr>
        <w:t>减少0.10</w:t>
      </w:r>
      <w:r>
        <w:rPr>
          <w:rFonts w:hint="eastAsia" w:ascii="仿宋" w:hAnsi="仿宋" w:eastAsia="仿宋" w:cs="微软雅黑"/>
          <w:sz w:val="32"/>
          <w:szCs w:val="32"/>
        </w:rPr>
        <w:t>万元，减少0.84%,减少的主要原因是认真贯彻落实中央八项规定精神和厉行节约要求，从严控制“三公”经费开支。</w:t>
      </w:r>
    </w:p>
    <w:p w14:paraId="4E45F43F">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公务用车购置费支出预算为</w:t>
      </w:r>
      <w:r>
        <w:rPr>
          <w:rFonts w:ascii="仿宋" w:hAnsi="仿宋" w:eastAsia="仿宋" w:cs="微软雅黑"/>
          <w:sz w:val="32"/>
          <w:szCs w:val="32"/>
        </w:rPr>
        <w:t>0</w:t>
      </w:r>
      <w:r>
        <w:rPr>
          <w:rFonts w:hint="eastAsia" w:ascii="仿宋" w:hAnsi="仿宋" w:eastAsia="仿宋" w:cs="微软雅黑"/>
          <w:sz w:val="32"/>
          <w:szCs w:val="32"/>
        </w:rPr>
        <w:t>万元，支出决算为</w:t>
      </w:r>
      <w:r>
        <w:rPr>
          <w:rFonts w:ascii="仿宋" w:hAnsi="仿宋" w:eastAsia="仿宋" w:cs="微软雅黑"/>
          <w:sz w:val="32"/>
          <w:szCs w:val="32"/>
        </w:rPr>
        <w:t>0</w:t>
      </w:r>
      <w:r>
        <w:rPr>
          <w:rFonts w:hint="eastAsia" w:ascii="仿宋" w:hAnsi="仿宋" w:eastAsia="仿宋" w:cs="微软雅黑"/>
          <w:sz w:val="32"/>
          <w:szCs w:val="32"/>
        </w:rPr>
        <w:t>万元，决算数与预算数持平。与上年相比</w:t>
      </w:r>
      <w:r>
        <w:rPr>
          <w:rFonts w:ascii="仿宋" w:hAnsi="仿宋" w:eastAsia="仿宋" w:cs="微软雅黑"/>
          <w:sz w:val="32"/>
          <w:szCs w:val="32"/>
        </w:rPr>
        <w:t>减少31.72</w:t>
      </w:r>
      <w:r>
        <w:rPr>
          <w:rFonts w:hint="eastAsia" w:ascii="仿宋" w:hAnsi="仿宋" w:eastAsia="仿宋" w:cs="微软雅黑"/>
          <w:sz w:val="32"/>
          <w:szCs w:val="32"/>
        </w:rPr>
        <w:t>万元，</w:t>
      </w:r>
      <w:r>
        <w:rPr>
          <w:rFonts w:ascii="仿宋" w:hAnsi="仿宋" w:eastAsia="仿宋" w:cs="微软雅黑"/>
          <w:sz w:val="32"/>
          <w:szCs w:val="32"/>
        </w:rPr>
        <w:t>减少100.00</w:t>
      </w:r>
      <w:r>
        <w:rPr>
          <w:rFonts w:hint="eastAsia" w:ascii="仿宋" w:hAnsi="仿宋" w:eastAsia="仿宋" w:cs="微软雅黑"/>
          <w:sz w:val="32"/>
          <w:szCs w:val="32"/>
        </w:rPr>
        <w:t>%，</w:t>
      </w:r>
      <w:r>
        <w:rPr>
          <w:rFonts w:ascii="仿宋" w:hAnsi="仿宋" w:eastAsia="仿宋" w:cs="微软雅黑"/>
          <w:sz w:val="32"/>
          <w:szCs w:val="32"/>
        </w:rPr>
        <w:t>减少</w:t>
      </w:r>
      <w:r>
        <w:rPr>
          <w:rFonts w:hint="eastAsia" w:ascii="仿宋" w:hAnsi="仿宋" w:eastAsia="仿宋" w:cs="微软雅黑"/>
          <w:sz w:val="32"/>
          <w:szCs w:val="32"/>
        </w:rPr>
        <w:t>的主要原因是本年度未购置新公车。</w:t>
      </w:r>
    </w:p>
    <w:p w14:paraId="1EDC9969">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公务用车运行维护费支出预算为</w:t>
      </w:r>
      <w:r>
        <w:rPr>
          <w:rFonts w:ascii="仿宋" w:hAnsi="仿宋" w:eastAsia="仿宋" w:cs="微软雅黑"/>
          <w:sz w:val="32"/>
          <w:szCs w:val="32"/>
        </w:rPr>
        <w:t>44.2</w:t>
      </w:r>
      <w:r>
        <w:rPr>
          <w:rFonts w:hint="eastAsia" w:ascii="仿宋" w:hAnsi="仿宋" w:eastAsia="仿宋" w:cs="微软雅黑"/>
          <w:sz w:val="32"/>
          <w:szCs w:val="32"/>
        </w:rPr>
        <w:t>万元，同口径相比预算数为7.5万元，支出决算为</w:t>
      </w:r>
      <w:r>
        <w:rPr>
          <w:rFonts w:ascii="仿宋" w:hAnsi="仿宋" w:eastAsia="仿宋" w:cs="微软雅黑"/>
          <w:sz w:val="32"/>
          <w:szCs w:val="32"/>
        </w:rPr>
        <w:t>4.69</w:t>
      </w:r>
      <w:r>
        <w:rPr>
          <w:rFonts w:hint="eastAsia" w:ascii="仿宋" w:hAnsi="仿宋" w:eastAsia="仿宋" w:cs="微软雅黑"/>
          <w:sz w:val="32"/>
          <w:szCs w:val="32"/>
        </w:rPr>
        <w:t>万元，完成预算的62.53%，决算数小于预算数的主要</w:t>
      </w:r>
      <w:r>
        <w:rPr>
          <w:rFonts w:hint="eastAsia" w:ascii="仿宋" w:hAnsi="仿宋" w:eastAsia="仿宋" w:cs="微软雅黑"/>
          <w:sz w:val="32"/>
          <w:szCs w:val="32"/>
          <w:lang w:eastAsia="zh-CN"/>
        </w:rPr>
        <w:t>原因是</w:t>
      </w:r>
      <w:r>
        <w:rPr>
          <w:rFonts w:hint="eastAsia" w:ascii="仿宋" w:hAnsi="仿宋" w:eastAsia="仿宋" w:cs="微软雅黑"/>
          <w:sz w:val="32"/>
          <w:szCs w:val="32"/>
        </w:rPr>
        <w:t>认真贯彻落实中央八项规定精神和厉行节约要求，从严控制“三公”经费开支。与上年相比</w:t>
      </w:r>
      <w:r>
        <w:rPr>
          <w:rFonts w:ascii="仿宋" w:hAnsi="仿宋" w:eastAsia="仿宋" w:cs="微软雅黑"/>
          <w:sz w:val="32"/>
          <w:szCs w:val="32"/>
        </w:rPr>
        <w:t>减少4.89</w:t>
      </w:r>
      <w:r>
        <w:rPr>
          <w:rFonts w:hint="eastAsia" w:ascii="仿宋" w:hAnsi="仿宋" w:eastAsia="仿宋" w:cs="微软雅黑"/>
          <w:sz w:val="32"/>
          <w:szCs w:val="32"/>
        </w:rPr>
        <w:t>万元，</w:t>
      </w:r>
      <w:r>
        <w:rPr>
          <w:rFonts w:ascii="仿宋" w:hAnsi="仿宋" w:eastAsia="仿宋" w:cs="微软雅黑"/>
          <w:sz w:val="32"/>
          <w:szCs w:val="32"/>
        </w:rPr>
        <w:t>减少51.04</w:t>
      </w:r>
      <w:r>
        <w:rPr>
          <w:rFonts w:hint="eastAsia" w:ascii="仿宋" w:hAnsi="仿宋" w:eastAsia="仿宋" w:cs="微软雅黑"/>
          <w:sz w:val="32"/>
          <w:szCs w:val="32"/>
        </w:rPr>
        <w:t>%,减少的主要原因是上年度公车发动机大故障产生修理费，置换的新工具车购配套设备导致支出较大，本年未发生此类支出。</w:t>
      </w:r>
    </w:p>
    <w:p w14:paraId="7C36B803">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（二）“三公”经费财政拨款支出决算具体情况说明</w:t>
      </w:r>
    </w:p>
    <w:p w14:paraId="399C908B">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2023年度“三公”经费财政拨款支出决算中，公务接待费支出决算</w:t>
      </w:r>
      <w:r>
        <w:rPr>
          <w:rFonts w:ascii="仿宋" w:hAnsi="仿宋" w:eastAsia="仿宋" w:cs="微软雅黑"/>
          <w:sz w:val="32"/>
          <w:szCs w:val="32"/>
        </w:rPr>
        <w:t>11.87</w:t>
      </w:r>
      <w:r>
        <w:rPr>
          <w:rFonts w:hint="eastAsia" w:ascii="仿宋" w:hAnsi="仿宋" w:eastAsia="仿宋" w:cs="微软雅黑"/>
          <w:sz w:val="32"/>
          <w:szCs w:val="32"/>
        </w:rPr>
        <w:t>万元，占</w:t>
      </w:r>
      <w:r>
        <w:rPr>
          <w:rFonts w:ascii="仿宋" w:hAnsi="仿宋" w:eastAsia="仿宋" w:cs="微软雅黑"/>
          <w:sz w:val="32"/>
          <w:szCs w:val="32"/>
        </w:rPr>
        <w:t>71.68</w:t>
      </w:r>
      <w:r>
        <w:rPr>
          <w:rFonts w:hint="eastAsia" w:ascii="仿宋" w:hAnsi="仿宋" w:eastAsia="仿宋" w:cs="微软雅黑"/>
          <w:sz w:val="32"/>
          <w:szCs w:val="32"/>
        </w:rPr>
        <w:t>%,因公出国（境）费支出决算</w:t>
      </w:r>
      <w:r>
        <w:rPr>
          <w:rFonts w:ascii="仿宋" w:hAnsi="仿宋" w:eastAsia="仿宋" w:cs="微软雅黑"/>
          <w:sz w:val="32"/>
          <w:szCs w:val="32"/>
        </w:rPr>
        <w:t>0</w:t>
      </w:r>
      <w:r>
        <w:rPr>
          <w:rFonts w:hint="eastAsia" w:ascii="仿宋" w:hAnsi="仿宋" w:eastAsia="仿宋" w:cs="微软雅黑"/>
          <w:sz w:val="32"/>
          <w:szCs w:val="32"/>
        </w:rPr>
        <w:t>万元，占</w:t>
      </w:r>
      <w:r>
        <w:rPr>
          <w:rFonts w:ascii="仿宋" w:hAnsi="仿宋" w:eastAsia="仿宋" w:cs="微软雅黑"/>
          <w:sz w:val="32"/>
          <w:szCs w:val="32"/>
        </w:rPr>
        <w:t>0</w:t>
      </w:r>
      <w:r>
        <w:rPr>
          <w:rFonts w:hint="eastAsia" w:ascii="仿宋" w:hAnsi="仿宋" w:eastAsia="仿宋" w:cs="微软雅黑"/>
          <w:sz w:val="32"/>
          <w:szCs w:val="32"/>
        </w:rPr>
        <w:t>%,公务用车购置费及运行维护费支出决算</w:t>
      </w:r>
      <w:r>
        <w:rPr>
          <w:rFonts w:ascii="仿宋" w:hAnsi="仿宋" w:eastAsia="仿宋" w:cs="微软雅黑"/>
          <w:sz w:val="32"/>
          <w:szCs w:val="32"/>
        </w:rPr>
        <w:t>4.69</w:t>
      </w:r>
      <w:r>
        <w:rPr>
          <w:rFonts w:hint="eastAsia" w:ascii="仿宋" w:hAnsi="仿宋" w:eastAsia="仿宋" w:cs="微软雅黑"/>
          <w:sz w:val="32"/>
          <w:szCs w:val="32"/>
        </w:rPr>
        <w:t>万元，占</w:t>
      </w:r>
      <w:r>
        <w:rPr>
          <w:rFonts w:ascii="仿宋" w:hAnsi="仿宋" w:eastAsia="仿宋" w:cs="微软雅黑"/>
          <w:sz w:val="32"/>
          <w:szCs w:val="32"/>
        </w:rPr>
        <w:t>28.32</w:t>
      </w:r>
      <w:r>
        <w:rPr>
          <w:rFonts w:hint="eastAsia" w:ascii="仿宋" w:hAnsi="仿宋" w:eastAsia="仿宋" w:cs="微软雅黑"/>
          <w:sz w:val="32"/>
          <w:szCs w:val="32"/>
        </w:rPr>
        <w:t>%。其中：</w:t>
      </w:r>
    </w:p>
    <w:p w14:paraId="1088964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1、因公出国（境）费支出决算为</w:t>
      </w:r>
      <w:r>
        <w:rPr>
          <w:rFonts w:ascii="仿宋" w:hAnsi="仿宋" w:eastAsia="仿宋" w:cs="微软雅黑"/>
          <w:sz w:val="32"/>
          <w:szCs w:val="32"/>
        </w:rPr>
        <w:t>0</w:t>
      </w:r>
      <w:r>
        <w:rPr>
          <w:rFonts w:hint="eastAsia" w:ascii="仿宋" w:hAnsi="仿宋" w:eastAsia="仿宋" w:cs="微软雅黑"/>
          <w:sz w:val="32"/>
          <w:szCs w:val="32"/>
        </w:rPr>
        <w:t>万元，全年未安排因公出国（境）团组。</w:t>
      </w:r>
    </w:p>
    <w:p w14:paraId="50F4988D">
      <w:pPr>
        <w:pStyle w:val="13"/>
        <w:spacing w:line="360" w:lineRule="auto"/>
        <w:ind w:firstLine="800" w:firstLineChars="250"/>
        <w:rPr>
          <w:rFonts w:ascii="仿宋" w:hAnsi="仿宋" w:eastAsia="仿宋" w:cs="微软雅黑"/>
          <w:sz w:val="32"/>
          <w:szCs w:val="32"/>
        </w:rPr>
      </w:pPr>
      <w:r>
        <w:rPr>
          <w:rFonts w:hint="eastAsia" w:ascii="仿宋" w:hAnsi="仿宋" w:eastAsia="仿宋" w:cs="微软雅黑"/>
          <w:sz w:val="32"/>
          <w:szCs w:val="32"/>
        </w:rPr>
        <w:t>2、公务接待费支出决算为</w:t>
      </w:r>
      <w:r>
        <w:rPr>
          <w:rFonts w:ascii="仿宋" w:hAnsi="仿宋" w:eastAsia="仿宋" w:cs="微软雅黑"/>
          <w:sz w:val="32"/>
        </w:rPr>
        <w:t>11.87</w:t>
      </w:r>
      <w:r>
        <w:rPr>
          <w:rFonts w:hint="eastAsia" w:ascii="仿宋" w:hAnsi="仿宋" w:eastAsia="仿宋" w:cs="微软雅黑"/>
          <w:sz w:val="32"/>
          <w:szCs w:val="32"/>
        </w:rPr>
        <w:t>万元，全年共接待来访团组73个、来宾832人次，主要是与有关单位交流工作进度及接受相关部门检查指导工作</w:t>
      </w:r>
      <w:r>
        <w:rPr>
          <w:rFonts w:hint="eastAsia" w:ascii="仿宋" w:hAnsi="仿宋" w:eastAsia="仿宋" w:cs="微软雅黑"/>
          <w:sz w:val="32"/>
          <w:szCs w:val="32"/>
          <w:lang w:eastAsia="zh-CN"/>
        </w:rPr>
        <w:t>发生的接待支出</w:t>
      </w:r>
      <w:r>
        <w:rPr>
          <w:rFonts w:hint="eastAsia" w:ascii="仿宋" w:hAnsi="仿宋" w:eastAsia="仿宋" w:cs="微软雅黑"/>
          <w:sz w:val="32"/>
          <w:szCs w:val="32"/>
        </w:rPr>
        <w:t>。</w:t>
      </w:r>
    </w:p>
    <w:p w14:paraId="6F96B5E8">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3、公务用车购置费及运行维护费支出决算为</w:t>
      </w:r>
      <w:r>
        <w:rPr>
          <w:rFonts w:ascii="仿宋" w:hAnsi="仿宋" w:eastAsia="仿宋" w:cs="微软雅黑"/>
          <w:sz w:val="32"/>
          <w:szCs w:val="32"/>
        </w:rPr>
        <w:t>4.69</w:t>
      </w:r>
      <w:r>
        <w:rPr>
          <w:rFonts w:hint="eastAsia" w:ascii="仿宋" w:hAnsi="仿宋" w:eastAsia="仿宋" w:cs="微软雅黑"/>
          <w:sz w:val="32"/>
          <w:szCs w:val="32"/>
        </w:rPr>
        <w:t>万元，其中：公务用车购置费</w:t>
      </w:r>
      <w:r>
        <w:rPr>
          <w:rFonts w:ascii="仿宋" w:hAnsi="仿宋" w:eastAsia="仿宋" w:cs="微软雅黑"/>
          <w:sz w:val="32"/>
          <w:szCs w:val="32"/>
        </w:rPr>
        <w:t>0</w:t>
      </w:r>
      <w:r>
        <w:rPr>
          <w:rFonts w:hint="eastAsia" w:ascii="仿宋" w:hAnsi="仿宋" w:eastAsia="仿宋" w:cs="微软雅黑"/>
          <w:sz w:val="32"/>
          <w:szCs w:val="32"/>
        </w:rPr>
        <w:t>万元。公务用车运行维护费</w:t>
      </w:r>
      <w:r>
        <w:rPr>
          <w:rFonts w:ascii="仿宋" w:hAnsi="仿宋" w:eastAsia="仿宋" w:cs="微软雅黑"/>
          <w:sz w:val="32"/>
          <w:szCs w:val="32"/>
        </w:rPr>
        <w:t>4.69</w:t>
      </w:r>
      <w:r>
        <w:rPr>
          <w:rFonts w:hint="eastAsia" w:ascii="仿宋" w:hAnsi="仿宋" w:eastAsia="仿宋" w:cs="微软雅黑"/>
          <w:sz w:val="32"/>
          <w:szCs w:val="32"/>
        </w:rPr>
        <w:t>万元，主要是公务用车的燃料费、维修费、过桥过路费、保险费、安全奖励费支出，截至2023年12月31日，我单位开支财政拨款的公务用车保有量为1辆。</w:t>
      </w:r>
    </w:p>
    <w:p w14:paraId="5BF2CFD9">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十、关于机关运行经费支出说明</w:t>
      </w:r>
    </w:p>
    <w:p w14:paraId="7FBC6EEE">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本部门2023年度机关运行经费支出</w:t>
      </w:r>
      <w:r>
        <w:rPr>
          <w:rFonts w:ascii="仿宋" w:hAnsi="仿宋" w:eastAsia="仿宋" w:cs="微软雅黑"/>
          <w:sz w:val="32"/>
          <w:szCs w:val="32"/>
        </w:rPr>
        <w:t>405.68万元</w:t>
      </w:r>
      <w:r>
        <w:rPr>
          <w:rFonts w:hint="eastAsia" w:ascii="仿宋" w:hAnsi="仿宋" w:eastAsia="仿宋" w:cs="微软雅黑"/>
          <w:sz w:val="32"/>
          <w:szCs w:val="32"/>
        </w:rPr>
        <w:t>，比年初预算数（或者上年决算数）</w:t>
      </w:r>
      <w:r>
        <w:rPr>
          <w:rFonts w:ascii="仿宋" w:hAnsi="仿宋" w:eastAsia="仿宋" w:cs="微软雅黑"/>
          <w:sz w:val="32"/>
          <w:szCs w:val="32"/>
        </w:rPr>
        <w:t>增长6.69 万元，增长1.68</w:t>
      </w:r>
      <w:r>
        <w:rPr>
          <w:rFonts w:hint="eastAsia" w:ascii="仿宋" w:hAnsi="仿宋" w:eastAsia="仿宋" w:cs="微软雅黑"/>
          <w:sz w:val="32"/>
          <w:szCs w:val="32"/>
        </w:rPr>
        <w:t xml:space="preserve"> %。主要原因是：公用经费与上年基本持平，公务租车费用略有增加。</w:t>
      </w:r>
    </w:p>
    <w:p w14:paraId="2497C91C">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十一、一般性支出情况说明</w:t>
      </w:r>
    </w:p>
    <w:p w14:paraId="6C49AF70">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2023年本部门开支会议费9.79万元，用于保障会议顺利召开编制资料、场地租金、工作用餐等支出，参会人数1106人，内容为召开全国外来入侵物种防控工作会、全市秋冬种工作暨化学农药减量技术和植保贡献率评价现场观摩会、全市污染防治攻坚战暨洞庭清波工作推进会、湖南农业大学—湖南田味农业科技有限公司“智慧育秧联合研究中心”揭牌仪式暨工厂化育秧技术研讨会、“茶绿樱花红”茶文化节等；开支培训费1.19万元，用于聘请专家讲师、编制培训资料、租赁培训场地、工作用餐等支出，人数203人，内容为粮食生产、旱育秧、全程机械化等；</w:t>
      </w:r>
      <w:r>
        <w:rPr>
          <w:rFonts w:ascii="仿宋" w:hAnsi="仿宋" w:eastAsia="仿宋" w:cs="微软雅黑"/>
          <w:sz w:val="32"/>
        </w:rPr>
        <w:t>举办节庆、晚会、论坛、赛事活动开支</w:t>
      </w:r>
      <w:r>
        <w:rPr>
          <w:rFonts w:hint="eastAsia" w:ascii="仿宋" w:hAnsi="仿宋" w:eastAsia="仿宋" w:cs="微软雅黑"/>
          <w:sz w:val="32"/>
        </w:rPr>
        <w:t>0</w:t>
      </w:r>
      <w:r>
        <w:rPr>
          <w:rFonts w:ascii="仿宋" w:hAnsi="仿宋" w:eastAsia="仿宋" w:cs="微软雅黑"/>
          <w:sz w:val="32"/>
        </w:rPr>
        <w:t>万元。</w:t>
      </w:r>
    </w:p>
    <w:p w14:paraId="3B5952E6">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十二、关于政府采购支出说明</w:t>
      </w:r>
    </w:p>
    <w:p w14:paraId="013A5E8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本部门2023年度政府采购支出总额2,408.88万元，其中：政府采购货物支出1,281.57万元、政府采购工程支出23.11万元、政府采购服务支出1,104.20万元。授予中小企业合同金额2,408.89万元，占政府采购支出总额的100%，其中：授予小微企业合同金额1,281.57万元，占授予中小企业合同金额的53.20%。货物采购授予中小企业合同金额占货物支出金额的53.20%，工程采购授予中小企业合同金额占工程支出金额的0.96%，服务采购授予中小企业合同金额占服务支出金额的45.84%。</w:t>
      </w:r>
    </w:p>
    <w:p w14:paraId="2B003602">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十三、关于国有资产占用情况说明</w:t>
      </w:r>
    </w:p>
    <w:p w14:paraId="642D484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截至2023年12月31日，本单位共有车辆2辆，其中，主要领导干部用车0辆，机要通信用车0辆、应急保障用车0辆、执法执勤用车1辆、特种专业技术用车0辆、其他用车1辆，其他用车主要是</w:t>
      </w:r>
      <w:r>
        <w:rPr>
          <w:rFonts w:hint="eastAsia" w:ascii="Times New Roman" w:hAnsi="Times New Roman" w:eastAsia="仿宋_GB2312"/>
          <w:sz w:val="32"/>
          <w:szCs w:val="32"/>
        </w:rPr>
        <w:t>高标准农田建设工具车</w:t>
      </w:r>
      <w:r>
        <w:rPr>
          <w:rFonts w:hint="eastAsia" w:ascii="仿宋" w:hAnsi="仿宋" w:eastAsia="仿宋" w:cs="微软雅黑"/>
          <w:sz w:val="32"/>
          <w:szCs w:val="32"/>
        </w:rPr>
        <w:t>；单位价值50万元以上通用设备0台（套）；单位价值100万元以上专用设备0台（套）。</w:t>
      </w:r>
    </w:p>
    <w:p w14:paraId="1FEF9C2D">
      <w:pPr>
        <w:pStyle w:val="13"/>
        <w:spacing w:line="600" w:lineRule="exact"/>
        <w:ind w:firstLine="640" w:firstLineChars="200"/>
        <w:rPr>
          <w:rFonts w:ascii="仿宋" w:hAnsi="仿宋" w:eastAsia="仿宋" w:cs="微软雅黑"/>
          <w:b/>
          <w:sz w:val="32"/>
          <w:szCs w:val="32"/>
        </w:rPr>
      </w:pPr>
      <w:r>
        <w:rPr>
          <w:rFonts w:hint="eastAsia" w:ascii="仿宋" w:hAnsi="仿宋" w:eastAsia="仿宋" w:cs="微软雅黑"/>
          <w:b/>
          <w:sz w:val="32"/>
          <w:szCs w:val="32"/>
        </w:rPr>
        <w:t>十四、关于2023年度绩效评价情况的说明</w:t>
      </w:r>
    </w:p>
    <w:p w14:paraId="510A1B88">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b/>
          <w:color w:val="000000"/>
          <w:kern w:val="0"/>
          <w:sz w:val="32"/>
          <w:szCs w:val="32"/>
        </w:rPr>
        <w:t>（1）绩效管理评价工作开展情况</w:t>
      </w:r>
      <w:r>
        <w:rPr>
          <w:rFonts w:hint="eastAsia" w:ascii="仿宋" w:hAnsi="仿宋" w:eastAsia="仿宋" w:cs="微软雅黑"/>
          <w:color w:val="000000"/>
          <w:kern w:val="0"/>
          <w:sz w:val="32"/>
          <w:szCs w:val="32"/>
        </w:rPr>
        <w:t>。</w:t>
      </w:r>
    </w:p>
    <w:p w14:paraId="0A510BC9">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根据预算绩效管理要求，我部门组织对</w:t>
      </w:r>
      <w:r>
        <w:rPr>
          <w:rFonts w:ascii="仿宋" w:hAnsi="仿宋" w:eastAsia="仿宋" w:cs="微软雅黑"/>
          <w:color w:val="000000"/>
          <w:sz w:val="32"/>
        </w:rPr>
        <w:t>2023年度一般公共预算项目支出全面开展绩效自评，其中，一级项目</w:t>
      </w:r>
      <w:r>
        <w:rPr>
          <w:rFonts w:hint="eastAsia" w:ascii="仿宋" w:hAnsi="仿宋" w:eastAsia="仿宋" w:cs="微软雅黑"/>
          <w:color w:val="000000"/>
          <w:sz w:val="32"/>
        </w:rPr>
        <w:t>14</w:t>
      </w:r>
      <w:r>
        <w:rPr>
          <w:rFonts w:ascii="仿宋" w:hAnsi="仿宋" w:eastAsia="仿宋" w:cs="微软雅黑"/>
          <w:color w:val="000000"/>
          <w:sz w:val="32"/>
        </w:rPr>
        <w:t>个，二级项目</w:t>
      </w:r>
      <w:r>
        <w:rPr>
          <w:rFonts w:hint="eastAsia" w:ascii="仿宋" w:hAnsi="仿宋" w:eastAsia="仿宋" w:cs="微软雅黑"/>
          <w:color w:val="000000"/>
          <w:sz w:val="32"/>
        </w:rPr>
        <w:t>0</w:t>
      </w:r>
      <w:r>
        <w:rPr>
          <w:rFonts w:ascii="仿宋" w:hAnsi="仿宋" w:eastAsia="仿宋" w:cs="微软雅黑"/>
          <w:color w:val="000000"/>
          <w:sz w:val="32"/>
        </w:rPr>
        <w:t>个，共涉及资金14</w:t>
      </w:r>
      <w:r>
        <w:rPr>
          <w:rFonts w:hint="eastAsia" w:ascii="仿宋" w:hAnsi="仿宋" w:eastAsia="仿宋" w:cs="微软雅黑"/>
          <w:color w:val="000000"/>
          <w:sz w:val="32"/>
        </w:rPr>
        <w:t>,</w:t>
      </w:r>
      <w:r>
        <w:rPr>
          <w:rFonts w:ascii="仿宋" w:hAnsi="仿宋" w:eastAsia="仿宋" w:cs="微软雅黑"/>
          <w:color w:val="000000"/>
          <w:sz w:val="32"/>
        </w:rPr>
        <w:t>969.63元，占一般公共预算项目支出总额的</w:t>
      </w:r>
      <w:r>
        <w:rPr>
          <w:rFonts w:hint="eastAsia" w:ascii="仿宋" w:hAnsi="仿宋" w:eastAsia="仿宋" w:cs="微软雅黑"/>
          <w:color w:val="000000"/>
          <w:sz w:val="32"/>
        </w:rPr>
        <w:t>61.18</w:t>
      </w:r>
      <w:r>
        <w:rPr>
          <w:rFonts w:ascii="仿宋" w:hAnsi="仿宋" w:eastAsia="仿宋" w:cs="微软雅黑"/>
          <w:color w:val="000000"/>
          <w:sz w:val="32"/>
        </w:rPr>
        <w:t>%。组织对2023年度</w:t>
      </w:r>
      <w:r>
        <w:rPr>
          <w:rFonts w:hint="eastAsia" w:ascii="仿宋" w:hAnsi="仿宋" w:eastAsia="仿宋" w:cs="微软雅黑"/>
          <w:color w:val="000000"/>
          <w:sz w:val="32"/>
        </w:rPr>
        <w:t>0</w:t>
      </w:r>
      <w:r>
        <w:rPr>
          <w:rFonts w:ascii="仿宋" w:hAnsi="仿宋" w:eastAsia="仿宋" w:cs="微软雅黑"/>
          <w:color w:val="000000"/>
          <w:sz w:val="32"/>
        </w:rPr>
        <w:t>个政府性基金预算项目支出开展绩效自评，共涉及资金</w:t>
      </w:r>
      <w:r>
        <w:rPr>
          <w:rFonts w:hint="eastAsia" w:ascii="仿宋" w:hAnsi="仿宋" w:eastAsia="仿宋" w:cs="微软雅黑"/>
          <w:color w:val="000000"/>
          <w:sz w:val="32"/>
        </w:rPr>
        <w:t>0</w:t>
      </w:r>
      <w:r>
        <w:rPr>
          <w:rFonts w:ascii="仿宋" w:hAnsi="仿宋" w:eastAsia="仿宋" w:cs="微软雅黑"/>
          <w:color w:val="000000"/>
          <w:sz w:val="32"/>
        </w:rPr>
        <w:t>万元，占政府性基金预算项目支出总额的</w:t>
      </w:r>
      <w:r>
        <w:rPr>
          <w:rFonts w:hint="eastAsia" w:ascii="仿宋" w:hAnsi="仿宋" w:eastAsia="仿宋" w:cs="微软雅黑"/>
          <w:color w:val="000000"/>
          <w:sz w:val="32"/>
        </w:rPr>
        <w:t>0</w:t>
      </w:r>
      <w:r>
        <w:rPr>
          <w:rFonts w:ascii="仿宋" w:hAnsi="仿宋" w:eastAsia="仿宋" w:cs="微软雅黑"/>
          <w:color w:val="000000"/>
          <w:sz w:val="32"/>
        </w:rPr>
        <w:t>%。组织对2023年度</w:t>
      </w:r>
      <w:r>
        <w:rPr>
          <w:rFonts w:hint="eastAsia" w:ascii="仿宋" w:hAnsi="仿宋" w:eastAsia="仿宋" w:cs="微软雅黑"/>
          <w:color w:val="000000"/>
          <w:sz w:val="32"/>
        </w:rPr>
        <w:t>0</w:t>
      </w:r>
      <w:r>
        <w:rPr>
          <w:rFonts w:ascii="仿宋" w:hAnsi="仿宋" w:eastAsia="仿宋" w:cs="微软雅黑"/>
          <w:color w:val="000000"/>
          <w:sz w:val="32"/>
        </w:rPr>
        <w:t>个国有资本经营预算项目支出开展绩效自评，共涉及资金</w:t>
      </w:r>
      <w:r>
        <w:rPr>
          <w:rFonts w:hint="eastAsia" w:ascii="仿宋" w:hAnsi="仿宋" w:eastAsia="仿宋" w:cs="微软雅黑"/>
          <w:color w:val="000000"/>
          <w:sz w:val="32"/>
        </w:rPr>
        <w:t>0</w:t>
      </w:r>
      <w:r>
        <w:rPr>
          <w:rFonts w:ascii="仿宋" w:hAnsi="仿宋" w:eastAsia="仿宋" w:cs="微软雅黑"/>
          <w:color w:val="000000"/>
          <w:sz w:val="32"/>
        </w:rPr>
        <w:t>万元，占国有资本经营预算项目支出总额的</w:t>
      </w:r>
      <w:r>
        <w:rPr>
          <w:rFonts w:hint="eastAsia" w:ascii="仿宋" w:hAnsi="仿宋" w:eastAsia="仿宋" w:cs="微软雅黑"/>
          <w:color w:val="000000"/>
          <w:sz w:val="32"/>
        </w:rPr>
        <w:t>0</w:t>
      </w:r>
      <w:r>
        <w:rPr>
          <w:rFonts w:ascii="仿宋" w:hAnsi="仿宋" w:eastAsia="仿宋" w:cs="微软雅黑"/>
          <w:color w:val="000000"/>
          <w:sz w:val="32"/>
        </w:rPr>
        <w:t>%。</w:t>
      </w:r>
    </w:p>
    <w:p w14:paraId="353F114A">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组织对“农村人居环境整治”“2023年粮食生产专项”等14个项目开展了部门评价，涉及一般公共预算支出</w:t>
      </w:r>
      <w:r>
        <w:rPr>
          <w:rFonts w:ascii="仿宋" w:hAnsi="仿宋" w:eastAsia="仿宋" w:cs="微软雅黑"/>
          <w:color w:val="000000"/>
          <w:sz w:val="32"/>
        </w:rPr>
        <w:t>14</w:t>
      </w:r>
      <w:r>
        <w:rPr>
          <w:rFonts w:hint="eastAsia" w:ascii="仿宋" w:hAnsi="仿宋" w:eastAsia="仿宋" w:cs="微软雅黑"/>
          <w:color w:val="000000"/>
          <w:sz w:val="32"/>
        </w:rPr>
        <w:t>,</w:t>
      </w:r>
      <w:r>
        <w:rPr>
          <w:rFonts w:ascii="仿宋" w:hAnsi="仿宋" w:eastAsia="仿宋" w:cs="微软雅黑"/>
          <w:color w:val="000000"/>
          <w:sz w:val="32"/>
        </w:rPr>
        <w:t>969.63</w:t>
      </w:r>
      <w:r>
        <w:rPr>
          <w:rFonts w:hint="eastAsia" w:ascii="仿宋" w:hAnsi="仿宋" w:eastAsia="仿宋" w:cs="微软雅黑"/>
          <w:color w:val="000000"/>
          <w:kern w:val="0"/>
          <w:sz w:val="32"/>
          <w:szCs w:val="32"/>
        </w:rPr>
        <w:t>万元，政府性基金预算支出0万元，国有资本经营预算支出0万元。从评价情况来看，</w:t>
      </w:r>
      <w:r>
        <w:rPr>
          <w:rFonts w:hint="eastAsia" w:ascii="Times New Roman" w:hAnsi="Times New Roman" w:eastAsia="仿宋_GB2312" w:cs="黑体"/>
          <w:color w:val="000000"/>
          <w:kern w:val="0"/>
          <w:sz w:val="32"/>
          <w:szCs w:val="32"/>
        </w:rPr>
        <w:t>项目实施情况评价为“优”</w:t>
      </w:r>
      <w:r>
        <w:rPr>
          <w:rFonts w:hint="eastAsia" w:ascii="仿宋" w:hAnsi="仿宋" w:eastAsia="仿宋" w:cs="微软雅黑"/>
          <w:color w:val="000000"/>
          <w:kern w:val="0"/>
          <w:sz w:val="32"/>
          <w:szCs w:val="32"/>
        </w:rPr>
        <w:t>。</w:t>
      </w:r>
    </w:p>
    <w:p w14:paraId="5947D3AF">
      <w:pPr>
        <w:autoSpaceDE w:val="0"/>
        <w:autoSpaceDN w:val="0"/>
        <w:adjustRightInd w:val="0"/>
        <w:spacing w:line="360" w:lineRule="auto"/>
        <w:ind w:firstLine="640" w:firstLineChars="200"/>
        <w:jc w:val="left"/>
        <w:rPr>
          <w:rFonts w:eastAsia="仿宋_GB2312"/>
          <w:sz w:val="32"/>
          <w:szCs w:val="32"/>
        </w:rPr>
      </w:pPr>
      <w:r>
        <w:rPr>
          <w:rFonts w:hint="eastAsia" w:ascii="仿宋" w:hAnsi="仿宋" w:eastAsia="仿宋" w:cs="微软雅黑"/>
          <w:color w:val="000000"/>
          <w:kern w:val="0"/>
          <w:sz w:val="32"/>
          <w:szCs w:val="32"/>
        </w:rPr>
        <w:t>组织对“本级”1个单位开展整体支出绩效评价，涉及一般公共预算支出</w:t>
      </w:r>
      <w:r>
        <w:rPr>
          <w:rFonts w:ascii="仿宋" w:hAnsi="仿宋" w:eastAsia="仿宋" w:cs="微软雅黑"/>
          <w:color w:val="000000"/>
          <w:kern w:val="0"/>
          <w:sz w:val="32"/>
          <w:szCs w:val="32"/>
        </w:rPr>
        <w:t>26,174.80</w:t>
      </w:r>
      <w:r>
        <w:rPr>
          <w:rFonts w:hint="eastAsia" w:ascii="仿宋" w:hAnsi="仿宋" w:eastAsia="仿宋" w:cs="微软雅黑"/>
          <w:color w:val="000000"/>
          <w:kern w:val="0"/>
          <w:sz w:val="32"/>
          <w:szCs w:val="32"/>
        </w:rPr>
        <w:t>万元，政府性基金预算支出0万元。从评价情况来看，</w:t>
      </w:r>
      <w:r>
        <w:rPr>
          <w:rFonts w:hint="eastAsia" w:eastAsia="仿宋_GB2312"/>
          <w:sz w:val="32"/>
          <w:szCs w:val="32"/>
        </w:rPr>
        <w:t>在农业生产、农资采购等方面通过科学规划和合理采购以优化资源配置和提高管理效率，有效控制了机关的运行成本。</w:t>
      </w:r>
    </w:p>
    <w:p w14:paraId="6981F5F9">
      <w:pPr>
        <w:autoSpaceDE w:val="0"/>
        <w:autoSpaceDN w:val="0"/>
        <w:adjustRightInd w:val="0"/>
        <w:spacing w:line="360" w:lineRule="auto"/>
        <w:ind w:firstLine="640" w:firstLineChars="200"/>
        <w:jc w:val="left"/>
        <w:rPr>
          <w:rFonts w:ascii="仿宋" w:hAnsi="仿宋" w:eastAsia="仿宋" w:cs="微软雅黑"/>
          <w:b/>
          <w:color w:val="000000"/>
          <w:kern w:val="0"/>
          <w:sz w:val="32"/>
          <w:szCs w:val="32"/>
        </w:rPr>
      </w:pPr>
      <w:r>
        <w:rPr>
          <w:rFonts w:hint="eastAsia" w:ascii="仿宋" w:hAnsi="仿宋" w:eastAsia="仿宋" w:cs="微软雅黑"/>
          <w:b/>
          <w:color w:val="000000"/>
          <w:kern w:val="0"/>
          <w:sz w:val="32"/>
          <w:szCs w:val="32"/>
        </w:rPr>
        <w:t>（2）部门决算中项目绩效自评结果。</w:t>
      </w:r>
    </w:p>
    <w:p w14:paraId="0FFA4AFB">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耕地地力保护补贴项目绩效自评综述：根据年初设定的绩效目标，项目绩效自评得分为95分。项目全年预算数为7,125.00万元，执行数为7,125.00万元，完成预算的100%。项目绩效目标完成情况：我县全年粮食播种面积120.01万亩，总产51.43吨。其中早稻播种面积43.5万亩，早稻集中育秧面积35万亩，稳定了双季稻种植面积。项目实施确保了粮食播种面积，促进了粮食单产的提升，同时也确保了耕地地力不下降，有效保障了粮食安全和农民丰产丰收。发现的主要问题及原因：基层在补贴资金发放过程中的信息核对工作仍存在疏漏，导致部分农户由于身份证信息、银行账户错误，补贴资金无法成功发放。下一步改进措施需要在补贴资金发放过程中，加强对农户身份证信息、银行账户等信息的审核，确保补贴资金能够准确、及时地发放到农户手中。</w:t>
      </w:r>
    </w:p>
    <w:p w14:paraId="64046975">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稻谷目标价格补贴项目绩效自评综述：根据年初设定的绩效目标，项目绩效自评得分为95分。项目全年预算数为3,022.58万元，执行数为3,022.58万元，完成预算的100%。项目绩效目标完成情况：2023年度我县稻谷目标价格补贴分为“普通稻补贴</w:t>
      </w:r>
      <w:r>
        <w:rPr>
          <w:rFonts w:hint="eastAsia" w:ascii="仿宋" w:hAnsi="仿宋" w:eastAsia="仿宋" w:cs="微软雅黑"/>
          <w:color w:val="000000"/>
          <w:kern w:val="0"/>
          <w:sz w:val="32"/>
          <w:szCs w:val="32"/>
          <w:lang w:eastAsia="zh-CN"/>
        </w:rPr>
        <w:t>”“</w:t>
      </w:r>
      <w:r>
        <w:rPr>
          <w:rFonts w:hint="eastAsia" w:ascii="仿宋" w:hAnsi="仿宋" w:eastAsia="仿宋" w:cs="微软雅黑"/>
          <w:color w:val="000000"/>
          <w:kern w:val="0"/>
          <w:sz w:val="32"/>
          <w:szCs w:val="32"/>
        </w:rPr>
        <w:t>优质稻补贴”和“适度规模经营补贴”三部分，分别按对应的标准对全县所有种植水稻的农户、优质早稻集中育秧种植水稻的农户进行补贴、100亩以上规模种植户进行累加奖补。发现的主要问题及原因：补贴政策执行过程中的时间差和流程繁琐，补贴资金不能及时分配下达，存在拨付迟滞现象。下一步改进措施需要加强财政预算管理，提高资金调度效率，确保补贴资金能够及时、足额地分配到位。同时，简化补贴发放流程，减少中间环节，提高资金拨付的准确性和时效性。</w:t>
      </w:r>
    </w:p>
    <w:p w14:paraId="3E01A948">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农村人居环境整治项目绩效自评综述：根据年初设定的绩效目标，项目绩效自评得分为95分。项目全年预算数为2,412.40万元，执行数为2,412.40万元，完成预算的100%。项目绩效目标完成情况：一是全县161个行政村和15个涉农居委会及5个农林场镇村环卫设施覆盖率达100%;垃圾无害化处理达100%；二是农村垃圾无害化处理率达到了100%。发现的主要问题及原因：有部分村按60 元/人·年收取农户卫生保洁费到位困难。下一步改进措施</w:t>
      </w:r>
      <w:r>
        <w:rPr>
          <w:rFonts w:hint="eastAsia" w:ascii="Times New Roman" w:hAnsi="Times New Roman" w:eastAsia="仿宋_GB2312" w:cs="黑体"/>
          <w:color w:val="000000"/>
          <w:kern w:val="0"/>
          <w:sz w:val="32"/>
          <w:szCs w:val="32"/>
        </w:rPr>
        <w:t>需要压实乡镇收取卫生费责任，加大收取力度</w:t>
      </w:r>
      <w:r>
        <w:rPr>
          <w:rFonts w:hint="eastAsia" w:ascii="仿宋" w:hAnsi="仿宋" w:eastAsia="仿宋" w:cs="微软雅黑"/>
          <w:color w:val="000000"/>
          <w:kern w:val="0"/>
          <w:sz w:val="32"/>
          <w:szCs w:val="32"/>
        </w:rPr>
        <w:t>。</w:t>
      </w:r>
    </w:p>
    <w:p w14:paraId="4146D606">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2023年度岳阳县退化耕地治理项目绩效自评综述：根据年初设定的绩效目标，项目绩效自评得分为95分。项目全年预算数为1,000.00万元，执行数为1,000.00万元，完成预算的100%。项目绩效目标完成情况：采购酸化耕地治理物资7010.4吨，遴选出18户专业合作社、种粮大户，集中连片进行酸化耕地治理全程机械化服务；在筻口镇成功创建1个万亩水稻核心示范区，在黄沙街镇、杨林街镇和新开镇成功创建3个千亩示范片。发现的主要问题及原因：部分农民对退化耕地治理的认识不足，缺乏积极参与的意识和行动。下一步改进措施：加强宣传和教育，提高农民对退化耕地治理的认识和重视程度。</w:t>
      </w:r>
    </w:p>
    <w:p w14:paraId="780391A3">
      <w:pPr>
        <w:autoSpaceDE w:val="0"/>
        <w:autoSpaceDN w:val="0"/>
        <w:adjustRightInd w:val="0"/>
        <w:ind w:firstLine="640" w:firstLineChars="200"/>
        <w:jc w:val="left"/>
        <w:rPr>
          <w:rFonts w:ascii="Times New Roman" w:hAnsi="Times New Roman" w:eastAsia="仿宋_GB2312" w:cs="黑体"/>
          <w:color w:val="000000"/>
          <w:kern w:val="0"/>
          <w:sz w:val="32"/>
          <w:szCs w:val="32"/>
        </w:rPr>
      </w:pPr>
      <w:r>
        <w:rPr>
          <w:rFonts w:hint="eastAsia" w:ascii="仿宋" w:hAnsi="仿宋" w:eastAsia="仿宋" w:cs="微软雅黑"/>
          <w:color w:val="000000"/>
          <w:kern w:val="0"/>
          <w:sz w:val="32"/>
          <w:szCs w:val="32"/>
        </w:rPr>
        <w:t>2023年粮食生产项目绩效自评综述：根据年初设定的绩效目标，项目绩效自评得分为95分。项目全年预算数为500万元，执行数为500万元，完成预算的100%。项目绩效目标完成情况：进一步稳定了我县粮食生产，亩平比上年增效102元，经济效益、社会效益十分显著，且项目实施中大力推行绿色标准化生产,生态效益也十分明显,农民满意度非常高。发现的主要问题及原因：一是相对较低的经济效益制约农户种植粮食积极性；二是资金保障压力大；三是水利设施条件历史欠款多。</w:t>
      </w:r>
      <w:r>
        <w:rPr>
          <w:rFonts w:hint="eastAsia" w:ascii="Times New Roman" w:hAnsi="Times New Roman" w:eastAsia="仿宋_GB2312" w:cs="黑体"/>
          <w:color w:val="000000"/>
          <w:kern w:val="0"/>
          <w:sz w:val="32"/>
          <w:szCs w:val="32"/>
        </w:rPr>
        <w:t>下一步改进措施：一是多渠道提高农户种粮效率；二是统筹整合用于保障粮食生产的专项资金额度；三是加大水利建设投入，配套农田基本灌溉。</w:t>
      </w:r>
    </w:p>
    <w:p w14:paraId="42931AC8">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2022年度非税农业保险展业费项目绩效自评综述：根据年初设定的绩效目标，项目绩效自评得分为95分。项目全年预算数为222.65万元，执行数为222.65万元，完成预算的100%。项目绩效目标完成情况：一是2023年农业保险工作共计完成全县15个乡镇水稻保险工作，水稻参保覆盖率达86.7%；二是协助稳定水稻</w:t>
      </w:r>
      <w:r>
        <w:rPr>
          <w:rFonts w:hint="eastAsia" w:ascii="仿宋" w:hAnsi="仿宋" w:eastAsia="仿宋" w:cs="微软雅黑"/>
          <w:color w:val="000000"/>
          <w:kern w:val="0"/>
          <w:sz w:val="32"/>
          <w:szCs w:val="32"/>
          <w:lang w:eastAsia="zh-CN"/>
        </w:rPr>
        <w:t>生产</w:t>
      </w:r>
      <w:r>
        <w:rPr>
          <w:rFonts w:hint="eastAsia" w:ascii="仿宋" w:hAnsi="仿宋" w:eastAsia="仿宋" w:cs="微软雅黑"/>
          <w:color w:val="000000"/>
          <w:kern w:val="0"/>
          <w:sz w:val="32"/>
          <w:szCs w:val="32"/>
        </w:rPr>
        <w:t>面积全县水稻播种面积109万亩,稻谷总产49万吨。发现的主要问题及原因：一是缺乏健全的法律保障；二是农业保险险种较少。下一步改进措施：一是建立健全农业保险监管体系，加强对农业保险市场的监管力度，确保农业保险业务的合规性和稳健性；二是鼓励保险公司根据市场需求和农业生产特点，积极开发新的农业保险产品，特别是针对特色农产品、规模经营主体等的专属保险产品。</w:t>
      </w:r>
    </w:p>
    <w:p w14:paraId="74397B3C">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露天垃圾池拆除更换项目绩效自评综述：根据年初设定的绩效目标，项目绩效自评得分为95分。项目全年预算数为200万元，执行数为200万元，完成预算的100%。项目绩效目标完成情况：一是露天垃圾池拆除更换工作进一步推进了当地劳动力市场的发展，带动了一批劳务用工，增加了农户收入。二是持续改善农村生活环境，减少露天垃圾</w:t>
      </w:r>
      <w:r>
        <w:rPr>
          <w:rFonts w:hint="eastAsia" w:ascii="仿宋" w:hAnsi="仿宋" w:eastAsia="仿宋" w:cs="微软雅黑"/>
          <w:color w:val="000000"/>
          <w:kern w:val="0"/>
          <w:sz w:val="32"/>
          <w:szCs w:val="32"/>
          <w:lang w:eastAsia="zh-CN"/>
        </w:rPr>
        <w:t>四处飘散</w:t>
      </w:r>
      <w:r>
        <w:rPr>
          <w:rFonts w:hint="eastAsia" w:ascii="仿宋" w:hAnsi="仿宋" w:eastAsia="仿宋" w:cs="微软雅黑"/>
          <w:color w:val="000000"/>
          <w:kern w:val="0"/>
          <w:sz w:val="32"/>
          <w:szCs w:val="32"/>
        </w:rPr>
        <w:t>和地下水污染，提升村民居住舒适度。发现的主要问题及原因：由于沟通不到位，居民对项目了解不足，部分居民对露天垃圾池拆除更换项目存在抵触情绪，担忧新设施的使用不便或成本增加。下一步改进措施：与居民保持良好的沟通渠道，及时解答居民疑虑和关切。通过召开居民会议、发放宣传资料等方式增强居民对项目的理解和支持。</w:t>
      </w:r>
    </w:p>
    <w:p w14:paraId="1C34E26E">
      <w:pPr>
        <w:autoSpaceDE w:val="0"/>
        <w:autoSpaceDN w:val="0"/>
        <w:adjustRightInd w:val="0"/>
        <w:spacing w:line="360" w:lineRule="auto"/>
        <w:ind w:firstLine="640" w:firstLineChars="200"/>
        <w:jc w:val="left"/>
        <w:rPr>
          <w:rFonts w:ascii="宋体" w:hAnsi="宋体" w:cs="黑体"/>
          <w:bCs/>
          <w:color w:val="000000"/>
          <w:kern w:val="0"/>
          <w:sz w:val="32"/>
          <w:szCs w:val="32"/>
        </w:rPr>
      </w:pPr>
      <w:r>
        <w:rPr>
          <w:rFonts w:hint="eastAsia" w:ascii="仿宋" w:hAnsi="仿宋" w:eastAsia="仿宋" w:cs="微软雅黑"/>
          <w:color w:val="000000"/>
          <w:kern w:val="0"/>
          <w:sz w:val="32"/>
          <w:szCs w:val="32"/>
        </w:rPr>
        <w:t>巩固拓展产业扶贫成果“百千万”工程项目绩效自评综述：根据年初设定的绩效目标，项目绩效自评得分为95分。项目全年预算数为150万元，执行数为150万元，完成预算的100%。项目绩效目标完成情况：在项目实施区的脱贫户、监测户户年均增收</w:t>
      </w:r>
      <w:r>
        <w:rPr>
          <w:rFonts w:hint="eastAsia" w:ascii="仿宋" w:hAnsi="仿宋" w:eastAsia="仿宋" w:cs="微软雅黑"/>
          <w:color w:val="000000"/>
          <w:kern w:val="0"/>
          <w:sz w:val="32"/>
          <w:szCs w:val="32"/>
          <w:lang w:eastAsia="zh-CN"/>
        </w:rPr>
        <w:t>0.2万-0.3万</w:t>
      </w:r>
      <w:r>
        <w:rPr>
          <w:rFonts w:hint="eastAsia" w:ascii="仿宋" w:hAnsi="仿宋" w:eastAsia="仿宋" w:cs="微软雅黑"/>
          <w:color w:val="000000"/>
          <w:kern w:val="0"/>
          <w:sz w:val="32"/>
          <w:szCs w:val="32"/>
        </w:rPr>
        <w:t>元，大力助推了全县巩固拓展脱贫攻坚成果同乡村振兴有效衔接，经济效益、社会效益十分显著。且项目实施中大力推行绿色标准化生产，生态效益也十分明显。</w:t>
      </w:r>
      <w:r>
        <w:rPr>
          <w:rFonts w:hint="eastAsia" w:ascii="Times New Roman" w:hAnsi="Times New Roman" w:eastAsia="仿宋_GB2312" w:cs="黑体"/>
          <w:color w:val="000000"/>
          <w:kern w:val="0"/>
          <w:sz w:val="32"/>
          <w:szCs w:val="32"/>
        </w:rPr>
        <w:t>发现的主要问题及原因：企业管理亟待加强，利益联接机制不全。下一步改进措施：及时规范企业发展，建立健全利益联接机制。</w:t>
      </w:r>
    </w:p>
    <w:p w14:paraId="5371D13A">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举办“茶文化节”项目绩效自评综述：根据年初设定的绩效目标，项目绩效自评得分为99分。项目全年预算数为105万元，执行数为105万元，完成预算的100%。项目绩效目标完成情况：一是将"洞庭春"企业品牌打造为岳阳县公用品牌；二是打通线上线下和县外销售渠道，扩大"洞庭春"茶叶销售市场份额，推广"洞庭春椒香茶"，提升"洞庭春"茶叶的开放度和知名度。发现的主要问题及原因：一是优质茶园比例偏低；二是产品加工创新偏慢；三是现代营销手段偏少。下一步改进措施：通过“大基地+精加工+强商贸”的方式大力发展茶产业。</w:t>
      </w:r>
    </w:p>
    <w:p w14:paraId="7951FD66">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农业综合执法项目绩效自评综述：根据年初设定的绩效目标，项目绩效自评得分为99分。项目全年预算数为90万元，执行数为90万元，完成预算的200%。项目绩效目标完成情况：一是做好普法教育、培训、宣传，做大戒罚效应；二是严格执法，惩处多起违法经营事件。发现的主要问题及原因：资金分配不均和使用效率不高的问题。下一步改进措施：加强资金监管，优化分配机制，提高使用效益完善绩效评价体系，建立更加科学的激励机制。</w:t>
      </w:r>
    </w:p>
    <w:p w14:paraId="48690C6D">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农膜回收专项项目绩效自评综述：根据年初设定的绩效目标，项目绩效自评得分为95分。项目全年预算数为40万元，执行数为40万元，完成预算的100%。项目绩效目标完成情况：一是农膜回收率已达到87.95%，进一步降低了农业生产对环境的负面影响；二是提高了农产品质量和安全性，提高了农民的环保意识和参与度，推动了农村生态环境的持续改善。发现的主要问题及原因：一是农民的环保意识和参与度不高；二是部门间协作较少，工作推进困难。下一步改进措施：一是进一步加强宣传教育工作力度，提高农民的环保意识和参与度，进一步建立有效的农膜回收激励制度，提高回收效率和质量;二是加强与相关部门的沟通协作，形成合力推进的良好局面。</w:t>
      </w:r>
    </w:p>
    <w:p w14:paraId="392B4BC2">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岳阳王鸽景观标识及户外广告建设项目绩效自评综述：根据年初设定的绩效目标，项目绩效自评得分为95分。项目全年预算数为37.99万元，执行数为37.99万元，完成预算的100%。项目绩效目标完成情况：一是按时完成岳阳王鸽景观标识2个，岳阳王鸽户外广告1个建设任务。二是进一步宣传了岳阳王鸽品牌，提高了品牌知名度和岳阳王鸽品牌产品价值。发现的主要问题及原因：一是广告内容缺乏创新，多以传统商业广告为主，公益广告比例过少；二是表现形式单调，多以传统立柱、平面式为主，缺乏个性化和文化品位。下一步改进措施：一是适当增加公益广告比例，提升户外广告的文化品位和社会价值；二是支持广告商进行创新设计，鼓励采用新技术、新材料和新形式制作户外广告。</w:t>
      </w:r>
    </w:p>
    <w:p w14:paraId="32AEC802">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全国外来入侵物种防控现场会项目绩效自评综述：根据年初设定的绩效目标，项目绩效自评得分为95分。项目全年预算数为34万元，执行数为34万元，完成预算的100%。项目绩效目标完成情况：一是农膜回收率已达到</w:t>
      </w:r>
    </w:p>
    <w:p w14:paraId="72A1B52D">
      <w:pPr>
        <w:autoSpaceDE w:val="0"/>
        <w:autoSpaceDN w:val="0"/>
        <w:adjustRightInd w:val="0"/>
        <w:spacing w:line="360" w:lineRule="auto"/>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87.95%，超过预期目标。二是有效减少了农膜残留对农田土壤的污染，提高了农产品质量和安全性。发现的主要问题及原因：一是农民的环保意识和参与度不高；二是部门间协作较少，工作推进困难。下一步改进措施：一是进一步加强宣传教育工作力度，提高农民的环保意识和参与度，建立有效的农膜回收激励制度，提高回收效率和质量;二是加强与相关部门的沟通协作，形成合力推进的良好局面;</w:t>
      </w:r>
    </w:p>
    <w:p w14:paraId="2501FC90">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秸秆综合利用及秸秆焚烧项目绩效自评综述：根据年初设定的绩效目标，项目绩效自评得分为95分。项目全年预算数为30万元，执行数为30万元，完成预算的100%。项目绩效目标完成情况：一是秸秆综合利用面积达12万亩;二是秸秆综合利用率达86%秸秆综合利用亩均增收达20元。发现的主要问题及原因：一是部分农民环保意识仍需加强，秸秆焚烧现象仍有发生。二是秸秆综合利用技术的普及率仍需提高，部分农民对新技术接受程度较低；三是秸秆收储运体系仍需完善，以提高秸秆综合利用的效率和效益。下一步改进措施：一是加强宣传教育力度，提高农民环保意识和对秸秆综合利用工作的认识；二是加大技术推广力度，引进更多先进、实用的秸秆综合利用技术，降低农民采用新技术的门槛；三是完善秸秆收储运体系，提高秸秆综合利用的效率和效益；四是加强政策扶持力度，对采用秸秆综合利用技术的农户和企业给予更多支持，提高其参与秸秆综合利用工作的积极性。</w:t>
      </w:r>
    </w:p>
    <w:p w14:paraId="61A335FC">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b/>
          <w:color w:val="000000"/>
          <w:kern w:val="0"/>
          <w:sz w:val="32"/>
          <w:szCs w:val="32"/>
        </w:rPr>
        <w:t>（3）部门评价项目绩效评价结果。</w:t>
      </w:r>
    </w:p>
    <w:p w14:paraId="5F87BD7C">
      <w:pPr>
        <w:autoSpaceDE w:val="0"/>
        <w:autoSpaceDN w:val="0"/>
        <w:adjustRightInd w:val="0"/>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部门评价项目数量3个以内的，至少将1个部门评价报告向社会公开；部门评价项目数量大于3个的，至少将2个部门评价报告向社会公开。报告框架可参考《项目支出绩效评价办法》（财预〔2020〕10号）中《项目支出绩效评价报告（参考提纲）</w:t>
      </w:r>
      <w:r>
        <w:rPr>
          <w:rFonts w:hint="eastAsia" w:ascii="仿宋" w:hAnsi="仿宋" w:eastAsia="仿宋" w:cs="微软雅黑"/>
          <w:color w:val="000000"/>
          <w:kern w:val="0"/>
          <w:sz w:val="32"/>
          <w:szCs w:val="32"/>
          <w:lang w:eastAsia="zh-CN"/>
        </w:rPr>
        <w:t>》《</w:t>
      </w:r>
      <w:bookmarkStart w:id="0" w:name="_GoBack"/>
      <w:bookmarkEnd w:id="0"/>
      <w:r>
        <w:rPr>
          <w:rFonts w:hint="eastAsia" w:ascii="仿宋" w:hAnsi="仿宋" w:eastAsia="仿宋" w:cs="微软雅黑"/>
          <w:color w:val="000000"/>
          <w:kern w:val="0"/>
          <w:sz w:val="32"/>
          <w:szCs w:val="32"/>
        </w:rPr>
        <w:t>湖南省预算支出绩效评价管理办法》（湘财绩〔2020〕7号）。</w:t>
      </w:r>
    </w:p>
    <w:p w14:paraId="64FCB3BC">
      <w:pPr>
        <w:rPr>
          <w:rFonts w:ascii="仿宋" w:hAnsi="仿宋" w:eastAsia="仿宋" w:cs="微软雅黑"/>
          <w:i/>
          <w:iCs/>
          <w:color w:val="FF0000"/>
          <w:sz w:val="32"/>
          <w:szCs w:val="32"/>
        </w:rPr>
      </w:pPr>
      <w:r>
        <w:rPr>
          <w:rFonts w:hint="eastAsia" w:ascii="仿宋" w:hAnsi="仿宋" w:eastAsia="仿宋" w:cs="微软雅黑"/>
          <w:i/>
          <w:iCs/>
          <w:color w:val="FF0000"/>
          <w:sz w:val="32"/>
          <w:szCs w:val="32"/>
        </w:rPr>
        <w:br w:type="page"/>
      </w:r>
    </w:p>
    <w:p w14:paraId="7F0F5BCF">
      <w:pPr>
        <w:pStyle w:val="13"/>
        <w:spacing w:line="360" w:lineRule="auto"/>
        <w:ind w:firstLine="640" w:firstLineChars="200"/>
        <w:rPr>
          <w:rFonts w:ascii="仿宋" w:hAnsi="仿宋" w:eastAsia="仿宋" w:cs="微软雅黑"/>
          <w:i/>
          <w:iCs/>
          <w:color w:val="FF0000"/>
          <w:sz w:val="32"/>
          <w:szCs w:val="32"/>
        </w:rPr>
      </w:pPr>
    </w:p>
    <w:p w14:paraId="46A5ECD4">
      <w:pPr>
        <w:pStyle w:val="13"/>
        <w:jc w:val="center"/>
        <w:rPr>
          <w:rFonts w:ascii="仿宋" w:hAnsi="仿宋" w:eastAsia="仿宋" w:cs="微软雅黑"/>
          <w:b/>
          <w:bCs/>
          <w:sz w:val="72"/>
          <w:szCs w:val="72"/>
        </w:rPr>
      </w:pPr>
      <w:r>
        <w:rPr>
          <w:rFonts w:hint="eastAsia" w:ascii="仿宋" w:hAnsi="仿宋" w:eastAsia="仿宋" w:cs="微软雅黑"/>
          <w:b/>
          <w:bCs/>
          <w:sz w:val="72"/>
          <w:szCs w:val="72"/>
        </w:rPr>
        <w:t>第四部分</w:t>
      </w:r>
    </w:p>
    <w:p w14:paraId="7BB4B6F0">
      <w:pPr>
        <w:jc w:val="center"/>
        <w:rPr>
          <w:rFonts w:ascii="仿宋" w:hAnsi="仿宋" w:eastAsia="仿宋" w:cs="微软雅黑"/>
          <w:b/>
          <w:bCs/>
          <w:color w:val="000000"/>
          <w:kern w:val="0"/>
          <w:sz w:val="70"/>
          <w:szCs w:val="70"/>
        </w:rPr>
      </w:pPr>
    </w:p>
    <w:p w14:paraId="754CC9CB">
      <w:pPr>
        <w:jc w:val="center"/>
        <w:rPr>
          <w:rFonts w:ascii="仿宋" w:hAnsi="仿宋" w:eastAsia="仿宋" w:cs="微软雅黑"/>
          <w:b/>
          <w:bCs/>
          <w:color w:val="000000"/>
          <w:kern w:val="0"/>
          <w:sz w:val="70"/>
          <w:szCs w:val="70"/>
        </w:rPr>
      </w:pPr>
      <w:r>
        <w:rPr>
          <w:rFonts w:hint="eastAsia" w:ascii="仿宋" w:hAnsi="仿宋" w:eastAsia="仿宋" w:cs="微软雅黑"/>
          <w:b/>
          <w:bCs/>
          <w:color w:val="000000"/>
          <w:kern w:val="0"/>
          <w:sz w:val="70"/>
          <w:szCs w:val="70"/>
        </w:rPr>
        <w:t>名词解释</w:t>
      </w:r>
    </w:p>
    <w:p w14:paraId="213D9BF9">
      <w:pPr>
        <w:widowControl/>
        <w:jc w:val="left"/>
        <w:rPr>
          <w:rFonts w:ascii="仿宋" w:hAnsi="仿宋" w:eastAsia="仿宋" w:cs="微软雅黑"/>
          <w:color w:val="000000"/>
          <w:kern w:val="0"/>
          <w:sz w:val="32"/>
          <w:szCs w:val="32"/>
        </w:rPr>
      </w:pPr>
    </w:p>
    <w:p w14:paraId="63898201">
      <w:pPr>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3D43B68">
      <w:pPr>
        <w:spacing w:line="360" w:lineRule="auto"/>
        <w:ind w:firstLine="640" w:firstLineChars="200"/>
        <w:jc w:val="left"/>
        <w:rPr>
          <w:rFonts w:ascii="仿宋" w:hAnsi="仿宋" w:eastAsia="仿宋" w:cs="微软雅黑"/>
          <w:color w:val="000000"/>
          <w:kern w:val="0"/>
          <w:sz w:val="32"/>
          <w:szCs w:val="32"/>
        </w:rPr>
      </w:pPr>
      <w:r>
        <w:rPr>
          <w:rFonts w:hint="eastAsia" w:ascii="仿宋" w:hAnsi="仿宋" w:eastAsia="仿宋" w:cs="微软雅黑"/>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14:paraId="4314D719">
      <w:pPr>
        <w:rPr>
          <w:rFonts w:ascii="仿宋" w:hAnsi="仿宋" w:eastAsia="仿宋" w:cs="微软雅黑"/>
          <w:sz w:val="72"/>
          <w:szCs w:val="72"/>
        </w:rPr>
      </w:pPr>
      <w:r>
        <w:rPr>
          <w:rFonts w:hint="eastAsia" w:ascii="仿宋" w:hAnsi="仿宋" w:eastAsia="仿宋" w:cs="微软雅黑"/>
          <w:sz w:val="72"/>
          <w:szCs w:val="72"/>
        </w:rPr>
        <w:br w:type="page"/>
      </w:r>
    </w:p>
    <w:p w14:paraId="2EFAF575">
      <w:pPr>
        <w:pStyle w:val="13"/>
        <w:jc w:val="center"/>
        <w:rPr>
          <w:rFonts w:ascii="仿宋" w:hAnsi="仿宋" w:eastAsia="仿宋" w:cs="微软雅黑"/>
          <w:sz w:val="72"/>
          <w:szCs w:val="72"/>
        </w:rPr>
      </w:pPr>
    </w:p>
    <w:p w14:paraId="5B34DA49">
      <w:pPr>
        <w:pStyle w:val="13"/>
        <w:jc w:val="center"/>
        <w:rPr>
          <w:rFonts w:ascii="仿宋" w:hAnsi="仿宋" w:eastAsia="仿宋" w:cs="微软雅黑"/>
          <w:b/>
          <w:bCs/>
          <w:sz w:val="72"/>
          <w:szCs w:val="72"/>
        </w:rPr>
      </w:pPr>
      <w:r>
        <w:rPr>
          <w:rFonts w:hint="eastAsia" w:ascii="仿宋" w:hAnsi="仿宋" w:eastAsia="仿宋" w:cs="微软雅黑"/>
          <w:b/>
          <w:bCs/>
          <w:sz w:val="72"/>
          <w:szCs w:val="72"/>
        </w:rPr>
        <w:t>第五部分</w:t>
      </w:r>
    </w:p>
    <w:p w14:paraId="1A9F74E5">
      <w:pPr>
        <w:jc w:val="center"/>
        <w:rPr>
          <w:rFonts w:ascii="仿宋" w:hAnsi="仿宋" w:eastAsia="仿宋" w:cs="微软雅黑"/>
          <w:b/>
          <w:bCs/>
          <w:color w:val="000000"/>
          <w:kern w:val="0"/>
          <w:sz w:val="70"/>
          <w:szCs w:val="70"/>
        </w:rPr>
      </w:pPr>
    </w:p>
    <w:p w14:paraId="61E365C7">
      <w:pPr>
        <w:pStyle w:val="13"/>
        <w:jc w:val="center"/>
        <w:rPr>
          <w:rFonts w:ascii="仿宋" w:hAnsi="仿宋" w:eastAsia="仿宋" w:cs="微软雅黑"/>
          <w:b/>
          <w:bCs/>
          <w:sz w:val="72"/>
          <w:szCs w:val="72"/>
        </w:rPr>
      </w:pPr>
      <w:r>
        <w:rPr>
          <w:rFonts w:hint="eastAsia" w:ascii="仿宋" w:hAnsi="仿宋" w:eastAsia="仿宋" w:cs="微软雅黑"/>
          <w:b/>
          <w:bCs/>
          <w:sz w:val="70"/>
          <w:szCs w:val="70"/>
        </w:rPr>
        <w:t>附件</w:t>
      </w:r>
    </w:p>
    <w:p w14:paraId="429327D9">
      <w:pPr>
        <w:ind w:firstLine="640" w:firstLineChars="200"/>
        <w:jc w:val="left"/>
        <w:rPr>
          <w:rFonts w:ascii="仿宋" w:hAnsi="仿宋" w:eastAsia="仿宋" w:cs="微软雅黑"/>
          <w:b/>
          <w:bCs/>
          <w:color w:val="000000"/>
          <w:kern w:val="0"/>
          <w:sz w:val="32"/>
          <w:szCs w:val="32"/>
        </w:rPr>
      </w:pPr>
    </w:p>
    <w:p w14:paraId="62974E17">
      <w:pPr>
        <w:spacing w:line="360" w:lineRule="auto"/>
        <w:ind w:firstLine="640" w:firstLineChars="200"/>
        <w:jc w:val="left"/>
        <w:rPr>
          <w:rFonts w:ascii="仿宋" w:hAnsi="仿宋" w:eastAsia="仿宋" w:cs="微软雅黑"/>
          <w:b/>
          <w:bCs/>
          <w:color w:val="000000"/>
          <w:kern w:val="0"/>
          <w:sz w:val="32"/>
          <w:szCs w:val="32"/>
        </w:rPr>
      </w:pPr>
      <w:r>
        <w:rPr>
          <w:rFonts w:hint="eastAsia" w:ascii="仿宋" w:hAnsi="仿宋" w:eastAsia="仿宋" w:cs="微软雅黑"/>
          <w:b/>
          <w:bCs/>
          <w:color w:val="000000"/>
          <w:kern w:val="0"/>
          <w:sz w:val="32"/>
          <w:szCs w:val="32"/>
        </w:rPr>
        <w:t>1、</w:t>
      </w:r>
      <w:r>
        <w:rPr>
          <w:rFonts w:ascii="仿宋" w:hAnsi="仿宋" w:eastAsia="仿宋" w:cs="微软雅黑"/>
          <w:b/>
          <w:color w:val="000000"/>
          <w:sz w:val="32"/>
        </w:rPr>
        <w:t>2023年部门决算公开表格</w:t>
      </w:r>
    </w:p>
    <w:p w14:paraId="6A72AFE4">
      <w:pPr>
        <w:spacing w:line="360" w:lineRule="auto"/>
        <w:ind w:firstLine="640" w:firstLineChars="200"/>
        <w:jc w:val="left"/>
        <w:rPr>
          <w:rFonts w:ascii="仿宋" w:hAnsi="仿宋" w:eastAsia="仿宋" w:cs="微软雅黑"/>
          <w:b/>
          <w:bCs/>
          <w:color w:val="000000"/>
          <w:kern w:val="0"/>
          <w:sz w:val="32"/>
          <w:szCs w:val="32"/>
        </w:rPr>
      </w:pPr>
      <w:r>
        <w:rPr>
          <w:rFonts w:hint="eastAsia" w:ascii="仿宋" w:hAnsi="仿宋" w:eastAsia="仿宋" w:cs="微软雅黑"/>
          <w:b/>
          <w:bCs/>
          <w:color w:val="000000"/>
          <w:kern w:val="0"/>
          <w:sz w:val="32"/>
          <w:szCs w:val="32"/>
        </w:rPr>
        <w:t>2、2023年度部门整体支出绩效评价报告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AEC318"/>
    <w:multiLevelType w:val="multilevel"/>
    <w:tmpl w:val="EBAEC318"/>
    <w:lvl w:ilvl="0" w:tentative="0">
      <w:start w:val="1"/>
      <w:numFmt w:val="chineseCounting"/>
      <w:suff w:val="nothing"/>
      <w:lvlText w:val="（%1）"/>
      <w:lvlJc w:val="left"/>
      <w:pPr>
        <w:ind w:left="5"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hNDUwNzRkNjE1MmRjZmExZGY2MWIyMWNkMWI1ZWIifQ=="/>
    <w:docVar w:name="KSO_WPS_MARK_KEY" w:val="aeeac8e3-f466-426f-889f-364d7213eb81"/>
  </w:docVars>
  <w:rsids>
    <w:rsidRoot w:val="004506F9"/>
    <w:rsid w:val="000204EF"/>
    <w:rsid w:val="0002229B"/>
    <w:rsid w:val="0002649C"/>
    <w:rsid w:val="000273BD"/>
    <w:rsid w:val="00030F0C"/>
    <w:rsid w:val="00032FF1"/>
    <w:rsid w:val="00040CBC"/>
    <w:rsid w:val="000415B7"/>
    <w:rsid w:val="00041E3F"/>
    <w:rsid w:val="00055DAA"/>
    <w:rsid w:val="00061F7B"/>
    <w:rsid w:val="000658A3"/>
    <w:rsid w:val="00074155"/>
    <w:rsid w:val="000A3F69"/>
    <w:rsid w:val="000B79C0"/>
    <w:rsid w:val="000F5583"/>
    <w:rsid w:val="00103957"/>
    <w:rsid w:val="00103E78"/>
    <w:rsid w:val="00115F72"/>
    <w:rsid w:val="00121E56"/>
    <w:rsid w:val="00152C6D"/>
    <w:rsid w:val="00162D39"/>
    <w:rsid w:val="001678BD"/>
    <w:rsid w:val="00180527"/>
    <w:rsid w:val="00182373"/>
    <w:rsid w:val="001A0743"/>
    <w:rsid w:val="001A67DB"/>
    <w:rsid w:val="001C3C29"/>
    <w:rsid w:val="001D51E5"/>
    <w:rsid w:val="001E080D"/>
    <w:rsid w:val="001E53D0"/>
    <w:rsid w:val="001F0C3B"/>
    <w:rsid w:val="001F476B"/>
    <w:rsid w:val="00200C80"/>
    <w:rsid w:val="00202C82"/>
    <w:rsid w:val="00214427"/>
    <w:rsid w:val="00226CB7"/>
    <w:rsid w:val="00254C91"/>
    <w:rsid w:val="00264552"/>
    <w:rsid w:val="00264EF9"/>
    <w:rsid w:val="00265724"/>
    <w:rsid w:val="0027426B"/>
    <w:rsid w:val="002E0A30"/>
    <w:rsid w:val="002F0ED8"/>
    <w:rsid w:val="003130C4"/>
    <w:rsid w:val="00316C4B"/>
    <w:rsid w:val="0032192B"/>
    <w:rsid w:val="00324EB4"/>
    <w:rsid w:val="00324F0F"/>
    <w:rsid w:val="003479BD"/>
    <w:rsid w:val="00352B71"/>
    <w:rsid w:val="0037197D"/>
    <w:rsid w:val="003768D5"/>
    <w:rsid w:val="003926B9"/>
    <w:rsid w:val="003C47E6"/>
    <w:rsid w:val="003C4FC2"/>
    <w:rsid w:val="00416E61"/>
    <w:rsid w:val="0042790C"/>
    <w:rsid w:val="004506A5"/>
    <w:rsid w:val="004506F9"/>
    <w:rsid w:val="004717A2"/>
    <w:rsid w:val="00473DF3"/>
    <w:rsid w:val="00487911"/>
    <w:rsid w:val="00491741"/>
    <w:rsid w:val="004A1EFE"/>
    <w:rsid w:val="004B0CEE"/>
    <w:rsid w:val="00500E5F"/>
    <w:rsid w:val="005122EF"/>
    <w:rsid w:val="0051441A"/>
    <w:rsid w:val="00517C33"/>
    <w:rsid w:val="00517D5F"/>
    <w:rsid w:val="00523644"/>
    <w:rsid w:val="0054069E"/>
    <w:rsid w:val="00544866"/>
    <w:rsid w:val="00554F0E"/>
    <w:rsid w:val="00556CF8"/>
    <w:rsid w:val="005767CC"/>
    <w:rsid w:val="00590D9F"/>
    <w:rsid w:val="00591F5C"/>
    <w:rsid w:val="005959C2"/>
    <w:rsid w:val="00595D26"/>
    <w:rsid w:val="00597071"/>
    <w:rsid w:val="005A74E6"/>
    <w:rsid w:val="005B404E"/>
    <w:rsid w:val="005B755B"/>
    <w:rsid w:val="005D4D55"/>
    <w:rsid w:val="005E2CFB"/>
    <w:rsid w:val="005F2103"/>
    <w:rsid w:val="005F3D1C"/>
    <w:rsid w:val="006151CC"/>
    <w:rsid w:val="0062378F"/>
    <w:rsid w:val="00641842"/>
    <w:rsid w:val="00650807"/>
    <w:rsid w:val="00651EEC"/>
    <w:rsid w:val="00686673"/>
    <w:rsid w:val="00691E8C"/>
    <w:rsid w:val="006A22C4"/>
    <w:rsid w:val="006A351B"/>
    <w:rsid w:val="006B0422"/>
    <w:rsid w:val="006B1A01"/>
    <w:rsid w:val="006C1B53"/>
    <w:rsid w:val="006C3345"/>
    <w:rsid w:val="006D7730"/>
    <w:rsid w:val="006E2570"/>
    <w:rsid w:val="006E4491"/>
    <w:rsid w:val="006E5284"/>
    <w:rsid w:val="006F3EB5"/>
    <w:rsid w:val="00702E34"/>
    <w:rsid w:val="00704395"/>
    <w:rsid w:val="00710FE7"/>
    <w:rsid w:val="00717621"/>
    <w:rsid w:val="00720FF1"/>
    <w:rsid w:val="00727A53"/>
    <w:rsid w:val="007649B5"/>
    <w:rsid w:val="0078191E"/>
    <w:rsid w:val="00787B42"/>
    <w:rsid w:val="007A627A"/>
    <w:rsid w:val="007C4539"/>
    <w:rsid w:val="007F3657"/>
    <w:rsid w:val="00812ED5"/>
    <w:rsid w:val="00827118"/>
    <w:rsid w:val="008277D9"/>
    <w:rsid w:val="0084478C"/>
    <w:rsid w:val="0086638C"/>
    <w:rsid w:val="008844C1"/>
    <w:rsid w:val="0088611D"/>
    <w:rsid w:val="008A3E8D"/>
    <w:rsid w:val="008B1AE7"/>
    <w:rsid w:val="008F2945"/>
    <w:rsid w:val="009148F0"/>
    <w:rsid w:val="009237C4"/>
    <w:rsid w:val="009441B7"/>
    <w:rsid w:val="00944C48"/>
    <w:rsid w:val="00950252"/>
    <w:rsid w:val="00950A24"/>
    <w:rsid w:val="00967F5D"/>
    <w:rsid w:val="009A0F95"/>
    <w:rsid w:val="009B3ADF"/>
    <w:rsid w:val="009C3B52"/>
    <w:rsid w:val="009E6817"/>
    <w:rsid w:val="009E6E9A"/>
    <w:rsid w:val="00A01D2B"/>
    <w:rsid w:val="00A34C05"/>
    <w:rsid w:val="00A42218"/>
    <w:rsid w:val="00A44914"/>
    <w:rsid w:val="00A65A03"/>
    <w:rsid w:val="00A70249"/>
    <w:rsid w:val="00A70B02"/>
    <w:rsid w:val="00A71D9F"/>
    <w:rsid w:val="00A92E9F"/>
    <w:rsid w:val="00AB18FF"/>
    <w:rsid w:val="00AB24A4"/>
    <w:rsid w:val="00B22CD4"/>
    <w:rsid w:val="00B269D1"/>
    <w:rsid w:val="00B33BEA"/>
    <w:rsid w:val="00B57C9F"/>
    <w:rsid w:val="00B63572"/>
    <w:rsid w:val="00B845B3"/>
    <w:rsid w:val="00B85D8B"/>
    <w:rsid w:val="00BB4A40"/>
    <w:rsid w:val="00BC59B1"/>
    <w:rsid w:val="00BD29AE"/>
    <w:rsid w:val="00BD6C3E"/>
    <w:rsid w:val="00BE3674"/>
    <w:rsid w:val="00C10681"/>
    <w:rsid w:val="00C3049A"/>
    <w:rsid w:val="00C31B1E"/>
    <w:rsid w:val="00C36529"/>
    <w:rsid w:val="00C54668"/>
    <w:rsid w:val="00C71C16"/>
    <w:rsid w:val="00C77645"/>
    <w:rsid w:val="00C84024"/>
    <w:rsid w:val="00CD449D"/>
    <w:rsid w:val="00CE04C3"/>
    <w:rsid w:val="00CE76A0"/>
    <w:rsid w:val="00D07D36"/>
    <w:rsid w:val="00D148C6"/>
    <w:rsid w:val="00D17A8A"/>
    <w:rsid w:val="00D359F7"/>
    <w:rsid w:val="00D415BA"/>
    <w:rsid w:val="00D6308E"/>
    <w:rsid w:val="00D63780"/>
    <w:rsid w:val="00D644EE"/>
    <w:rsid w:val="00D775C5"/>
    <w:rsid w:val="00DD06FF"/>
    <w:rsid w:val="00DD5FE9"/>
    <w:rsid w:val="00E00C7A"/>
    <w:rsid w:val="00E37D6C"/>
    <w:rsid w:val="00E43C39"/>
    <w:rsid w:val="00E51794"/>
    <w:rsid w:val="00E55B68"/>
    <w:rsid w:val="00E561AE"/>
    <w:rsid w:val="00E67BE6"/>
    <w:rsid w:val="00E8683C"/>
    <w:rsid w:val="00E90F1E"/>
    <w:rsid w:val="00EA1524"/>
    <w:rsid w:val="00EA2B72"/>
    <w:rsid w:val="00EB338E"/>
    <w:rsid w:val="00EF79D5"/>
    <w:rsid w:val="00F16942"/>
    <w:rsid w:val="00F74360"/>
    <w:rsid w:val="00F768C7"/>
    <w:rsid w:val="00FB462F"/>
    <w:rsid w:val="00FB5274"/>
    <w:rsid w:val="00FE16FA"/>
    <w:rsid w:val="00FE328A"/>
    <w:rsid w:val="00FE6269"/>
    <w:rsid w:val="00FE6BA3"/>
    <w:rsid w:val="00FF1D98"/>
    <w:rsid w:val="00FF5CD6"/>
    <w:rsid w:val="05482261"/>
    <w:rsid w:val="074309F6"/>
    <w:rsid w:val="07966D78"/>
    <w:rsid w:val="07E04F3D"/>
    <w:rsid w:val="096227F5"/>
    <w:rsid w:val="0AC57974"/>
    <w:rsid w:val="0B523239"/>
    <w:rsid w:val="0F9016DB"/>
    <w:rsid w:val="0FE268D2"/>
    <w:rsid w:val="10A73DA4"/>
    <w:rsid w:val="114B103A"/>
    <w:rsid w:val="11A63AC3"/>
    <w:rsid w:val="13135140"/>
    <w:rsid w:val="134641EF"/>
    <w:rsid w:val="136B7D14"/>
    <w:rsid w:val="15986B0A"/>
    <w:rsid w:val="15A64981"/>
    <w:rsid w:val="17D85E72"/>
    <w:rsid w:val="191A1185"/>
    <w:rsid w:val="1A4B623A"/>
    <w:rsid w:val="21680401"/>
    <w:rsid w:val="27B766F6"/>
    <w:rsid w:val="29701875"/>
    <w:rsid w:val="2F026361"/>
    <w:rsid w:val="2F5729E1"/>
    <w:rsid w:val="306F0E15"/>
    <w:rsid w:val="31B77767"/>
    <w:rsid w:val="33E12879"/>
    <w:rsid w:val="34095384"/>
    <w:rsid w:val="34E24AFB"/>
    <w:rsid w:val="36E96615"/>
    <w:rsid w:val="3BC62A80"/>
    <w:rsid w:val="3FD348C7"/>
    <w:rsid w:val="40C80669"/>
    <w:rsid w:val="41940D6D"/>
    <w:rsid w:val="42415557"/>
    <w:rsid w:val="42FC322C"/>
    <w:rsid w:val="44AC435F"/>
    <w:rsid w:val="487D493C"/>
    <w:rsid w:val="493A4AAE"/>
    <w:rsid w:val="4C76404F"/>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3930AB7"/>
    <w:rsid w:val="643C1282"/>
    <w:rsid w:val="645753D4"/>
    <w:rsid w:val="65B05FE0"/>
    <w:rsid w:val="660109D5"/>
    <w:rsid w:val="6720463D"/>
    <w:rsid w:val="6BD30F4C"/>
    <w:rsid w:val="6D15603E"/>
    <w:rsid w:val="6D1D2BA3"/>
    <w:rsid w:val="6D340BE9"/>
    <w:rsid w:val="6E4E0530"/>
    <w:rsid w:val="71201629"/>
    <w:rsid w:val="71B615C9"/>
    <w:rsid w:val="72853156"/>
    <w:rsid w:val="72D57472"/>
    <w:rsid w:val="73653335"/>
    <w:rsid w:val="737D59BA"/>
    <w:rsid w:val="73D15FE7"/>
    <w:rsid w:val="743957DE"/>
    <w:rsid w:val="75063912"/>
    <w:rsid w:val="772C33D8"/>
    <w:rsid w:val="776B5ABC"/>
    <w:rsid w:val="776D2CE2"/>
    <w:rsid w:val="77C37683"/>
    <w:rsid w:val="79FF515B"/>
    <w:rsid w:val="7A734DF8"/>
    <w:rsid w:val="7C4D3A17"/>
    <w:rsid w:val="7E9F11B4"/>
    <w:rsid w:val="7FC69637"/>
    <w:rsid w:val="7FFDB408"/>
    <w:rsid w:val="CBFF70E0"/>
    <w:rsid w:val="EEABED75"/>
    <w:rsid w:val="FB36E1A6"/>
    <w:rsid w:val="FFFF1C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font11"/>
    <w:basedOn w:val="6"/>
    <w:qFormat/>
    <w:uiPriority w:val="0"/>
    <w:rPr>
      <w:rFonts w:hint="eastAsia" w:ascii="宋体" w:hAnsi="宋体" w:eastAsia="宋体" w:cs="宋体"/>
      <w:color w:val="000000"/>
      <w:sz w:val="24"/>
      <w:szCs w:val="24"/>
      <w:u w:val="none"/>
    </w:rPr>
  </w:style>
  <w:style w:type="character" w:customStyle="1" w:styleId="11">
    <w:name w:val="font21"/>
    <w:basedOn w:val="6"/>
    <w:qFormat/>
    <w:uiPriority w:val="0"/>
    <w:rPr>
      <w:rFonts w:hint="eastAsia" w:ascii="宋体" w:hAnsi="宋体" w:eastAsia="宋体" w:cs="宋体"/>
      <w:color w:val="000000"/>
      <w:sz w:val="24"/>
      <w:szCs w:val="24"/>
      <w:u w:val="none"/>
    </w:rPr>
  </w:style>
  <w:style w:type="character" w:customStyle="1" w:styleId="12">
    <w:name w:val="font01"/>
    <w:basedOn w:val="6"/>
    <w:qFormat/>
    <w:uiPriority w:val="0"/>
    <w:rPr>
      <w:rFonts w:hint="eastAsia" w:ascii="宋体" w:hAnsi="宋体" w:eastAsia="宋体" w:cs="宋体"/>
      <w:color w:val="000000"/>
      <w:sz w:val="22"/>
      <w:szCs w:val="22"/>
      <w:u w:val="none"/>
    </w:rPr>
  </w:style>
  <w:style w:type="paragraph" w:customStyle="1" w:styleId="13">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27</Pages>
  <Words>12601</Words>
  <Characters>13728</Characters>
  <Lines>99</Lines>
  <Paragraphs>27</Paragraphs>
  <TotalTime>12</TotalTime>
  <ScaleCrop>false</ScaleCrop>
  <LinksUpToDate>false</LinksUpToDate>
  <CharactersWithSpaces>13737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红梅</cp:lastModifiedBy>
  <cp:lastPrinted>2024-10-08T08:43:00Z</cp:lastPrinted>
  <dcterms:modified xsi:type="dcterms:W3CDTF">2024-10-11T02:32:41Z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AB44475E8AAD4BF0BA384246BF8A8A38_13</vt:lpwstr>
  </property>
</Properties>
</file>