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E6591">
      <w:pPr>
        <w:ind w:firstLine="880"/>
        <w:jc w:val="both"/>
        <w:rPr>
          <w:rFonts w:ascii="方正小标宋简体" w:hAnsi="宋体" w:eastAsia="方正小标宋简体" w:cs="宋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2023</w:t>
      </w: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年度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岳阳县农业农村局机关</w:t>
      </w: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整体支出</w:t>
      </w:r>
    </w:p>
    <w:p w14:paraId="2CF44363">
      <w:pPr>
        <w:ind w:firstLine="880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绩效自评报告</w:t>
      </w:r>
    </w:p>
    <w:p w14:paraId="6557C1A9">
      <w:pPr>
        <w:pStyle w:val="3"/>
        <w:numPr>
          <w:ilvl w:val="0"/>
          <w:numId w:val="1"/>
        </w:numPr>
        <w:spacing w:before="211" w:line="224" w:lineRule="auto"/>
        <w:ind w:firstLine="640"/>
        <w:jc w:val="both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部门</w:t>
      </w:r>
      <w:r>
        <w:rPr>
          <w:rFonts w:ascii="方正黑体_GBK" w:eastAsia="方正黑体_GBK"/>
          <w:sz w:val="32"/>
          <w:szCs w:val="32"/>
          <w:lang w:eastAsia="zh-CN"/>
        </w:rPr>
        <w:t>(</w:t>
      </w:r>
      <w:r>
        <w:rPr>
          <w:rFonts w:hint="eastAsia" w:ascii="方正黑体_GBK" w:eastAsia="方正黑体_GBK"/>
          <w:sz w:val="32"/>
          <w:szCs w:val="32"/>
          <w:lang w:eastAsia="zh-CN"/>
        </w:rPr>
        <w:t>单位</w:t>
      </w:r>
      <w:r>
        <w:rPr>
          <w:rFonts w:ascii="方正黑体_GBK" w:eastAsia="方正黑体_GBK"/>
          <w:sz w:val="32"/>
          <w:szCs w:val="32"/>
          <w:lang w:eastAsia="zh-CN"/>
        </w:rPr>
        <w:t>)</w:t>
      </w:r>
      <w:r>
        <w:rPr>
          <w:rFonts w:hint="eastAsia" w:ascii="方正黑体_GBK" w:eastAsia="方正黑体_GBK"/>
          <w:sz w:val="32"/>
          <w:szCs w:val="32"/>
          <w:lang w:eastAsia="zh-CN"/>
        </w:rPr>
        <w:t>基本情况</w:t>
      </w:r>
    </w:p>
    <w:p w14:paraId="6206A0C0">
      <w:pPr>
        <w:pStyle w:val="13"/>
        <w:spacing w:line="600" w:lineRule="exact"/>
        <w:ind w:firstLine="643"/>
        <w:jc w:val="both"/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岳阳县农业农村局为县人民政府工作部门，加挂“中共岳阳县委农村工作办公室”的牌子。农业农村局机关内设办公室、法规股、行政审批股、发展规划股、计划财务股、乡村产业发展股、农村社会事业促进股（乡村振兴工作办公室）等17个股室；下设县农业行政执法大队、县土壤肥料工作站、县农产品质量检验检测站、县农业技术推广站、县植保植检站、县农田建设服务中心非独立核算二级机构。</w:t>
      </w:r>
    </w:p>
    <w:p w14:paraId="00CDBEAE">
      <w:pPr>
        <w:pStyle w:val="13"/>
        <w:spacing w:line="600" w:lineRule="exact"/>
        <w:ind w:firstLine="643"/>
        <w:jc w:val="both"/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管辖县生态能源服务中心、县农业广播电视学校、县农村经营服务站等独立核算的二级机构。公车改革后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保留2台公车，分别为执法执勤用车1辆、工具车1辆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。</w:t>
      </w:r>
    </w:p>
    <w:p w14:paraId="686A4DDD">
      <w:pPr>
        <w:spacing w:line="600" w:lineRule="exact"/>
        <w:ind w:firstLine="640" w:firstLineChars="20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二、一般公共预算支出情况</w:t>
      </w:r>
    </w:p>
    <w:p w14:paraId="445128AA">
      <w:pPr>
        <w:pStyle w:val="13"/>
        <w:spacing w:line="600" w:lineRule="exact"/>
        <w:ind w:firstLine="643"/>
        <w:jc w:val="both"/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（一）基本支出情况</w:t>
      </w:r>
    </w:p>
    <w:p w14:paraId="019C5B05">
      <w:pPr>
        <w:pStyle w:val="13"/>
        <w:spacing w:line="600" w:lineRule="exact"/>
        <w:ind w:firstLine="643"/>
        <w:jc w:val="both"/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2023年农业农村局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机关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基本支出共计2,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037.79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万元，其中用于人员支出1,6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32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.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11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万元，公用支出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405.68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万元。公用支出中“三公”经费合计1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5.60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万元，其中公务接待费1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0.91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万元，公务用车维护4.69万元，公务用车购置费0元，因公出国0万元。</w:t>
      </w:r>
    </w:p>
    <w:p w14:paraId="574045FB">
      <w:pPr>
        <w:pStyle w:val="13"/>
        <w:numPr>
          <w:ilvl w:val="0"/>
          <w:numId w:val="2"/>
        </w:numPr>
        <w:spacing w:line="600" w:lineRule="exact"/>
        <w:ind w:firstLine="643"/>
        <w:jc w:val="both"/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项目支出情况</w:t>
      </w:r>
    </w:p>
    <w:p w14:paraId="5598C11C">
      <w:pPr>
        <w:pStyle w:val="13"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default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2023年各级财政安排农业农村局专项资金共2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4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,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466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.8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2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万元。其中：产业发展9,425.30万元、粮食生产5,984.82万元、农村社会事业相关项目1,759.44万元、冷链建设998.58万元、绿色发展示范工程项目898.40万元、耕地保护与地力提升等743.39万元、中央农村人居环境整治项目731.18万元、贷款贴息555.00万元、重点产业扶贫471.21万元、科技转化与推广服务405.57万元、病虫害防治200.98万元、其他项目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2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,</w:t>
      </w:r>
      <w:r>
        <w:rPr>
          <w:rFonts w:hint="eastAsia" w:eastAsia="仿宋_GB2312" w:cs="Arial"/>
          <w:snapToGrid w:val="0"/>
          <w:color w:val="000000"/>
          <w:sz w:val="32"/>
          <w:szCs w:val="32"/>
          <w:lang w:val="en-US" w:eastAsia="zh-CN" w:bidi="ar-SA"/>
        </w:rPr>
        <w:t>292.95</w:t>
      </w: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万元。</w:t>
      </w:r>
    </w:p>
    <w:p w14:paraId="1AEE8946">
      <w:pPr>
        <w:numPr>
          <w:ilvl w:val="0"/>
          <w:numId w:val="0"/>
        </w:numPr>
        <w:spacing w:line="600" w:lineRule="exact"/>
        <w:ind w:left="640" w:leftChars="0"/>
        <w:jc w:val="both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三、</w:t>
      </w:r>
      <w:r>
        <w:rPr>
          <w:rFonts w:hint="eastAsia" w:ascii="方正黑体_GBK" w:eastAsia="方正黑体_GBK"/>
          <w:sz w:val="32"/>
          <w:szCs w:val="32"/>
          <w:lang w:eastAsia="zh-CN"/>
        </w:rPr>
        <w:t>政府性基金预算支出情况</w:t>
      </w:r>
    </w:p>
    <w:p w14:paraId="53589C1F">
      <w:pPr>
        <w:pStyle w:val="2"/>
        <w:numPr>
          <w:ilvl w:val="0"/>
          <w:numId w:val="0"/>
        </w:numPr>
        <w:rPr>
          <w:rFonts w:hint="default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无</w:t>
      </w:r>
    </w:p>
    <w:p w14:paraId="6B152CDB">
      <w:pPr>
        <w:numPr>
          <w:ilvl w:val="0"/>
          <w:numId w:val="0"/>
        </w:numPr>
        <w:spacing w:line="600" w:lineRule="exact"/>
        <w:ind w:left="640" w:leftChars="0"/>
        <w:jc w:val="both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四、</w:t>
      </w:r>
      <w:r>
        <w:rPr>
          <w:rFonts w:hint="eastAsia" w:ascii="方正黑体_GBK" w:eastAsia="方正黑体_GBK"/>
          <w:sz w:val="32"/>
          <w:szCs w:val="32"/>
          <w:lang w:eastAsia="zh-CN"/>
        </w:rPr>
        <w:t>国有资本经营预算支出情况</w:t>
      </w:r>
    </w:p>
    <w:p w14:paraId="72C8AC14">
      <w:pPr>
        <w:pStyle w:val="2"/>
        <w:numPr>
          <w:ilvl w:val="0"/>
          <w:numId w:val="0"/>
        </w:numPr>
        <w:rPr>
          <w:rFonts w:hint="default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无</w:t>
      </w:r>
    </w:p>
    <w:p w14:paraId="112F0303">
      <w:pPr>
        <w:numPr>
          <w:ilvl w:val="0"/>
          <w:numId w:val="0"/>
        </w:numPr>
        <w:spacing w:line="600" w:lineRule="exact"/>
        <w:ind w:left="640" w:leftChars="0"/>
        <w:jc w:val="both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五、</w:t>
      </w:r>
      <w:r>
        <w:rPr>
          <w:rFonts w:hint="eastAsia" w:ascii="方正黑体_GBK" w:eastAsia="方正黑体_GBK"/>
          <w:sz w:val="32"/>
          <w:szCs w:val="32"/>
          <w:lang w:eastAsia="zh-CN"/>
        </w:rPr>
        <w:t>社会保险基金预算支出情况</w:t>
      </w:r>
    </w:p>
    <w:p w14:paraId="76EFF4AB">
      <w:pPr>
        <w:pStyle w:val="2"/>
        <w:numPr>
          <w:ilvl w:val="0"/>
          <w:numId w:val="0"/>
        </w:numPr>
        <w:rPr>
          <w:rFonts w:hint="default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Arial" w:hAnsi="Arial" w:eastAsia="仿宋_GB2312" w:cs="Arial"/>
          <w:snapToGrid w:val="0"/>
          <w:color w:val="000000"/>
          <w:sz w:val="32"/>
          <w:szCs w:val="32"/>
          <w:lang w:val="en-US" w:eastAsia="zh-CN" w:bidi="ar-SA"/>
        </w:rPr>
        <w:t>无</w:t>
      </w:r>
    </w:p>
    <w:p w14:paraId="7FD4671D">
      <w:pPr>
        <w:numPr>
          <w:ilvl w:val="0"/>
          <w:numId w:val="0"/>
        </w:numPr>
        <w:spacing w:line="600" w:lineRule="exact"/>
        <w:ind w:left="640" w:leftChars="0"/>
        <w:jc w:val="both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六、</w:t>
      </w:r>
      <w:r>
        <w:rPr>
          <w:rFonts w:hint="eastAsia" w:ascii="方正黑体_GBK" w:eastAsia="方正黑体_GBK"/>
          <w:sz w:val="32"/>
          <w:szCs w:val="32"/>
          <w:lang w:eastAsia="zh-CN"/>
        </w:rPr>
        <w:t>部门整体支出绩效情况</w:t>
      </w:r>
    </w:p>
    <w:p w14:paraId="4195E16E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1、</w:t>
      </w:r>
      <w:r>
        <w:rPr>
          <w:rFonts w:hint="eastAsia" w:eastAsia="仿宋_GB2312"/>
          <w:sz w:val="32"/>
          <w:szCs w:val="32"/>
          <w:lang w:eastAsia="zh-CN"/>
        </w:rPr>
        <w:t>运行成本：</w:t>
      </w:r>
      <w:r>
        <w:rPr>
          <w:rFonts w:hint="eastAsia" w:eastAsia="仿宋_GB2312"/>
          <w:sz w:val="32"/>
          <w:szCs w:val="32"/>
          <w:lang w:val="en-US" w:eastAsia="zh-CN"/>
        </w:rPr>
        <w:t>岳阳县农业农村局机关在农业生产、农资采购等方面</w:t>
      </w:r>
      <w:r>
        <w:rPr>
          <w:rFonts w:hint="eastAsia" w:eastAsia="仿宋_GB2312"/>
          <w:sz w:val="32"/>
          <w:szCs w:val="32"/>
          <w:lang w:eastAsia="zh-CN"/>
        </w:rPr>
        <w:t>通过</w:t>
      </w:r>
      <w:r>
        <w:rPr>
          <w:rFonts w:hint="eastAsia" w:eastAsia="仿宋_GB2312"/>
          <w:sz w:val="32"/>
          <w:szCs w:val="32"/>
          <w:lang w:val="en-US" w:eastAsia="zh-CN"/>
        </w:rPr>
        <w:t>科学规划和合理采购以</w:t>
      </w:r>
      <w:r>
        <w:rPr>
          <w:rFonts w:hint="eastAsia" w:eastAsia="仿宋_GB2312"/>
          <w:sz w:val="32"/>
          <w:szCs w:val="32"/>
          <w:lang w:eastAsia="zh-CN"/>
        </w:rPr>
        <w:t>优化资源配置和提高管理效率，有效控制了</w:t>
      </w:r>
      <w:r>
        <w:rPr>
          <w:rFonts w:hint="eastAsia" w:eastAsia="仿宋_GB2312"/>
          <w:sz w:val="32"/>
          <w:szCs w:val="32"/>
          <w:lang w:val="en-US" w:eastAsia="zh-CN"/>
        </w:rPr>
        <w:t>机关</w:t>
      </w:r>
      <w:r>
        <w:rPr>
          <w:rFonts w:hint="eastAsia" w:eastAsia="仿宋_GB2312"/>
          <w:sz w:val="32"/>
          <w:szCs w:val="32"/>
          <w:lang w:eastAsia="zh-CN"/>
        </w:rPr>
        <w:t>的运行成本。</w:t>
      </w:r>
    </w:p>
    <w:p w14:paraId="4C40BDD7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2、</w:t>
      </w:r>
      <w:r>
        <w:rPr>
          <w:rFonts w:hint="eastAsia" w:eastAsia="仿宋_GB2312"/>
          <w:sz w:val="32"/>
          <w:szCs w:val="32"/>
          <w:lang w:eastAsia="zh-CN"/>
        </w:rPr>
        <w:t>管理效率：建立健全了</w:t>
      </w:r>
      <w:r>
        <w:rPr>
          <w:rFonts w:hint="eastAsia" w:eastAsia="仿宋_GB2312"/>
          <w:sz w:val="32"/>
          <w:szCs w:val="32"/>
          <w:lang w:val="en-US" w:eastAsia="zh-CN"/>
        </w:rPr>
        <w:t>项目</w:t>
      </w:r>
      <w:r>
        <w:rPr>
          <w:rFonts w:hint="eastAsia" w:eastAsia="仿宋_GB2312"/>
          <w:sz w:val="32"/>
          <w:szCs w:val="32"/>
          <w:lang w:eastAsia="zh-CN"/>
        </w:rPr>
        <w:t>管理制度和</w:t>
      </w:r>
      <w:r>
        <w:rPr>
          <w:rFonts w:hint="eastAsia" w:eastAsia="仿宋_GB2312"/>
          <w:sz w:val="32"/>
          <w:szCs w:val="32"/>
          <w:lang w:val="en-US" w:eastAsia="zh-CN"/>
        </w:rPr>
        <w:t>机关财务制度</w:t>
      </w:r>
      <w:r>
        <w:rPr>
          <w:rFonts w:hint="eastAsia" w:eastAsia="仿宋_GB2312"/>
          <w:sz w:val="32"/>
          <w:szCs w:val="32"/>
          <w:lang w:eastAsia="zh-CN"/>
        </w:rPr>
        <w:t>，提高了预算资金的使用效率和透明度。</w:t>
      </w:r>
      <w:r>
        <w:rPr>
          <w:rFonts w:hint="eastAsia" w:eastAsia="仿宋_GB2312"/>
          <w:sz w:val="32"/>
          <w:szCs w:val="32"/>
          <w:lang w:val="en-US" w:eastAsia="zh-CN"/>
        </w:rPr>
        <w:t>严格按照《岳阳县农业农村局内部控制管理制度》执行，</w:t>
      </w:r>
      <w:r>
        <w:rPr>
          <w:rFonts w:hint="eastAsia" w:eastAsia="仿宋_GB2312"/>
          <w:sz w:val="32"/>
          <w:szCs w:val="32"/>
          <w:lang w:eastAsia="zh-CN"/>
        </w:rPr>
        <w:t>加强内部管理，降低了内部管理成本。</w:t>
      </w:r>
    </w:p>
    <w:p w14:paraId="5ADF6791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3、</w:t>
      </w:r>
      <w:r>
        <w:rPr>
          <w:rFonts w:hint="eastAsia" w:eastAsia="仿宋_GB2312"/>
          <w:sz w:val="32"/>
          <w:szCs w:val="32"/>
          <w:lang w:eastAsia="zh-CN"/>
        </w:rPr>
        <w:t>履职效能：岳阳县农业农村局在农业生产、乡村产业发展、新农村建设等方面都取得了显著成效，履职效能得到了提升。</w:t>
      </w:r>
      <w:r>
        <w:rPr>
          <w:rFonts w:hint="eastAsia" w:eastAsia="仿宋_GB2312"/>
          <w:sz w:val="32"/>
          <w:szCs w:val="32"/>
          <w:lang w:val="en-US" w:eastAsia="zh-CN"/>
        </w:rPr>
        <w:t>共争取国部级、省级荣誉表彰20余项，岳阳县获评2023年“全省粮食生产先进县”，这是我县连续第十四年获得国家、省级荣誉；岳阳县成功入选2023年全国“土特产”推介名录；岳阳县农业农村局被评为全省2023年度高标准农田建设工作表现突出单位；岳阳县新墙镇清水村获评国家级2023年中国美丽休闲乡村；岳阳兰花萝卜荣获全省中部农博会金奖；岳阳县张谷英镇莲花湖村获评2023年度省级美丽乡村（和美湘村）。</w:t>
      </w:r>
    </w:p>
    <w:p w14:paraId="36B04D7E">
      <w:pPr>
        <w:spacing w:line="600" w:lineRule="exact"/>
        <w:ind w:firstLine="640" w:firstLineChars="200"/>
        <w:jc w:val="both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4、</w:t>
      </w:r>
      <w:r>
        <w:rPr>
          <w:rFonts w:hint="eastAsia" w:eastAsia="仿宋_GB2312"/>
          <w:sz w:val="32"/>
          <w:szCs w:val="32"/>
          <w:lang w:eastAsia="zh-CN"/>
        </w:rPr>
        <w:t>社会效应：</w:t>
      </w:r>
      <w:r>
        <w:rPr>
          <w:rFonts w:hint="eastAsia" w:eastAsia="仿宋_GB2312"/>
          <w:sz w:val="32"/>
          <w:szCs w:val="32"/>
          <w:lang w:val="en-US" w:eastAsia="zh-CN"/>
        </w:rPr>
        <w:t>农业生产作为农村经济的基石，直接推动了农村经济的发展，提高了农民的收入水平；为农村提供更多就业机会，减少劳动力的流失，维护了农村社会的稳定；通过推行科学耕种、绿色种植等措施，减少化肥农药的使用，降低农业面源污染，保护生态环境。</w:t>
      </w:r>
    </w:p>
    <w:p w14:paraId="24908BEE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5、</w:t>
      </w:r>
      <w:r>
        <w:rPr>
          <w:rFonts w:hint="eastAsia" w:eastAsia="仿宋_GB2312"/>
          <w:sz w:val="32"/>
          <w:szCs w:val="32"/>
          <w:lang w:eastAsia="zh-CN"/>
        </w:rPr>
        <w:t>可持续发展能力：</w:t>
      </w:r>
      <w:r>
        <w:rPr>
          <w:rFonts w:hint="eastAsia" w:eastAsia="仿宋_GB2312"/>
          <w:sz w:val="32"/>
          <w:szCs w:val="32"/>
          <w:lang w:val="en-US" w:eastAsia="zh-CN"/>
        </w:rPr>
        <w:t>通过加强农业环境保护和推广绿色技术，提升农村生态环境的质量，实现农业与环境和谐共生，农业持续向绿色发展。</w:t>
      </w:r>
    </w:p>
    <w:p w14:paraId="5CECE33D">
      <w:pPr>
        <w:spacing w:line="600" w:lineRule="exact"/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6、</w:t>
      </w:r>
      <w:r>
        <w:rPr>
          <w:rFonts w:hint="eastAsia" w:eastAsia="仿宋_GB2312"/>
          <w:sz w:val="32"/>
          <w:szCs w:val="32"/>
          <w:lang w:eastAsia="zh-CN"/>
        </w:rPr>
        <w:t>服务对象满意度：</w:t>
      </w:r>
      <w:r>
        <w:rPr>
          <w:rFonts w:hint="eastAsia" w:eastAsia="仿宋_GB2312"/>
          <w:sz w:val="32"/>
          <w:szCs w:val="32"/>
          <w:lang w:val="en-US" w:eastAsia="zh-CN"/>
        </w:rPr>
        <w:t>岳阳县农业农村局为农户提供优质的社会化服务及技术支持，提高了农户对本单位的满意度。</w:t>
      </w:r>
    </w:p>
    <w:p w14:paraId="1E192185">
      <w:pPr>
        <w:numPr>
          <w:ilvl w:val="0"/>
          <w:numId w:val="0"/>
        </w:numPr>
        <w:spacing w:line="600" w:lineRule="exact"/>
        <w:ind w:leftChars="0" w:firstLine="640" w:firstLineChars="200"/>
        <w:jc w:val="both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七</w:t>
      </w:r>
      <w:r>
        <w:rPr>
          <w:rFonts w:hint="eastAsia" w:ascii="方正黑体_GBK" w:eastAsia="方正黑体_GBK"/>
          <w:sz w:val="32"/>
          <w:szCs w:val="32"/>
          <w:lang w:eastAsia="zh-CN"/>
        </w:rPr>
        <w:t>、存在的问题及原因分析</w:t>
      </w:r>
    </w:p>
    <w:p w14:paraId="49E524D9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（一）存在的问题：</w:t>
      </w:r>
    </w:p>
    <w:p w14:paraId="0DC9D3AB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1、部分项目资金拨付进度缓慢、资金使用效率低。</w:t>
      </w:r>
    </w:p>
    <w:p w14:paraId="4ADBD7E7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2、仍存在部分农户施用农药和化肥较多现象，少数农村居民垃圾随意丢弃，对生态环境影响较大。</w:t>
      </w:r>
    </w:p>
    <w:p w14:paraId="0E71ED5A">
      <w:pPr>
        <w:spacing w:line="600" w:lineRule="exact"/>
        <w:ind w:firstLine="640" w:firstLineChars="200"/>
        <w:jc w:val="both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3、农产品销售困难，农民收入增长缓慢，影响农民就业积极性。</w:t>
      </w:r>
    </w:p>
    <w:p w14:paraId="0BF001AA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（二）预算支出执行偏离绩效目标情况及其原因：</w:t>
      </w:r>
    </w:p>
    <w:p w14:paraId="7ED854B5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1、部分资金使用过程中缺乏有效的管理和监督机制，导致资金使用效率低下。</w:t>
      </w:r>
    </w:p>
    <w:p w14:paraId="67157CFC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2、传统农业生产方式依赖大量的农药和化肥来提高产量，这种习惯在短期内难以改变；少数农村居民的环保意识较低，对垃圾处理的重要性认识不足，导致垃圾随意丢弃。</w:t>
      </w:r>
    </w:p>
    <w:p w14:paraId="2EAA2C5B">
      <w:pPr>
        <w:spacing w:line="600" w:lineRule="exact"/>
        <w:ind w:firstLine="640" w:firstLineChars="200"/>
        <w:jc w:val="both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3、传统的农业产业结构难以满足现代市场的需求。</w:t>
      </w:r>
    </w:p>
    <w:p w14:paraId="6C72118B">
      <w:pPr>
        <w:spacing w:line="600" w:lineRule="exact"/>
        <w:ind w:firstLine="640" w:firstLineChars="200"/>
        <w:jc w:val="both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八</w:t>
      </w:r>
      <w:r>
        <w:rPr>
          <w:rFonts w:hint="eastAsia" w:ascii="方正黑体_GBK" w:eastAsia="方正黑体_GBK"/>
          <w:sz w:val="32"/>
          <w:szCs w:val="32"/>
          <w:lang w:eastAsia="zh-CN"/>
        </w:rPr>
        <w:t>、下一步改进措施</w:t>
      </w:r>
    </w:p>
    <w:p w14:paraId="01D7AA49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1、完善资金使用管理制度，加强资金使用过程中的管理与监督力度。</w:t>
      </w:r>
    </w:p>
    <w:p w14:paraId="7F84798B"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2、加强农业科技推广，提高农民对现代农业技术的认识和掌握程度，引导农民采用绿色、生态的农业生产方式；加强保护卫生环境宣传教育，提高居民的环保意识。</w:t>
      </w:r>
    </w:p>
    <w:p w14:paraId="1A3C9EC2">
      <w:pPr>
        <w:spacing w:line="600" w:lineRule="exact"/>
        <w:ind w:firstLine="640" w:firstLineChars="200"/>
        <w:jc w:val="both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3、加强农民教育培训，提高农民的文化水平、科技素质和市场意识；鼓励农民参与农业产业化经营、农村电子商务等新兴领域，拓宽就业渠道，增加收入来源。</w:t>
      </w:r>
    </w:p>
    <w:p w14:paraId="3FCCC8AB">
      <w:pPr>
        <w:spacing w:line="600" w:lineRule="exact"/>
        <w:ind w:firstLine="640" w:firstLineChars="200"/>
        <w:jc w:val="both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九、部门整体支出绩效自评结果拟应用和公开情况</w:t>
      </w:r>
    </w:p>
    <w:p w14:paraId="36740568">
      <w:pPr>
        <w:spacing w:line="600" w:lineRule="exact"/>
        <w:ind w:firstLine="640" w:firstLineChars="200"/>
        <w:jc w:val="both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绩效自评结果优，按规定公开。</w:t>
      </w:r>
    </w:p>
    <w:p w14:paraId="1BD4AB9D">
      <w:pPr>
        <w:spacing w:line="600" w:lineRule="exact"/>
        <w:ind w:firstLine="640" w:firstLineChars="200"/>
        <w:jc w:val="both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十、其他需要说明的情况</w:t>
      </w:r>
    </w:p>
    <w:p w14:paraId="218DAF0B">
      <w:pPr>
        <w:spacing w:line="600" w:lineRule="exact"/>
        <w:ind w:firstLine="640" w:firstLineChars="200"/>
        <w:jc w:val="both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无</w:t>
      </w:r>
    </w:p>
    <w:p w14:paraId="296D20E9">
      <w:pPr>
        <w:pStyle w:val="2"/>
        <w:rPr>
          <w:rFonts w:hint="eastAsia" w:eastAsia="仿宋_GB2312"/>
          <w:sz w:val="32"/>
          <w:szCs w:val="32"/>
          <w:lang w:val="en-US" w:eastAsia="zh-CN"/>
        </w:rPr>
      </w:pPr>
    </w:p>
    <w:p w14:paraId="2376F21E">
      <w:pPr>
        <w:rPr>
          <w:rFonts w:hint="eastAsia" w:eastAsia="仿宋_GB2312"/>
          <w:sz w:val="32"/>
          <w:szCs w:val="32"/>
          <w:lang w:val="en-US" w:eastAsia="zh-CN"/>
        </w:rPr>
      </w:pPr>
    </w:p>
    <w:p w14:paraId="69A38983">
      <w:pPr>
        <w:pStyle w:val="2"/>
        <w:rPr>
          <w:rFonts w:hint="eastAsia" w:eastAsia="仿宋_GB2312"/>
          <w:sz w:val="32"/>
          <w:szCs w:val="32"/>
          <w:lang w:val="en-US" w:eastAsia="zh-CN"/>
        </w:rPr>
      </w:pPr>
    </w:p>
    <w:sectPr>
      <w:footerReference r:id="rId3" w:type="default"/>
      <w:pgSz w:w="11907" w:h="16839"/>
      <w:pgMar w:top="2098" w:right="1474" w:bottom="1985" w:left="1588" w:header="0" w:footer="1588" w:gutter="0"/>
      <w:pgNumType w:fmt="numberInDash"/>
      <w:cols w:space="720" w:num="1"/>
      <w:titlePg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4EC0C">
    <w:pPr>
      <w:ind w:firstLine="420"/>
    </w:pPr>
  </w:p>
  <w:p w14:paraId="7FF126F6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CE3C99"/>
    <w:multiLevelType w:val="singleLevel"/>
    <w:tmpl w:val="9FCE3C9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C6C819E"/>
    <w:multiLevelType w:val="singleLevel"/>
    <w:tmpl w:val="4C6C81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evenAndOddHeaders w:val="1"/>
  <w:drawingGridHorizontalSpacing w:val="105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hNDUwNzRkNjE1MmRjZmExZGY2MWIyMWNkMWI1ZWIifQ=="/>
  </w:docVars>
  <w:rsids>
    <w:rsidRoot w:val="000F2365"/>
    <w:rsid w:val="000012B6"/>
    <w:rsid w:val="00071B35"/>
    <w:rsid w:val="000727C6"/>
    <w:rsid w:val="000C6CFE"/>
    <w:rsid w:val="000F2365"/>
    <w:rsid w:val="000F4247"/>
    <w:rsid w:val="0011599C"/>
    <w:rsid w:val="0017207F"/>
    <w:rsid w:val="001B36C3"/>
    <w:rsid w:val="002246E5"/>
    <w:rsid w:val="00225925"/>
    <w:rsid w:val="002535F3"/>
    <w:rsid w:val="00294388"/>
    <w:rsid w:val="0032277A"/>
    <w:rsid w:val="00332410"/>
    <w:rsid w:val="004A12A3"/>
    <w:rsid w:val="004D6192"/>
    <w:rsid w:val="0050589B"/>
    <w:rsid w:val="00546F67"/>
    <w:rsid w:val="005B3427"/>
    <w:rsid w:val="005E4D38"/>
    <w:rsid w:val="006116BA"/>
    <w:rsid w:val="006569FD"/>
    <w:rsid w:val="00706114"/>
    <w:rsid w:val="007570FF"/>
    <w:rsid w:val="007B2398"/>
    <w:rsid w:val="007D7028"/>
    <w:rsid w:val="007F6DFF"/>
    <w:rsid w:val="00842D81"/>
    <w:rsid w:val="008721A1"/>
    <w:rsid w:val="00890C0E"/>
    <w:rsid w:val="008E128E"/>
    <w:rsid w:val="008E657E"/>
    <w:rsid w:val="00912D49"/>
    <w:rsid w:val="0097670A"/>
    <w:rsid w:val="00A00A84"/>
    <w:rsid w:val="00A13F9A"/>
    <w:rsid w:val="00A22183"/>
    <w:rsid w:val="00AB359B"/>
    <w:rsid w:val="00C12207"/>
    <w:rsid w:val="00D70A3F"/>
    <w:rsid w:val="00E17218"/>
    <w:rsid w:val="00F22085"/>
    <w:rsid w:val="00F32DF4"/>
    <w:rsid w:val="00F72F69"/>
    <w:rsid w:val="00FA78BC"/>
    <w:rsid w:val="00FE5EBB"/>
    <w:rsid w:val="07AC683C"/>
    <w:rsid w:val="07D73CAA"/>
    <w:rsid w:val="0A2724D7"/>
    <w:rsid w:val="0AD02409"/>
    <w:rsid w:val="0AEB4451"/>
    <w:rsid w:val="0CC954FA"/>
    <w:rsid w:val="0DAD4E1B"/>
    <w:rsid w:val="0E8D075B"/>
    <w:rsid w:val="104D2390"/>
    <w:rsid w:val="10E56906"/>
    <w:rsid w:val="1198193E"/>
    <w:rsid w:val="12F901BB"/>
    <w:rsid w:val="133153C8"/>
    <w:rsid w:val="15412B90"/>
    <w:rsid w:val="157B7247"/>
    <w:rsid w:val="16852442"/>
    <w:rsid w:val="16B7749F"/>
    <w:rsid w:val="171E35E1"/>
    <w:rsid w:val="17DA4A5F"/>
    <w:rsid w:val="189A5894"/>
    <w:rsid w:val="18FA7F5E"/>
    <w:rsid w:val="19456BC6"/>
    <w:rsid w:val="1A0D2841"/>
    <w:rsid w:val="1A110732"/>
    <w:rsid w:val="1A6312B3"/>
    <w:rsid w:val="1AF514C4"/>
    <w:rsid w:val="1D352737"/>
    <w:rsid w:val="1E661C05"/>
    <w:rsid w:val="1F153328"/>
    <w:rsid w:val="1F2A6363"/>
    <w:rsid w:val="20713A86"/>
    <w:rsid w:val="20C31E08"/>
    <w:rsid w:val="23D62B00"/>
    <w:rsid w:val="248A488E"/>
    <w:rsid w:val="25493054"/>
    <w:rsid w:val="27EC2CAD"/>
    <w:rsid w:val="281D65AA"/>
    <w:rsid w:val="285B228C"/>
    <w:rsid w:val="2BA427C8"/>
    <w:rsid w:val="2BCA2BAA"/>
    <w:rsid w:val="2C062562"/>
    <w:rsid w:val="2C1D2D2F"/>
    <w:rsid w:val="2C3829EF"/>
    <w:rsid w:val="2E082A3D"/>
    <w:rsid w:val="303E2FDA"/>
    <w:rsid w:val="30670A02"/>
    <w:rsid w:val="33EC7B9C"/>
    <w:rsid w:val="35134303"/>
    <w:rsid w:val="352E7D40"/>
    <w:rsid w:val="36EF4A75"/>
    <w:rsid w:val="37375A74"/>
    <w:rsid w:val="37E1553E"/>
    <w:rsid w:val="37F952C0"/>
    <w:rsid w:val="385A6222"/>
    <w:rsid w:val="38A30EBA"/>
    <w:rsid w:val="38F31085"/>
    <w:rsid w:val="39B85DFB"/>
    <w:rsid w:val="3AB91E81"/>
    <w:rsid w:val="3AE076BC"/>
    <w:rsid w:val="3D037D04"/>
    <w:rsid w:val="3DD455A6"/>
    <w:rsid w:val="3FD50795"/>
    <w:rsid w:val="42F02F1A"/>
    <w:rsid w:val="4347756E"/>
    <w:rsid w:val="461564F4"/>
    <w:rsid w:val="479B74B7"/>
    <w:rsid w:val="47F0411D"/>
    <w:rsid w:val="48C1457D"/>
    <w:rsid w:val="48C434ED"/>
    <w:rsid w:val="494D3F91"/>
    <w:rsid w:val="4BC919E8"/>
    <w:rsid w:val="4D237E76"/>
    <w:rsid w:val="4E4B47BB"/>
    <w:rsid w:val="4E970C2B"/>
    <w:rsid w:val="4F5B4D8E"/>
    <w:rsid w:val="50795403"/>
    <w:rsid w:val="51226553"/>
    <w:rsid w:val="54341394"/>
    <w:rsid w:val="5724008B"/>
    <w:rsid w:val="57495CFA"/>
    <w:rsid w:val="579C62D8"/>
    <w:rsid w:val="58006EC2"/>
    <w:rsid w:val="585D7279"/>
    <w:rsid w:val="5A3C301E"/>
    <w:rsid w:val="5C925C97"/>
    <w:rsid w:val="5DAF5613"/>
    <w:rsid w:val="5DB42C29"/>
    <w:rsid w:val="5F5720F9"/>
    <w:rsid w:val="5FAB594D"/>
    <w:rsid w:val="61681796"/>
    <w:rsid w:val="61DD5CAE"/>
    <w:rsid w:val="62FB6C04"/>
    <w:rsid w:val="653877D6"/>
    <w:rsid w:val="65AF0D1D"/>
    <w:rsid w:val="668D2269"/>
    <w:rsid w:val="67404FA6"/>
    <w:rsid w:val="68B8009F"/>
    <w:rsid w:val="68C25C64"/>
    <w:rsid w:val="6A055FDF"/>
    <w:rsid w:val="6A425119"/>
    <w:rsid w:val="6A745C1A"/>
    <w:rsid w:val="6B947157"/>
    <w:rsid w:val="6CBC0C1A"/>
    <w:rsid w:val="6D7E6628"/>
    <w:rsid w:val="6EBE74A6"/>
    <w:rsid w:val="70AF75DD"/>
    <w:rsid w:val="720F5C1E"/>
    <w:rsid w:val="72F75AA7"/>
    <w:rsid w:val="733F0DA9"/>
    <w:rsid w:val="74CA6436"/>
    <w:rsid w:val="75FC7E24"/>
    <w:rsid w:val="765775DC"/>
    <w:rsid w:val="77D45F4A"/>
    <w:rsid w:val="7A772BBC"/>
    <w:rsid w:val="7AC072CB"/>
    <w:rsid w:val="7AE97D3B"/>
    <w:rsid w:val="7B4968FA"/>
    <w:rsid w:val="7B5E0F57"/>
    <w:rsid w:val="7E2A12BF"/>
    <w:rsid w:val="7F2237B6"/>
    <w:rsid w:val="7F8F18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pPr>
      <w:spacing w:line="240" w:lineRule="auto"/>
    </w:pPr>
    <w:rPr>
      <w:rFonts w:hAnsi="Courier New"/>
      <w:sz w:val="21"/>
      <w:szCs w:val="21"/>
    </w:rPr>
  </w:style>
  <w:style w:type="paragraph" w:styleId="3">
    <w:name w:val="Body Text"/>
    <w:basedOn w:val="1"/>
    <w:semiHidden/>
    <w:qFormat/>
    <w:uiPriority w:val="0"/>
    <w:pPr>
      <w:spacing w:before="20" w:line="222" w:lineRule="auto"/>
    </w:pPr>
    <w:rPr>
      <w:rFonts w:ascii="仿宋" w:hAnsi="仿宋" w:eastAsia="仿宋" w:cs="仿宋"/>
      <w:sz w:val="35"/>
      <w:szCs w:val="35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pacing w:line="560" w:lineRule="exac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</w:style>
  <w:style w:type="character" w:customStyle="1" w:styleId="11">
    <w:name w:val="页脚 Char"/>
    <w:basedOn w:val="8"/>
    <w:link w:val="5"/>
    <w:qFormat/>
    <w:uiPriority w:val="99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2">
    <w:name w:val="批注框文本 Char"/>
    <w:basedOn w:val="8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1741</Words>
  <Characters>1873</Characters>
  <Lines>42</Lines>
  <Paragraphs>11</Paragraphs>
  <TotalTime>1</TotalTime>
  <ScaleCrop>false</ScaleCrop>
  <LinksUpToDate>false</LinksUpToDate>
  <CharactersWithSpaces>1873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2024-03-25T08:56:00Z</dcterms:created>
  <dc:creator>Administrator</dc:creator>
  <cp:lastModifiedBy>红梅</cp:lastModifiedBy>
  <cp:lastPrinted>2024-10-09T02:35:00Z</cp:lastPrinted>
  <dcterms:modified xsi:type="dcterms:W3CDTF">2024-10-11T02:06:17Z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2024-03-21T15:29:30Z</vt:filetime>
  </property>
  <property fmtid="{D5CDD505-2E9C-101B-9397-08002B2CF9AE}" pid="4" name="UsrData">
    <vt:lpwstr>65fbe1d271bc50001f716906wl</vt:lpwstr>
  </property>
  <property fmtid="{D5CDD505-2E9C-101B-9397-08002B2CF9AE}" pid="5" name="KSOProductBuildVer">
    <vt:lpwstr>2052-12.1.0.18276</vt:lpwstr>
  </property>
  <property fmtid="{D5CDD505-2E9C-101B-9397-08002B2CF9AE}" pid="6" name="ICV">
    <vt:lpwstr>A0353A04B2CF425B8D82B9788C2328B1_13</vt:lpwstr>
  </property>
</Properties>
</file>