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4D428">
      <w:pPr>
        <w:pStyle w:val="15"/>
        <w:jc w:val="center"/>
        <w:rPr>
          <w:rFonts w:hint="eastAsia" w:ascii="微软雅黑" w:hAnsi="微软雅黑" w:eastAsia="微软雅黑" w:cs="微软雅黑"/>
          <w:sz w:val="56"/>
          <w:szCs w:val="56"/>
        </w:rPr>
      </w:pPr>
    </w:p>
    <w:p w14:paraId="0E857A1C">
      <w:pPr>
        <w:pStyle w:val="15"/>
        <w:jc w:val="center"/>
        <w:rPr>
          <w:rFonts w:hint="eastAsia" w:ascii="微软雅黑" w:hAnsi="微软雅黑" w:eastAsia="微软雅黑" w:cs="微软雅黑"/>
          <w:sz w:val="56"/>
          <w:szCs w:val="56"/>
        </w:rPr>
      </w:pPr>
    </w:p>
    <w:p w14:paraId="770D6EBD">
      <w:pPr>
        <w:pStyle w:val="15"/>
        <w:jc w:val="center"/>
        <w:rPr>
          <w:rFonts w:hint="eastAsia" w:ascii="微软雅黑" w:hAnsi="微软雅黑" w:eastAsia="微软雅黑" w:cs="微软雅黑"/>
          <w:sz w:val="84"/>
          <w:szCs w:val="84"/>
        </w:rPr>
      </w:pPr>
    </w:p>
    <w:p w14:paraId="365315AC">
      <w:pPr>
        <w:pStyle w:val="15"/>
        <w:jc w:val="center"/>
        <w:rPr>
          <w:rFonts w:hint="eastAsia" w:ascii="微软雅黑" w:hAnsi="微软雅黑" w:eastAsia="微软雅黑" w:cs="微软雅黑"/>
          <w:sz w:val="84"/>
          <w:szCs w:val="84"/>
        </w:rPr>
      </w:pPr>
    </w:p>
    <w:p w14:paraId="5B4DA506">
      <w:pPr>
        <w:pStyle w:val="15"/>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38283D42">
      <w:pPr>
        <w:pStyle w:val="15"/>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岳阳县定点屠宰服务中心</w:t>
      </w:r>
      <w:r>
        <w:rPr>
          <w:rFonts w:ascii="微软雅黑" w:hAnsi="微软雅黑" w:eastAsia="微软雅黑" w:cs="微软雅黑"/>
          <w:b/>
          <w:sz w:val="84"/>
        </w:rPr>
        <w:t>单位部门决算</w:t>
      </w:r>
    </w:p>
    <w:p w14:paraId="1C9205FA">
      <w:pPr>
        <w:pStyle w:val="15"/>
        <w:jc w:val="center"/>
        <w:rPr>
          <w:rFonts w:hint="eastAsia" w:ascii="微软雅黑" w:hAnsi="微软雅黑" w:eastAsia="微软雅黑" w:cs="微软雅黑"/>
          <w:sz w:val="84"/>
          <w:szCs w:val="84"/>
        </w:rPr>
      </w:pPr>
    </w:p>
    <w:p w14:paraId="61C613AD">
      <w:pPr>
        <w:pStyle w:val="15"/>
        <w:jc w:val="center"/>
        <w:rPr>
          <w:rFonts w:hint="eastAsia" w:ascii="微软雅黑" w:hAnsi="微软雅黑" w:eastAsia="微软雅黑" w:cs="微软雅黑"/>
          <w:sz w:val="84"/>
          <w:szCs w:val="84"/>
        </w:rPr>
      </w:pPr>
    </w:p>
    <w:p w14:paraId="1AAB4CD7">
      <w:pPr>
        <w:pStyle w:val="15"/>
        <w:jc w:val="center"/>
        <w:rPr>
          <w:rFonts w:hint="eastAsia" w:ascii="微软雅黑" w:hAnsi="微软雅黑" w:eastAsia="微软雅黑" w:cs="微软雅黑"/>
          <w:sz w:val="84"/>
          <w:szCs w:val="84"/>
        </w:rPr>
      </w:pPr>
    </w:p>
    <w:p w14:paraId="299BD838">
      <w:pPr>
        <w:pStyle w:val="15"/>
        <w:jc w:val="center"/>
        <w:rPr>
          <w:rFonts w:hint="eastAsia" w:ascii="微软雅黑" w:hAnsi="微软雅黑" w:eastAsia="微软雅黑" w:cs="微软雅黑"/>
          <w:sz w:val="84"/>
          <w:szCs w:val="84"/>
        </w:rPr>
      </w:pPr>
    </w:p>
    <w:p w14:paraId="1F2A317D">
      <w:pPr>
        <w:bidi w:val="0"/>
        <w:rPr>
          <w:rFonts w:hint="eastAsia" w:ascii="微软雅黑" w:hAnsi="微软雅黑" w:eastAsia="微软雅黑" w:cs="微软雅黑"/>
        </w:rPr>
      </w:pPr>
    </w:p>
    <w:p w14:paraId="7E32D766">
      <w:pPr>
        <w:pStyle w:val="15"/>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7AFA31F0">
      <w:pPr>
        <w:pStyle w:val="15"/>
        <w:spacing w:line="500" w:lineRule="exact"/>
        <w:jc w:val="center"/>
        <w:rPr>
          <w:rFonts w:hint="eastAsia" w:ascii="微软雅黑" w:hAnsi="微软雅黑" w:eastAsia="微软雅黑" w:cs="微软雅黑"/>
          <w:b/>
          <w:sz w:val="36"/>
          <w:szCs w:val="28"/>
        </w:rPr>
      </w:pPr>
    </w:p>
    <w:p w14:paraId="5EC9EC4C">
      <w:pPr>
        <w:pStyle w:val="15"/>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岳阳县定点屠宰服务中心</w:t>
      </w:r>
      <w:r>
        <w:rPr>
          <w:rFonts w:hint="eastAsia" w:ascii="微软雅黑" w:hAnsi="微软雅黑" w:eastAsia="微软雅黑" w:cs="微软雅黑"/>
          <w:b/>
          <w:bCs w:val="0"/>
          <w:sz w:val="28"/>
          <w:szCs w:val="28"/>
          <w:lang w:eastAsia="zh-CN"/>
        </w:rPr>
        <w:t>单位</w:t>
      </w:r>
      <w:r>
        <w:rPr>
          <w:rFonts w:hint="eastAsia" w:ascii="微软雅黑" w:hAnsi="微软雅黑" w:eastAsia="微软雅黑" w:cs="微软雅黑"/>
          <w:b/>
          <w:bCs w:val="0"/>
          <w:sz w:val="28"/>
          <w:szCs w:val="28"/>
        </w:rPr>
        <w:t>概况</w:t>
      </w:r>
    </w:p>
    <w:p w14:paraId="6B8BD006">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1E4A0884">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3BDDBD85">
      <w:pPr>
        <w:pStyle w:val="15"/>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6C41FBD6">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FB11C91">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43DE03C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73603A6A">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7716758D">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7AF7B5C2">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4393586C">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1F8AE843">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69613D38">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3ED3977D">
      <w:pPr>
        <w:pStyle w:val="15"/>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4A908813">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26EBCF43">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CF2B9D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54A41664">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4B98B75D">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CD14C87">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3725B3D5">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6AA7BC07">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4770977A">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5C07633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6577A7BB">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29F368A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6B2409B3">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7C48893E">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6419739F">
      <w:pPr>
        <w:pStyle w:val="15"/>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5F97B002">
      <w:pPr>
        <w:pStyle w:val="15"/>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5BB2F7F3">
      <w:pPr>
        <w:pStyle w:val="15"/>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2FC46DA5">
      <w:pPr>
        <w:jc w:val="center"/>
        <w:rPr>
          <w:rFonts w:hint="eastAsia" w:ascii="微软雅黑" w:hAnsi="微软雅黑" w:eastAsia="微软雅黑" w:cs="微软雅黑"/>
          <w:sz w:val="72"/>
          <w:szCs w:val="72"/>
        </w:rPr>
      </w:pPr>
    </w:p>
    <w:p w14:paraId="36B458B7">
      <w:pPr>
        <w:jc w:val="center"/>
        <w:rPr>
          <w:rFonts w:hint="eastAsia" w:ascii="微软雅黑" w:hAnsi="微软雅黑" w:eastAsia="微软雅黑" w:cs="微软雅黑"/>
          <w:sz w:val="72"/>
          <w:szCs w:val="72"/>
        </w:rPr>
      </w:pPr>
    </w:p>
    <w:p w14:paraId="777969A0">
      <w:pPr>
        <w:jc w:val="center"/>
        <w:rPr>
          <w:rFonts w:hint="eastAsia" w:ascii="微软雅黑" w:hAnsi="微软雅黑" w:eastAsia="微软雅黑" w:cs="微软雅黑"/>
          <w:sz w:val="72"/>
          <w:szCs w:val="72"/>
        </w:rPr>
      </w:pPr>
    </w:p>
    <w:p w14:paraId="4CFA0DF8">
      <w:pPr>
        <w:jc w:val="center"/>
        <w:rPr>
          <w:rFonts w:hint="eastAsia" w:ascii="微软雅黑" w:hAnsi="微软雅黑" w:eastAsia="微软雅黑" w:cs="微软雅黑"/>
          <w:sz w:val="72"/>
          <w:szCs w:val="72"/>
        </w:rPr>
      </w:pPr>
    </w:p>
    <w:p w14:paraId="4CA36295">
      <w:pPr>
        <w:pStyle w:val="15"/>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7961878D">
      <w:pPr>
        <w:pStyle w:val="15"/>
        <w:jc w:val="center"/>
        <w:rPr>
          <w:rFonts w:hint="eastAsia" w:ascii="微软雅黑" w:hAnsi="微软雅黑" w:eastAsia="微软雅黑" w:cs="微软雅黑"/>
          <w:b/>
          <w:bCs/>
          <w:sz w:val="84"/>
          <w:szCs w:val="84"/>
        </w:rPr>
      </w:pPr>
    </w:p>
    <w:p w14:paraId="1E8FDE59">
      <w:pPr>
        <w:pStyle w:val="15"/>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岳阳县定点屠宰服务中心</w:t>
      </w:r>
      <w:r>
        <w:rPr>
          <w:rFonts w:hint="eastAsia" w:ascii="微软雅黑" w:hAnsi="微软雅黑" w:eastAsia="微软雅黑" w:cs="微软雅黑"/>
          <w:b/>
          <w:bCs/>
          <w:sz w:val="84"/>
          <w:szCs w:val="84"/>
          <w:lang w:eastAsia="zh-CN"/>
        </w:rPr>
        <w:t>单位</w:t>
      </w:r>
      <w:r>
        <w:rPr>
          <w:rFonts w:hint="eastAsia" w:ascii="微软雅黑" w:hAnsi="微软雅黑" w:eastAsia="微软雅黑" w:cs="微软雅黑"/>
          <w:b/>
          <w:bCs/>
          <w:sz w:val="84"/>
          <w:szCs w:val="84"/>
        </w:rPr>
        <w:t>概况</w:t>
      </w:r>
    </w:p>
    <w:p w14:paraId="47D9426B">
      <w:pPr>
        <w:jc w:val="center"/>
        <w:rPr>
          <w:rFonts w:hint="eastAsia" w:ascii="微软雅黑" w:hAnsi="微软雅黑" w:eastAsia="微软雅黑" w:cs="微软雅黑"/>
          <w:sz w:val="72"/>
          <w:szCs w:val="72"/>
        </w:rPr>
      </w:pPr>
    </w:p>
    <w:p w14:paraId="7AD87A2F">
      <w:pPr>
        <w:jc w:val="center"/>
        <w:rPr>
          <w:rFonts w:hint="eastAsia" w:ascii="微软雅黑" w:hAnsi="微软雅黑" w:eastAsia="微软雅黑" w:cs="微软雅黑"/>
          <w:sz w:val="72"/>
          <w:szCs w:val="72"/>
        </w:rPr>
      </w:pPr>
    </w:p>
    <w:p w14:paraId="76294D65">
      <w:pPr>
        <w:jc w:val="center"/>
        <w:rPr>
          <w:rFonts w:hint="eastAsia" w:ascii="微软雅黑" w:hAnsi="微软雅黑" w:eastAsia="微软雅黑" w:cs="微软雅黑"/>
          <w:sz w:val="72"/>
          <w:szCs w:val="72"/>
        </w:rPr>
      </w:pPr>
    </w:p>
    <w:p w14:paraId="4447D4F4">
      <w:pPr>
        <w:jc w:val="center"/>
        <w:rPr>
          <w:rFonts w:hint="eastAsia" w:ascii="微软雅黑" w:hAnsi="微软雅黑" w:eastAsia="微软雅黑" w:cs="微软雅黑"/>
          <w:sz w:val="72"/>
          <w:szCs w:val="72"/>
        </w:rPr>
      </w:pPr>
    </w:p>
    <w:p w14:paraId="6DD9EF98">
      <w:pPr>
        <w:jc w:val="center"/>
        <w:rPr>
          <w:rFonts w:hint="eastAsia" w:ascii="微软雅黑" w:hAnsi="微软雅黑" w:eastAsia="微软雅黑" w:cs="微软雅黑"/>
          <w:sz w:val="72"/>
          <w:szCs w:val="72"/>
        </w:rPr>
      </w:pPr>
    </w:p>
    <w:p w14:paraId="0B086BA4">
      <w:pPr>
        <w:pStyle w:val="16"/>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5ACC4D78">
      <w:pPr>
        <w:autoSpaceDE w:val="0"/>
        <w:autoSpaceDN w:val="0"/>
        <w:adjustRightInd w:val="0"/>
        <w:spacing w:line="520" w:lineRule="exact"/>
        <w:ind w:firstLine="700"/>
        <w:jc w:val="left"/>
        <w:rPr>
          <w:rFonts w:hint="eastAsia" w:ascii="微软雅黑" w:hAnsi="微软雅黑" w:eastAsia="微软雅黑" w:cs="微软雅黑"/>
          <w:kern w:val="0"/>
          <w:sz w:val="28"/>
          <w:szCs w:val="28"/>
        </w:rPr>
      </w:pPr>
      <w:r>
        <w:rPr>
          <w:rFonts w:hint="eastAsia" w:ascii="微软雅黑" w:hAnsi="微软雅黑" w:eastAsia="微软雅黑" w:cs="微软雅黑"/>
          <w:kern w:val="0"/>
          <w:sz w:val="28"/>
          <w:szCs w:val="28"/>
        </w:rPr>
        <w:t>宣传贯彻国家、省、市、县关于生猪屠宰管理的有关政策、法律法规和条例，落实生猪定点屠宰的各项管理制度和管理办法；负责全县生猪定点屠宰活动的监督管理，依法查处和打击生猪定点屠宰活动的违法违规行为；负责全县生猪定点屠宰厂（场）和小型生猪屠宰点设置的初审及申报；负责全县生猪定点屠宰厂（场、点）病害猪无害化处理的监督管理工作；承办上级主管部门交办的其他事项。</w:t>
      </w:r>
    </w:p>
    <w:p w14:paraId="114AF50B">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05F72C41">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ascii="微软雅黑" w:hAnsi="微软雅黑" w:eastAsia="微软雅黑" w:cs="微软雅黑"/>
          <w:sz w:val="32"/>
        </w:rPr>
      </w:pPr>
      <w:r>
        <w:rPr>
          <w:rFonts w:hint="eastAsia" w:ascii="微软雅黑" w:hAnsi="微软雅黑" w:eastAsia="微软雅黑" w:cs="微软雅黑"/>
          <w:bCs/>
          <w:kern w:val="0"/>
          <w:sz w:val="32"/>
          <w:szCs w:val="32"/>
        </w:rPr>
        <w:t>（一）内设机构设置。</w:t>
      </w:r>
      <w:r>
        <w:rPr>
          <w:rFonts w:ascii="微软雅黑" w:hAnsi="微软雅黑" w:eastAsia="微软雅黑" w:cs="微软雅黑"/>
          <w:sz w:val="32"/>
        </w:rPr>
        <w:t>岳阳县定点屠宰服务中心单位内设机构包括：</w:t>
      </w:r>
      <w:r>
        <w:rPr>
          <w:rFonts w:hint="eastAsia" w:ascii="微软雅黑" w:hAnsi="微软雅黑" w:eastAsia="微软雅黑" w:cs="微软雅黑"/>
          <w:sz w:val="32"/>
          <w:lang w:val="en-US" w:eastAsia="zh-CN"/>
        </w:rPr>
        <w:t>主任室</w:t>
      </w:r>
      <w:r>
        <w:rPr>
          <w:rFonts w:hint="eastAsia" w:ascii="微软雅黑" w:hAnsi="微软雅黑" w:eastAsia="微软雅黑" w:cs="微软雅黑"/>
          <w:sz w:val="32"/>
        </w:rPr>
        <w:t>、副主</w:t>
      </w:r>
      <w:r>
        <w:rPr>
          <w:rFonts w:hint="eastAsia" w:ascii="微软雅黑" w:hAnsi="微软雅黑" w:eastAsia="微软雅黑" w:cs="微软雅黑"/>
          <w:sz w:val="32"/>
          <w:lang w:val="en-US" w:eastAsia="zh-CN"/>
        </w:rPr>
        <w:t>任</w:t>
      </w:r>
      <w:r>
        <w:rPr>
          <w:rFonts w:hint="eastAsia" w:ascii="微软雅黑" w:hAnsi="微软雅黑" w:eastAsia="微软雅黑" w:cs="微软雅黑"/>
          <w:sz w:val="32"/>
        </w:rPr>
        <w:t>室、办公室、</w:t>
      </w:r>
      <w:r>
        <w:rPr>
          <w:rFonts w:hint="eastAsia" w:ascii="微软雅黑" w:hAnsi="微软雅黑" w:eastAsia="微软雅黑" w:cs="微软雅黑"/>
          <w:sz w:val="32"/>
          <w:lang w:eastAsia="zh-CN"/>
        </w:rPr>
        <w:t>屠宰管理股、</w:t>
      </w:r>
      <w:r>
        <w:rPr>
          <w:rFonts w:hint="eastAsia" w:ascii="微软雅黑" w:hAnsi="微软雅黑" w:eastAsia="微软雅黑" w:cs="微软雅黑"/>
          <w:sz w:val="32"/>
        </w:rPr>
        <w:t>财务室。</w:t>
      </w:r>
    </w:p>
    <w:p w14:paraId="211D5AE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sz w:val="84"/>
          <w:szCs w:val="84"/>
        </w:rPr>
      </w:pPr>
      <w:r>
        <w:rPr>
          <w:rFonts w:hint="eastAsia" w:ascii="微软雅黑" w:hAnsi="微软雅黑" w:eastAsia="微软雅黑" w:cs="微软雅黑"/>
          <w:bCs/>
          <w:kern w:val="0"/>
          <w:sz w:val="32"/>
          <w:szCs w:val="32"/>
        </w:rPr>
        <w:t>（二）决算单位构成。</w:t>
      </w:r>
      <w:r>
        <w:rPr>
          <w:rFonts w:ascii="微软雅黑" w:hAnsi="微软雅黑" w:eastAsia="微软雅黑" w:cs="微软雅黑"/>
          <w:sz w:val="32"/>
        </w:rPr>
        <w:t>岳阳县定点屠宰服务中心单位</w:t>
      </w:r>
      <w:r>
        <w:rPr>
          <w:rFonts w:hint="eastAsia" w:ascii="微软雅黑" w:hAnsi="微软雅黑" w:eastAsia="微软雅黑" w:cs="微软雅黑"/>
          <w:bCs/>
          <w:kern w:val="0"/>
          <w:sz w:val="32"/>
          <w:szCs w:val="32"/>
          <w:lang w:eastAsia="zh-CN"/>
        </w:rPr>
        <w:t>2023</w:t>
      </w:r>
      <w:r>
        <w:rPr>
          <w:rFonts w:hint="eastAsia" w:ascii="微软雅黑" w:hAnsi="微软雅黑" w:eastAsia="微软雅黑" w:cs="微软雅黑"/>
          <w:bCs/>
          <w:kern w:val="0"/>
          <w:sz w:val="32"/>
          <w:szCs w:val="32"/>
        </w:rPr>
        <w:t>年部门决算汇总公开单位构成包括：</w:t>
      </w:r>
      <w:r>
        <w:rPr>
          <w:rFonts w:ascii="微软雅黑" w:hAnsi="微软雅黑" w:eastAsia="微软雅黑" w:cs="微软雅黑"/>
          <w:sz w:val="32"/>
        </w:rPr>
        <w:t>岳阳县定点屠宰服务中心单位本级</w:t>
      </w:r>
      <w:r>
        <w:rPr>
          <w:rFonts w:hint="eastAsia" w:ascii="微软雅黑" w:hAnsi="微软雅黑" w:eastAsia="微软雅黑" w:cs="微软雅黑"/>
          <w:sz w:val="32"/>
          <w:lang w:val="en-US" w:eastAsia="zh-CN"/>
        </w:rPr>
        <w:t>,</w:t>
      </w:r>
      <w:r>
        <w:rPr>
          <w:rFonts w:hint="eastAsia" w:ascii="微软雅黑" w:hAnsi="微软雅黑" w:eastAsia="微软雅黑" w:cs="微软雅黑"/>
          <w:sz w:val="32"/>
        </w:rPr>
        <w:t>我单位没有独立预算和独立核算的下属二级预算单位。</w:t>
      </w:r>
    </w:p>
    <w:p w14:paraId="2E9CC0BC">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71C6A6F6">
      <w:pPr>
        <w:pStyle w:val="15"/>
        <w:jc w:val="center"/>
        <w:rPr>
          <w:rFonts w:hint="eastAsia" w:ascii="微软雅黑" w:hAnsi="微软雅黑" w:eastAsia="微软雅黑" w:cs="微软雅黑"/>
          <w:b/>
          <w:bCs/>
          <w:sz w:val="72"/>
          <w:szCs w:val="72"/>
        </w:rPr>
      </w:pPr>
    </w:p>
    <w:p w14:paraId="4DD7979B">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3969EB15">
      <w:pPr>
        <w:jc w:val="center"/>
        <w:rPr>
          <w:rFonts w:hint="eastAsia" w:ascii="微软雅黑" w:hAnsi="微软雅黑" w:eastAsia="微软雅黑" w:cs="微软雅黑"/>
          <w:b/>
          <w:bCs/>
          <w:sz w:val="72"/>
          <w:szCs w:val="72"/>
          <w:lang w:eastAsia="zh-CN"/>
        </w:rPr>
        <w:sectPr>
          <w:pgSz w:w="11906" w:h="16838"/>
          <w:pgMar w:top="1440" w:right="1080" w:bottom="1440" w:left="1080" w:header="851" w:footer="992" w:gutter="0"/>
          <w:cols w:space="720" w:num="1"/>
          <w:docGrid w:type="linesAndChars" w:linePitch="312" w:charSpace="0"/>
        </w:sectPr>
      </w:pPr>
      <w:r>
        <w:rPr>
          <w:rFonts w:hint="eastAsia" w:ascii="微软雅黑" w:hAnsi="微软雅黑" w:eastAsia="微软雅黑" w:cs="微软雅黑"/>
          <w:b/>
          <w:bCs/>
          <w:sz w:val="72"/>
          <w:szCs w:val="72"/>
          <w:lang w:eastAsia="zh-CN"/>
        </w:rPr>
        <w:t>（见附件）</w:t>
      </w:r>
    </w:p>
    <w:p w14:paraId="37919ACA">
      <w:pPr>
        <w:pStyle w:val="15"/>
        <w:jc w:val="center"/>
        <w:rPr>
          <w:rFonts w:hint="eastAsia" w:ascii="微软雅黑" w:hAnsi="微软雅黑" w:eastAsia="微软雅黑" w:cs="微软雅黑"/>
          <w:sz w:val="72"/>
          <w:szCs w:val="72"/>
        </w:rPr>
      </w:pPr>
    </w:p>
    <w:p w14:paraId="6EE3261E">
      <w:pPr>
        <w:pStyle w:val="15"/>
        <w:jc w:val="center"/>
        <w:rPr>
          <w:rFonts w:hint="eastAsia" w:ascii="微软雅黑" w:hAnsi="微软雅黑" w:eastAsia="微软雅黑" w:cs="微软雅黑"/>
          <w:sz w:val="72"/>
          <w:szCs w:val="72"/>
        </w:rPr>
      </w:pPr>
    </w:p>
    <w:p w14:paraId="6B377609">
      <w:pPr>
        <w:pStyle w:val="15"/>
        <w:jc w:val="center"/>
        <w:rPr>
          <w:rFonts w:hint="eastAsia" w:ascii="微软雅黑" w:hAnsi="微软雅黑" w:eastAsia="微软雅黑" w:cs="微软雅黑"/>
          <w:sz w:val="72"/>
          <w:szCs w:val="72"/>
        </w:rPr>
      </w:pPr>
    </w:p>
    <w:p w14:paraId="7BCA4D15">
      <w:pPr>
        <w:pStyle w:val="15"/>
        <w:jc w:val="center"/>
        <w:rPr>
          <w:rFonts w:hint="eastAsia" w:ascii="微软雅黑" w:hAnsi="微软雅黑" w:eastAsia="微软雅黑" w:cs="微软雅黑"/>
          <w:sz w:val="72"/>
          <w:szCs w:val="72"/>
        </w:rPr>
      </w:pPr>
    </w:p>
    <w:p w14:paraId="34298593">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19CF1068">
      <w:pPr>
        <w:pStyle w:val="15"/>
        <w:jc w:val="center"/>
        <w:rPr>
          <w:rFonts w:hint="eastAsia" w:ascii="微软雅黑" w:hAnsi="微软雅黑" w:eastAsia="微软雅黑" w:cs="微软雅黑"/>
          <w:b/>
          <w:bCs/>
          <w:sz w:val="70"/>
          <w:szCs w:val="70"/>
        </w:rPr>
      </w:pPr>
    </w:p>
    <w:p w14:paraId="21D68A52">
      <w:pPr>
        <w:pStyle w:val="15"/>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3D29AA9B">
      <w:pPr>
        <w:pStyle w:val="15"/>
        <w:jc w:val="center"/>
        <w:rPr>
          <w:rFonts w:hint="eastAsia" w:ascii="微软雅黑" w:hAnsi="微软雅黑" w:eastAsia="微软雅黑" w:cs="微软雅黑"/>
          <w:sz w:val="70"/>
          <w:szCs w:val="70"/>
        </w:rPr>
      </w:pPr>
    </w:p>
    <w:p w14:paraId="04EFEB4F">
      <w:pPr>
        <w:pStyle w:val="15"/>
        <w:jc w:val="center"/>
        <w:rPr>
          <w:rFonts w:hint="eastAsia" w:ascii="微软雅黑" w:hAnsi="微软雅黑" w:eastAsia="微软雅黑" w:cs="微软雅黑"/>
          <w:sz w:val="70"/>
          <w:szCs w:val="70"/>
        </w:rPr>
      </w:pPr>
    </w:p>
    <w:p w14:paraId="790C7B73">
      <w:pPr>
        <w:pStyle w:val="15"/>
        <w:jc w:val="center"/>
        <w:rPr>
          <w:rFonts w:hint="eastAsia" w:ascii="微软雅黑" w:hAnsi="微软雅黑" w:eastAsia="微软雅黑" w:cs="微软雅黑"/>
          <w:sz w:val="70"/>
          <w:szCs w:val="70"/>
        </w:rPr>
      </w:pPr>
    </w:p>
    <w:p w14:paraId="726F1D2C">
      <w:pPr>
        <w:pStyle w:val="15"/>
        <w:jc w:val="center"/>
        <w:rPr>
          <w:rFonts w:hint="eastAsia" w:ascii="微软雅黑" w:hAnsi="微软雅黑" w:eastAsia="微软雅黑" w:cs="微软雅黑"/>
          <w:sz w:val="70"/>
          <w:szCs w:val="70"/>
        </w:rPr>
      </w:pPr>
    </w:p>
    <w:p w14:paraId="2BC3625A">
      <w:pPr>
        <w:pStyle w:val="15"/>
        <w:jc w:val="center"/>
        <w:rPr>
          <w:rFonts w:hint="eastAsia" w:ascii="微软雅黑" w:hAnsi="微软雅黑" w:eastAsia="微软雅黑" w:cs="微软雅黑"/>
          <w:sz w:val="70"/>
          <w:szCs w:val="70"/>
        </w:rPr>
      </w:pPr>
    </w:p>
    <w:p w14:paraId="60D243E4">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6F2D2A28">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lang w:val="zh-CN"/>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230.67万元。与上年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减少143.33</w:t>
      </w:r>
      <w:r>
        <w:rPr>
          <w:rFonts w:ascii="微软雅黑" w:hAnsi="微软雅黑" w:eastAsia="微软雅黑" w:cs="微软雅黑"/>
          <w:sz w:val="32"/>
        </w:rPr>
        <w:t>万元，减少38.32%，主要是因为</w:t>
      </w:r>
      <w:r>
        <w:rPr>
          <w:rFonts w:hint="eastAsia" w:ascii="微软雅黑" w:hAnsi="微软雅黑" w:eastAsia="微软雅黑" w:cs="微软雅黑"/>
          <w:sz w:val="32"/>
          <w:lang w:val="zh-CN"/>
        </w:rPr>
        <w:t>屠宰无害化处理项目未完工，部分项目资金结转下年度支付。</w:t>
      </w:r>
    </w:p>
    <w:p w14:paraId="5C7ED746">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43278E1C">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230.67</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146.52万元，占63.52</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84.15万元，占</w:t>
      </w:r>
      <w:r>
        <w:rPr>
          <w:rFonts w:hint="eastAsia" w:ascii="微软雅黑" w:hAnsi="微软雅黑" w:eastAsia="微软雅黑" w:cs="微软雅黑"/>
          <w:sz w:val="32"/>
          <w:szCs w:val="32"/>
          <w:lang w:val="en-US" w:eastAsia="zh-CN"/>
        </w:rPr>
        <w:t>36.48</w:t>
      </w:r>
      <w:r>
        <w:rPr>
          <w:rFonts w:hint="eastAsia" w:ascii="微软雅黑" w:hAnsi="微软雅黑" w:eastAsia="微软雅黑" w:cs="微软雅黑"/>
          <w:sz w:val="32"/>
          <w:szCs w:val="32"/>
          <w:lang w:eastAsia="zh-CN"/>
        </w:rPr>
        <w:t>%。</w:t>
      </w:r>
    </w:p>
    <w:p w14:paraId="4280C89E">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1A4D88A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年度支出合计173.95万元，其中：基本支出137.05万元，占78.79%；项目支出36.89万元，占21.21%；上缴上级支出0.00万元，占0.00%；经营支出0.00万元，占0.00%；对附属单位补助支出0.00万元，占0.00%。</w:t>
      </w:r>
    </w:p>
    <w:p w14:paraId="292AB978">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280DFA05">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年度财政拨款收、支总计146.52万元，与上年相比，减少132.01万元,减少47.40%，主要是因为</w:t>
      </w:r>
      <w:r>
        <w:rPr>
          <w:rFonts w:hint="eastAsia" w:ascii="微软雅黑" w:hAnsi="微软雅黑" w:eastAsia="微软雅黑" w:cs="微软雅黑"/>
          <w:sz w:val="32"/>
          <w:lang w:val="zh-CN"/>
        </w:rPr>
        <w:t>屠宰无害化处理项目未完工，部分项目资金结转下年度支付。</w:t>
      </w:r>
    </w:p>
    <w:p w14:paraId="0A986A7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AFEC537">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76464A67">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年度财政拨款支出146.52万元，占本年支出合计的84.23</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减少132.01万元，减少47.40%，主要是因为</w:t>
      </w:r>
      <w:r>
        <w:rPr>
          <w:rFonts w:hint="eastAsia" w:ascii="微软雅黑" w:hAnsi="微软雅黑" w:eastAsia="微软雅黑" w:cs="微软雅黑"/>
          <w:sz w:val="32"/>
          <w:lang w:val="zh-CN"/>
        </w:rPr>
        <w:t>屠宰无害化处理项目未完工，项目资金结转下年度支付。</w:t>
      </w:r>
    </w:p>
    <w:p w14:paraId="33F9D32B">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36A1B371">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年度财政拨款支出146.52万元，主要用于以下方面：</w:t>
      </w:r>
      <w:r>
        <w:rPr>
          <w:rFonts w:hint="eastAsia" w:ascii="微软雅黑" w:hAnsi="微软雅黑" w:eastAsia="微软雅黑" w:cs="微软雅黑"/>
          <w:sz w:val="32"/>
        </w:rPr>
        <w:t>社会保障和就业支出19.97</w:t>
      </w:r>
      <w:r>
        <w:rPr>
          <w:rFonts w:hint="eastAsia" w:ascii="微软雅黑" w:hAnsi="微软雅黑" w:eastAsia="微软雅黑" w:cs="微软雅黑"/>
          <w:sz w:val="32"/>
          <w:szCs w:val="32"/>
          <w:lang w:eastAsia="zh-CN"/>
        </w:rPr>
        <w:t>万元，占</w:t>
      </w:r>
      <w:r>
        <w:rPr>
          <w:rFonts w:hint="eastAsia" w:ascii="微软雅黑" w:hAnsi="微软雅黑" w:eastAsia="微软雅黑" w:cs="微软雅黑"/>
          <w:sz w:val="32"/>
        </w:rPr>
        <w:t>13.63</w:t>
      </w:r>
      <w:r>
        <w:rPr>
          <w:rFonts w:hint="eastAsia" w:ascii="微软雅黑" w:hAnsi="微软雅黑" w:eastAsia="微软雅黑" w:cs="微软雅黑"/>
          <w:sz w:val="32"/>
          <w:szCs w:val="32"/>
          <w:lang w:eastAsia="zh-CN"/>
        </w:rPr>
        <w:t>%；卫生健康支出</w:t>
      </w:r>
      <w:r>
        <w:rPr>
          <w:rFonts w:hint="eastAsia" w:ascii="微软雅黑" w:hAnsi="微软雅黑" w:eastAsia="微软雅黑" w:cs="微软雅黑"/>
          <w:sz w:val="32"/>
        </w:rPr>
        <w:t>4.92</w:t>
      </w:r>
      <w:r>
        <w:rPr>
          <w:rFonts w:hint="eastAsia" w:ascii="微软雅黑" w:hAnsi="微软雅黑" w:eastAsia="微软雅黑" w:cs="微软雅黑"/>
          <w:sz w:val="32"/>
          <w:szCs w:val="32"/>
          <w:lang w:eastAsia="zh-CN"/>
        </w:rPr>
        <w:t>万元，占</w:t>
      </w:r>
      <w:r>
        <w:rPr>
          <w:rFonts w:hint="eastAsia" w:ascii="微软雅黑" w:hAnsi="微软雅黑" w:eastAsia="微软雅黑" w:cs="微软雅黑"/>
          <w:sz w:val="32"/>
        </w:rPr>
        <w:t>3.36%</w:t>
      </w:r>
      <w:r>
        <w:rPr>
          <w:rFonts w:hint="eastAsia" w:ascii="微软雅黑" w:hAnsi="微软雅黑" w:eastAsia="微软雅黑" w:cs="微软雅黑"/>
          <w:sz w:val="32"/>
          <w:szCs w:val="32"/>
          <w:lang w:eastAsia="zh-CN"/>
        </w:rPr>
        <w:t>;农林水支出114.15万元；占77.91%；住房保障支出7.49万元，占5.11%。</w:t>
      </w:r>
    </w:p>
    <w:p w14:paraId="65989BBA">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4F6702F3">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年度财政拨款支出年初预算数为226.93万元，支出决算数为</w:t>
      </w:r>
      <w:r>
        <w:rPr>
          <w:rFonts w:hint="eastAsia" w:ascii="微软雅黑" w:hAnsi="微软雅黑" w:eastAsia="微软雅黑" w:cs="微软雅黑"/>
          <w:sz w:val="32"/>
        </w:rPr>
        <w:t>146.52</w:t>
      </w:r>
      <w:r>
        <w:rPr>
          <w:rFonts w:hint="eastAsia" w:ascii="微软雅黑" w:hAnsi="微软雅黑" w:eastAsia="微软雅黑" w:cs="微软雅黑"/>
          <w:sz w:val="32"/>
          <w:szCs w:val="32"/>
          <w:lang w:eastAsia="zh-CN"/>
        </w:rPr>
        <w:t>万元，完成年初预算的</w:t>
      </w:r>
      <w:r>
        <w:rPr>
          <w:rFonts w:hint="eastAsia" w:ascii="微软雅黑" w:hAnsi="微软雅黑" w:eastAsia="微软雅黑" w:cs="微软雅黑"/>
          <w:sz w:val="32"/>
          <w:lang w:val="en-US" w:eastAsia="zh-CN"/>
        </w:rPr>
        <w:t>64.57</w:t>
      </w:r>
      <w:r>
        <w:rPr>
          <w:rFonts w:hint="eastAsia" w:ascii="微软雅黑" w:hAnsi="微软雅黑" w:eastAsia="微软雅黑" w:cs="微软雅黑"/>
          <w:sz w:val="32"/>
          <w:szCs w:val="32"/>
          <w:lang w:eastAsia="zh-CN"/>
        </w:rPr>
        <w:t>%，其中：</w:t>
      </w:r>
    </w:p>
    <w:p w14:paraId="1EB125C9">
      <w:pPr>
        <w:numPr>
          <w:ilvl w:val="0"/>
          <w:numId w:val="1"/>
        </w:numPr>
        <w:autoSpaceDE w:val="0"/>
        <w:autoSpaceDN w:val="0"/>
        <w:adjustRightInd w:val="0"/>
        <w:ind w:firstLine="640"/>
        <w:rPr>
          <w:rFonts w:hint="eastAsia" w:ascii="微软雅黑" w:hAnsi="微软雅黑" w:eastAsia="微软雅黑" w:cs="微软雅黑"/>
          <w:sz w:val="28"/>
          <w:szCs w:val="28"/>
        </w:rPr>
      </w:pPr>
      <w:r>
        <w:rPr>
          <w:rFonts w:hint="eastAsia" w:ascii="微软雅黑" w:hAnsi="微软雅黑" w:eastAsia="微软雅黑" w:cs="微软雅黑"/>
          <w:sz w:val="28"/>
          <w:szCs w:val="28"/>
        </w:rPr>
        <w:t>社会保障和就业支出（类）行政事业单位养老支出（款）机关事业单位基本养老保险缴费支出（项）</w:t>
      </w:r>
    </w:p>
    <w:p w14:paraId="71174C96">
      <w:pPr>
        <w:numPr>
          <w:ilvl w:val="0"/>
          <w:numId w:val="0"/>
        </w:numPr>
        <w:autoSpaceDE w:val="0"/>
        <w:autoSpaceDN w:val="0"/>
        <w:adjustRightInd w:val="0"/>
        <w:ind w:firstLine="560" w:firstLineChars="200"/>
        <w:rPr>
          <w:rFonts w:hint="eastAsia" w:ascii="微软雅黑" w:hAnsi="微软雅黑" w:eastAsia="微软雅黑" w:cs="微软雅黑"/>
          <w:sz w:val="28"/>
          <w:szCs w:val="28"/>
        </w:rPr>
      </w:pPr>
      <w:r>
        <w:rPr>
          <w:rFonts w:hint="eastAsia" w:ascii="微软雅黑" w:hAnsi="微软雅黑" w:eastAsia="微软雅黑" w:cs="微软雅黑"/>
          <w:sz w:val="28"/>
          <w:szCs w:val="28"/>
        </w:rPr>
        <w:t>年初预算为10.39万元，支出决算为9.62万元，完成年初预算的</w:t>
      </w:r>
      <w:r>
        <w:rPr>
          <w:rFonts w:hint="eastAsia" w:ascii="微软雅黑" w:hAnsi="微软雅黑" w:eastAsia="微软雅黑" w:cs="微软雅黑"/>
          <w:sz w:val="28"/>
          <w:szCs w:val="28"/>
          <w:lang w:val="en-US" w:eastAsia="zh-CN"/>
        </w:rPr>
        <w:t>92.59</w:t>
      </w:r>
      <w:r>
        <w:rPr>
          <w:rFonts w:hint="eastAsia" w:ascii="微软雅黑" w:hAnsi="微软雅黑" w:eastAsia="微软雅黑" w:cs="微软雅黑"/>
          <w:sz w:val="28"/>
          <w:szCs w:val="28"/>
        </w:rPr>
        <w:t>%。决算数</w:t>
      </w:r>
      <w:r>
        <w:rPr>
          <w:rFonts w:hint="eastAsia" w:ascii="微软雅黑" w:hAnsi="微软雅黑" w:eastAsia="微软雅黑" w:cs="微软雅黑"/>
          <w:sz w:val="28"/>
          <w:szCs w:val="28"/>
          <w:lang w:eastAsia="zh-CN"/>
        </w:rPr>
        <w:t>小于</w:t>
      </w:r>
      <w:r>
        <w:rPr>
          <w:rFonts w:hint="eastAsia" w:ascii="微软雅黑" w:hAnsi="微软雅黑" w:eastAsia="微软雅黑" w:cs="微软雅黑"/>
          <w:sz w:val="28"/>
          <w:szCs w:val="28"/>
        </w:rPr>
        <w:t>预算数的主要原因是我单位</w:t>
      </w:r>
      <w:r>
        <w:rPr>
          <w:rFonts w:hint="eastAsia" w:ascii="微软雅黑" w:hAnsi="微软雅黑" w:eastAsia="微软雅黑" w:cs="微软雅黑"/>
          <w:sz w:val="28"/>
          <w:szCs w:val="28"/>
          <w:lang w:eastAsia="zh-CN"/>
        </w:rPr>
        <w:t>部分社保缴费支出跨年支付</w:t>
      </w:r>
      <w:r>
        <w:rPr>
          <w:rFonts w:hint="eastAsia" w:ascii="微软雅黑" w:hAnsi="微软雅黑" w:eastAsia="微软雅黑" w:cs="微软雅黑"/>
          <w:sz w:val="28"/>
          <w:szCs w:val="28"/>
        </w:rPr>
        <w:t>。</w:t>
      </w:r>
    </w:p>
    <w:p w14:paraId="0448C73F">
      <w:pPr>
        <w:numPr>
          <w:ilvl w:val="0"/>
          <w:numId w:val="1"/>
        </w:numPr>
        <w:autoSpaceDE w:val="0"/>
        <w:autoSpaceDN w:val="0"/>
        <w:adjustRightInd w:val="0"/>
        <w:ind w:left="0" w:leftChars="0" w:firstLine="64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rPr>
        <w:t>社会保障和就业支出（类）</w:t>
      </w:r>
      <w:r>
        <w:rPr>
          <w:rFonts w:hint="eastAsia" w:ascii="微软雅黑" w:hAnsi="微软雅黑" w:eastAsia="微软雅黑" w:cs="微软雅黑"/>
          <w:sz w:val="28"/>
          <w:szCs w:val="28"/>
          <w:lang w:val="en-US" w:eastAsia="zh-CN"/>
        </w:rPr>
        <w:t>抚恤</w:t>
      </w:r>
      <w:r>
        <w:rPr>
          <w:rFonts w:hint="eastAsia" w:ascii="微软雅黑" w:hAnsi="微软雅黑" w:eastAsia="微软雅黑" w:cs="微软雅黑"/>
          <w:sz w:val="28"/>
          <w:szCs w:val="28"/>
        </w:rPr>
        <w:t>（款）</w:t>
      </w:r>
      <w:r>
        <w:rPr>
          <w:rFonts w:hint="eastAsia" w:ascii="微软雅黑" w:hAnsi="微软雅黑" w:eastAsia="微软雅黑" w:cs="微软雅黑"/>
          <w:sz w:val="28"/>
          <w:szCs w:val="28"/>
          <w:lang w:val="en-US" w:eastAsia="zh-CN"/>
        </w:rPr>
        <w:t>死亡抚恤</w:t>
      </w:r>
      <w:r>
        <w:rPr>
          <w:rFonts w:hint="eastAsia" w:ascii="微软雅黑" w:hAnsi="微软雅黑" w:eastAsia="微软雅黑" w:cs="微软雅黑"/>
          <w:sz w:val="28"/>
          <w:szCs w:val="28"/>
        </w:rPr>
        <w:t>（项）</w:t>
      </w:r>
    </w:p>
    <w:p w14:paraId="1181E469">
      <w:pPr>
        <w:numPr>
          <w:ilvl w:val="0"/>
          <w:numId w:val="0"/>
        </w:numPr>
        <w:autoSpaceDE w:val="0"/>
        <w:autoSpaceDN w:val="0"/>
        <w:adjustRightInd w:val="0"/>
        <w:ind w:left="640" w:leftChars="0"/>
        <w:rPr>
          <w:rFonts w:hint="eastAsia" w:ascii="微软雅黑" w:hAnsi="微软雅黑" w:eastAsia="微软雅黑" w:cs="微软雅黑"/>
          <w:sz w:val="28"/>
          <w:szCs w:val="28"/>
        </w:rPr>
      </w:pPr>
      <w:r>
        <w:rPr>
          <w:rFonts w:hint="eastAsia" w:ascii="微软雅黑" w:hAnsi="微软雅黑" w:eastAsia="微软雅黑" w:cs="微软雅黑"/>
          <w:sz w:val="28"/>
          <w:szCs w:val="28"/>
        </w:rPr>
        <w:t>年初预算为</w:t>
      </w:r>
      <w:r>
        <w:rPr>
          <w:rFonts w:hint="eastAsia" w:ascii="微软雅黑" w:hAnsi="微软雅黑" w:eastAsia="微软雅黑" w:cs="微软雅黑"/>
          <w:sz w:val="28"/>
          <w:szCs w:val="28"/>
          <w:lang w:val="en-US" w:eastAsia="zh-CN"/>
        </w:rPr>
        <w:t>0</w:t>
      </w:r>
      <w:r>
        <w:rPr>
          <w:rFonts w:hint="eastAsia" w:ascii="微软雅黑" w:hAnsi="微软雅黑" w:eastAsia="微软雅黑" w:cs="微软雅黑"/>
          <w:sz w:val="28"/>
          <w:szCs w:val="28"/>
        </w:rPr>
        <w:t>万元，支出决算为9.67万元，</w:t>
      </w:r>
      <w:r>
        <w:rPr>
          <w:rFonts w:hint="eastAsia" w:ascii="微软雅黑" w:hAnsi="微软雅黑" w:eastAsia="微软雅黑" w:cs="微软雅黑"/>
          <w:sz w:val="28"/>
          <w:szCs w:val="28"/>
          <w:lang w:eastAsia="zh-CN"/>
        </w:rPr>
        <w:t>因年初预算为零，无法计算完成比率</w:t>
      </w:r>
      <w:r>
        <w:rPr>
          <w:rFonts w:hint="eastAsia" w:ascii="微软雅黑" w:hAnsi="微软雅黑" w:eastAsia="微软雅黑" w:cs="微软雅黑"/>
          <w:sz w:val="28"/>
          <w:szCs w:val="28"/>
        </w:rPr>
        <w:t>。决算数</w:t>
      </w:r>
      <w:r>
        <w:rPr>
          <w:rFonts w:hint="eastAsia" w:ascii="微软雅黑" w:hAnsi="微软雅黑" w:eastAsia="微软雅黑" w:cs="微软雅黑"/>
          <w:sz w:val="28"/>
          <w:szCs w:val="28"/>
          <w:lang w:eastAsia="zh-CN"/>
        </w:rPr>
        <w:t>大</w:t>
      </w:r>
      <w:r>
        <w:rPr>
          <w:rFonts w:hint="eastAsia" w:ascii="微软雅黑" w:hAnsi="微软雅黑" w:eastAsia="微软雅黑" w:cs="微软雅黑"/>
          <w:sz w:val="28"/>
          <w:szCs w:val="28"/>
        </w:rPr>
        <w:t>于预算数的主要原因是财政年中根据我单位</w:t>
      </w:r>
      <w:r>
        <w:rPr>
          <w:rFonts w:hint="eastAsia" w:ascii="微软雅黑" w:hAnsi="微软雅黑" w:eastAsia="微软雅黑" w:cs="微软雅黑"/>
          <w:sz w:val="28"/>
          <w:szCs w:val="28"/>
          <w:lang w:eastAsia="zh-CN"/>
        </w:rPr>
        <w:t>人员变动</w:t>
      </w:r>
      <w:r>
        <w:rPr>
          <w:rFonts w:hint="eastAsia" w:ascii="微软雅黑" w:hAnsi="微软雅黑" w:eastAsia="微软雅黑" w:cs="微软雅黑"/>
          <w:sz w:val="28"/>
          <w:szCs w:val="28"/>
        </w:rPr>
        <w:t>情况追加了部分预算指标。</w:t>
      </w:r>
    </w:p>
    <w:p w14:paraId="0E093C50">
      <w:pPr>
        <w:numPr>
          <w:ilvl w:val="0"/>
          <w:numId w:val="1"/>
        </w:numPr>
        <w:autoSpaceDE w:val="0"/>
        <w:autoSpaceDN w:val="0"/>
        <w:adjustRightInd w:val="0"/>
        <w:ind w:left="0" w:leftChars="0" w:firstLine="640" w:firstLineChars="0"/>
        <w:rPr>
          <w:rFonts w:hint="eastAsia" w:ascii="微软雅黑" w:hAnsi="微软雅黑" w:eastAsia="微软雅黑" w:cs="微软雅黑"/>
          <w:sz w:val="28"/>
          <w:szCs w:val="28"/>
        </w:rPr>
      </w:pPr>
      <w:r>
        <w:rPr>
          <w:rFonts w:hint="eastAsia" w:ascii="微软雅黑" w:hAnsi="微软雅黑" w:eastAsia="微软雅黑" w:cs="微软雅黑"/>
          <w:sz w:val="28"/>
          <w:szCs w:val="28"/>
        </w:rPr>
        <w:t>社会保障和就业支出（类）其他社会保障和就业支出（款）其他社会保障和就业支出（项）</w:t>
      </w:r>
    </w:p>
    <w:p w14:paraId="3E313740">
      <w:pPr>
        <w:numPr>
          <w:ilvl w:val="0"/>
          <w:numId w:val="0"/>
        </w:numPr>
        <w:autoSpaceDE w:val="0"/>
        <w:autoSpaceDN w:val="0"/>
        <w:adjustRightInd w:val="0"/>
        <w:ind w:left="640" w:leftChars="0"/>
        <w:rPr>
          <w:rFonts w:hint="eastAsia" w:ascii="微软雅黑" w:hAnsi="微软雅黑" w:eastAsia="微软雅黑" w:cs="微软雅黑"/>
          <w:sz w:val="28"/>
          <w:szCs w:val="28"/>
        </w:rPr>
      </w:pPr>
      <w:r>
        <w:rPr>
          <w:rFonts w:hint="eastAsia" w:ascii="微软雅黑" w:hAnsi="微软雅黑" w:eastAsia="微软雅黑" w:cs="微软雅黑"/>
          <w:sz w:val="28"/>
          <w:szCs w:val="28"/>
        </w:rPr>
        <w:t>年初预算为0.65万元，支出决算为0.68万元，完成年初预算的</w:t>
      </w:r>
      <w:r>
        <w:rPr>
          <w:rFonts w:hint="eastAsia" w:ascii="微软雅黑" w:hAnsi="微软雅黑" w:eastAsia="微软雅黑" w:cs="微软雅黑"/>
          <w:sz w:val="28"/>
          <w:szCs w:val="28"/>
          <w:lang w:val="en-US" w:eastAsia="zh-CN"/>
        </w:rPr>
        <w:t>104.62</w:t>
      </w:r>
      <w:r>
        <w:rPr>
          <w:rFonts w:hint="eastAsia" w:ascii="微软雅黑" w:hAnsi="微软雅黑" w:eastAsia="微软雅黑" w:cs="微软雅黑"/>
          <w:sz w:val="28"/>
          <w:szCs w:val="28"/>
        </w:rPr>
        <w:t>%。 决算数</w:t>
      </w:r>
      <w:r>
        <w:rPr>
          <w:rFonts w:hint="eastAsia" w:ascii="微软雅黑" w:hAnsi="微软雅黑" w:eastAsia="微软雅黑" w:cs="微软雅黑"/>
          <w:sz w:val="28"/>
          <w:szCs w:val="28"/>
          <w:lang w:eastAsia="zh-CN"/>
        </w:rPr>
        <w:t>大</w:t>
      </w:r>
      <w:r>
        <w:rPr>
          <w:rFonts w:hint="eastAsia" w:ascii="微软雅黑" w:hAnsi="微软雅黑" w:eastAsia="微软雅黑" w:cs="微软雅黑"/>
          <w:sz w:val="28"/>
          <w:szCs w:val="28"/>
        </w:rPr>
        <w:t>于预算数的主要原因是</w:t>
      </w:r>
      <w:r>
        <w:rPr>
          <w:rFonts w:hint="eastAsia" w:ascii="微软雅黑" w:hAnsi="微软雅黑" w:eastAsia="微软雅黑" w:cs="微软雅黑"/>
          <w:sz w:val="28"/>
          <w:szCs w:val="28"/>
          <w:lang w:eastAsia="zh-CN"/>
        </w:rPr>
        <w:t>上年结转该科目</w:t>
      </w:r>
      <w:r>
        <w:rPr>
          <w:rFonts w:hint="eastAsia" w:ascii="微软雅黑" w:hAnsi="微软雅黑" w:eastAsia="微软雅黑" w:cs="微软雅黑"/>
          <w:sz w:val="28"/>
          <w:szCs w:val="28"/>
        </w:rPr>
        <w:t>预算指标</w:t>
      </w:r>
      <w:r>
        <w:rPr>
          <w:rFonts w:hint="eastAsia" w:ascii="微软雅黑" w:hAnsi="微软雅黑" w:eastAsia="微软雅黑" w:cs="微软雅黑"/>
          <w:sz w:val="28"/>
          <w:szCs w:val="28"/>
          <w:lang w:eastAsia="zh-CN"/>
        </w:rPr>
        <w:t>尾数在本年度支付列支</w:t>
      </w:r>
      <w:r>
        <w:rPr>
          <w:rFonts w:hint="eastAsia" w:ascii="微软雅黑" w:hAnsi="微软雅黑" w:eastAsia="微软雅黑" w:cs="微软雅黑"/>
          <w:sz w:val="28"/>
          <w:szCs w:val="28"/>
        </w:rPr>
        <w:t xml:space="preserve">。 </w:t>
      </w:r>
    </w:p>
    <w:p w14:paraId="1DD671DE">
      <w:pPr>
        <w:autoSpaceDE w:val="0"/>
        <w:autoSpaceDN w:val="0"/>
        <w:adjustRightInd w:val="0"/>
        <w:ind w:firstLine="640"/>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4、</w:t>
      </w:r>
      <w:r>
        <w:rPr>
          <w:rFonts w:hint="eastAsia" w:ascii="微软雅黑" w:hAnsi="微软雅黑" w:eastAsia="微软雅黑" w:cs="微软雅黑"/>
          <w:sz w:val="28"/>
          <w:szCs w:val="28"/>
        </w:rPr>
        <w:t>卫生健康支出（类）行政事业单位医疗（款）</w:t>
      </w:r>
      <w:r>
        <w:rPr>
          <w:rFonts w:hint="eastAsia" w:ascii="微软雅黑" w:hAnsi="微软雅黑" w:eastAsia="微软雅黑" w:cs="微软雅黑"/>
          <w:sz w:val="28"/>
          <w:szCs w:val="28"/>
          <w:lang w:eastAsia="zh-CN"/>
        </w:rPr>
        <w:t>事业</w:t>
      </w:r>
      <w:r>
        <w:rPr>
          <w:rFonts w:hint="eastAsia" w:ascii="微软雅黑" w:hAnsi="微软雅黑" w:eastAsia="微软雅黑" w:cs="微软雅黑"/>
          <w:sz w:val="28"/>
          <w:szCs w:val="28"/>
        </w:rPr>
        <w:t>单位医疗（项）年初预算为6.17万元，支出决算为4.92万元，完成年初预算的</w:t>
      </w:r>
      <w:r>
        <w:rPr>
          <w:rFonts w:hint="eastAsia" w:ascii="微软雅黑" w:hAnsi="微软雅黑" w:eastAsia="微软雅黑" w:cs="微软雅黑"/>
          <w:sz w:val="28"/>
          <w:szCs w:val="28"/>
          <w:lang w:val="en-US" w:eastAsia="zh-CN"/>
        </w:rPr>
        <w:t>79.74</w:t>
      </w:r>
      <w:r>
        <w:rPr>
          <w:rFonts w:hint="eastAsia" w:ascii="微软雅黑" w:hAnsi="微软雅黑" w:eastAsia="微软雅黑" w:cs="微软雅黑"/>
          <w:sz w:val="28"/>
          <w:szCs w:val="28"/>
        </w:rPr>
        <w:t>%。决算数小于预算数的主要原因是我单位</w:t>
      </w:r>
      <w:r>
        <w:rPr>
          <w:rFonts w:hint="eastAsia" w:ascii="微软雅黑" w:hAnsi="微软雅黑" w:eastAsia="微软雅黑" w:cs="微软雅黑"/>
          <w:sz w:val="28"/>
          <w:szCs w:val="28"/>
          <w:lang w:eastAsia="zh-CN"/>
        </w:rPr>
        <w:t>部分社保缴费支出跨年支付</w:t>
      </w:r>
      <w:r>
        <w:rPr>
          <w:rFonts w:hint="eastAsia" w:ascii="微软雅黑" w:hAnsi="微软雅黑" w:eastAsia="微软雅黑" w:cs="微软雅黑"/>
          <w:sz w:val="28"/>
          <w:szCs w:val="28"/>
        </w:rPr>
        <w:t xml:space="preserve">。 </w:t>
      </w:r>
    </w:p>
    <w:p w14:paraId="5A1BDBCE">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5、农林水支出（类）农业农村（款）病虫害控制（项）</w:t>
      </w:r>
    </w:p>
    <w:p w14:paraId="5C04295C">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年初预算为116.55万元，支出决算为33.89万元，完成年初预算的29.08%。决算数小于预算数的主要原因是</w:t>
      </w:r>
      <w:r>
        <w:rPr>
          <w:rFonts w:hint="eastAsia" w:ascii="微软雅黑" w:hAnsi="微软雅黑" w:eastAsia="微软雅黑" w:cs="微软雅黑"/>
          <w:color w:val="auto"/>
          <w:kern w:val="2"/>
          <w:sz w:val="28"/>
          <w:szCs w:val="28"/>
          <w:lang w:val="zh-CN" w:eastAsia="zh-CN" w:bidi="ar-SA"/>
        </w:rPr>
        <w:t>屠宰无害化处理项目未完工，部分项目资金结转下年度支付。</w:t>
      </w:r>
    </w:p>
    <w:p w14:paraId="5E5F6626">
      <w:pPr>
        <w:pStyle w:val="15"/>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firstLine="560" w:firstLineChars="200"/>
        <w:textAlignment w:val="auto"/>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农林水支出（类）农业农村（款）农产品质量安全（项）</w:t>
      </w:r>
    </w:p>
    <w:p w14:paraId="7439E2F1">
      <w:pPr>
        <w:pStyle w:val="15"/>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年初预算为85.38万元，支出决算为80.26万元，完成年初预算的94.00%。决算数小于预算数的主要原因是</w:t>
      </w:r>
      <w:r>
        <w:rPr>
          <w:rFonts w:hint="eastAsia" w:ascii="微软雅黑" w:hAnsi="微软雅黑" w:eastAsia="微软雅黑" w:cs="微软雅黑"/>
          <w:color w:val="auto"/>
          <w:kern w:val="2"/>
          <w:sz w:val="28"/>
          <w:szCs w:val="28"/>
          <w:lang w:val="zh-CN" w:eastAsia="zh-CN" w:bidi="ar-SA"/>
        </w:rPr>
        <w:t>屠宰无害化处理项目未完工，部分项目资金结转下年度支付。</w:t>
      </w:r>
      <w:r>
        <w:rPr>
          <w:rFonts w:hint="eastAsia" w:ascii="微软雅黑" w:hAnsi="微软雅黑" w:eastAsia="微软雅黑" w:cs="微软雅黑"/>
          <w:color w:val="auto"/>
          <w:kern w:val="2"/>
          <w:sz w:val="28"/>
          <w:szCs w:val="28"/>
          <w:lang w:val="en-US" w:eastAsia="zh-CN" w:bidi="ar-SA"/>
        </w:rPr>
        <w:t xml:space="preserve"> </w:t>
      </w:r>
      <w:bookmarkStart w:id="0" w:name="_GoBack"/>
      <w:bookmarkEnd w:id="0"/>
    </w:p>
    <w:p w14:paraId="3EDC5830">
      <w:pPr>
        <w:numPr>
          <w:ilvl w:val="0"/>
          <w:numId w:val="2"/>
        </w:numPr>
        <w:autoSpaceDE w:val="0"/>
        <w:autoSpaceDN w:val="0"/>
        <w:adjustRightInd w:val="0"/>
        <w:ind w:left="0" w:leftChars="0" w:firstLine="560" w:firstLineChars="200"/>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住房保障支出（类）住房改革支出（款）住房公积金（项）</w:t>
      </w:r>
    </w:p>
    <w:p w14:paraId="795504AA">
      <w:pPr>
        <w:numPr>
          <w:ilvl w:val="0"/>
          <w:numId w:val="0"/>
        </w:numPr>
        <w:autoSpaceDE w:val="0"/>
        <w:autoSpaceDN w:val="0"/>
        <w:adjustRightInd w:val="0"/>
        <w:ind w:leftChars="200"/>
        <w:rPr>
          <w:rFonts w:hint="eastAsia" w:ascii="微软雅黑" w:hAnsi="微软雅黑" w:eastAsia="微软雅黑" w:cs="微软雅黑"/>
          <w:color w:val="auto"/>
          <w:kern w:val="2"/>
          <w:sz w:val="28"/>
          <w:szCs w:val="28"/>
          <w:lang w:val="en-US" w:eastAsia="zh-CN" w:bidi="ar-SA"/>
        </w:rPr>
      </w:pPr>
      <w:r>
        <w:rPr>
          <w:rFonts w:hint="eastAsia" w:ascii="微软雅黑" w:hAnsi="微软雅黑" w:eastAsia="微软雅黑" w:cs="微软雅黑"/>
          <w:color w:val="auto"/>
          <w:kern w:val="2"/>
          <w:sz w:val="28"/>
          <w:szCs w:val="28"/>
          <w:lang w:val="en-US" w:eastAsia="zh-CN" w:bidi="ar-SA"/>
        </w:rPr>
        <w:t>年初预算为7.79万元，支出决算为7.49万元，完成年初预算的96.15%。决算数小于预算数的主要原因是人员工资异动，导致住房公积金实际支出数与预算数存在少许差异。</w:t>
      </w:r>
    </w:p>
    <w:p w14:paraId="249BC75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9397676">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年度财政拨款基本支出112.63万元，其中：</w:t>
      </w:r>
    </w:p>
    <w:p w14:paraId="1E56FE8C">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101.80万元，占基本支出的90.38%,主要包括基本工资、奖金、</w:t>
      </w:r>
      <w:r>
        <w:rPr>
          <w:rFonts w:hint="eastAsia" w:ascii="微软雅黑" w:hAnsi="微软雅黑" w:eastAsia="微软雅黑" w:cs="微软雅黑"/>
          <w:sz w:val="32"/>
          <w:lang w:eastAsia="zh-CN"/>
        </w:rPr>
        <w:t>绩效工资、</w:t>
      </w:r>
      <w:r>
        <w:rPr>
          <w:rFonts w:hint="eastAsia" w:ascii="微软雅黑" w:hAnsi="微软雅黑" w:eastAsia="微软雅黑" w:cs="微软雅黑"/>
          <w:sz w:val="32"/>
        </w:rPr>
        <w:t>机关事业单位基本养老保险缴费</w:t>
      </w:r>
      <w:r>
        <w:rPr>
          <w:rFonts w:hint="eastAsia" w:ascii="微软雅黑" w:hAnsi="微软雅黑" w:eastAsia="微软雅黑" w:cs="微软雅黑"/>
          <w:sz w:val="32"/>
          <w:lang w:eastAsia="zh-CN"/>
        </w:rPr>
        <w:t>、职工基本医疗保险缴费、公务员医疗补助缴费、其他社会保障缴费、住房公积金、抚恤金等</w:t>
      </w:r>
      <w:r>
        <w:rPr>
          <w:rFonts w:ascii="微软雅黑" w:hAnsi="微软雅黑" w:eastAsia="微软雅黑" w:cs="微软雅黑"/>
          <w:sz w:val="32"/>
        </w:rPr>
        <w:t>。</w:t>
      </w:r>
    </w:p>
    <w:p w14:paraId="161012C2">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10.83万元，占基本支出的</w:t>
      </w:r>
      <w:r>
        <w:rPr>
          <w:rFonts w:hint="eastAsia" w:ascii="微软雅黑" w:hAnsi="微软雅黑" w:eastAsia="微软雅黑" w:cs="微软雅黑"/>
          <w:sz w:val="32"/>
          <w:szCs w:val="32"/>
          <w:lang w:val="en-US" w:eastAsia="zh-CN"/>
        </w:rPr>
        <w:t>9.62</w:t>
      </w:r>
      <w:r>
        <w:rPr>
          <w:rFonts w:hint="eastAsia" w:ascii="微软雅黑" w:hAnsi="微软雅黑" w:eastAsia="微软雅黑" w:cs="微软雅黑"/>
          <w:sz w:val="32"/>
          <w:szCs w:val="32"/>
          <w:lang w:eastAsia="zh-CN"/>
        </w:rPr>
        <w:t>%，主要包括办公费、印刷费、手续费、水费、邮电费、物业管理费、差旅费、会议费、培训费、公务接待费、其他交通费用、办公设备购置费等。</w:t>
      </w:r>
    </w:p>
    <w:p w14:paraId="09ACA44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03D292E4">
      <w:pPr>
        <w:pStyle w:val="15"/>
        <w:ind w:firstLine="640" w:firstLineChars="200"/>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w:t>
      </w:r>
      <w:r>
        <w:rPr>
          <w:rFonts w:hint="eastAsia" w:ascii="微软雅黑" w:hAnsi="微软雅黑" w:eastAsia="微软雅黑" w:cs="微软雅黑"/>
          <w:sz w:val="32"/>
        </w:rPr>
        <w:t>本单位没有使用政府性基金预算财政拨款安排的支</w:t>
      </w:r>
      <w:r>
        <w:rPr>
          <w:rFonts w:hint="eastAsia" w:ascii="微软雅黑" w:hAnsi="微软雅黑" w:eastAsia="微软雅黑" w:cs="微软雅黑"/>
          <w:sz w:val="32"/>
          <w:lang w:eastAsia="zh-CN"/>
        </w:rPr>
        <w:t>出</w:t>
      </w:r>
      <w:r>
        <w:rPr>
          <w:rFonts w:hint="eastAsia" w:ascii="微软雅黑" w:hAnsi="微软雅黑" w:eastAsia="微软雅黑" w:cs="微软雅黑"/>
          <w:sz w:val="32"/>
        </w:rPr>
        <w:t>。</w:t>
      </w:r>
    </w:p>
    <w:p w14:paraId="10144C4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4A53179E">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w:t>
      </w:r>
      <w:r>
        <w:rPr>
          <w:rFonts w:hint="eastAsia" w:ascii="微软雅黑" w:hAnsi="微软雅黑" w:eastAsia="微软雅黑" w:cs="微软雅黑"/>
          <w:sz w:val="32"/>
        </w:rPr>
        <w:t>本单位没有使用国有资本经营预算安排的支出。</w:t>
      </w:r>
    </w:p>
    <w:p w14:paraId="55376F74">
      <w:pPr>
        <w:pStyle w:val="15"/>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3075AFBE">
      <w:pPr>
        <w:pStyle w:val="15"/>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6D92C2F4">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hint="eastAsia" w:ascii="微软雅黑" w:hAnsi="微软雅黑" w:eastAsia="微软雅黑" w:cs="微软雅黑"/>
          <w:sz w:val="32"/>
        </w:rPr>
        <w:t>3.00</w:t>
      </w:r>
      <w:r>
        <w:rPr>
          <w:rFonts w:hint="eastAsia" w:ascii="微软雅黑" w:hAnsi="微软雅黑" w:eastAsia="微软雅黑" w:cs="微软雅黑"/>
          <w:sz w:val="32"/>
          <w:szCs w:val="32"/>
        </w:rPr>
        <w:t>万元，支出决算为</w:t>
      </w:r>
      <w:r>
        <w:rPr>
          <w:rFonts w:hint="eastAsia" w:ascii="微软雅黑" w:hAnsi="微软雅黑" w:eastAsia="微软雅黑" w:cs="微软雅黑"/>
          <w:sz w:val="32"/>
        </w:rPr>
        <w:t>1.95</w:t>
      </w:r>
      <w:r>
        <w:rPr>
          <w:rFonts w:hint="eastAsia" w:ascii="微软雅黑" w:hAnsi="微软雅黑" w:eastAsia="微软雅黑" w:cs="微软雅黑"/>
          <w:sz w:val="32"/>
          <w:szCs w:val="32"/>
        </w:rPr>
        <w:t>万元，完成预算的</w:t>
      </w:r>
      <w:r>
        <w:rPr>
          <w:rFonts w:hint="eastAsia" w:ascii="微软雅黑" w:hAnsi="微软雅黑" w:eastAsia="微软雅黑" w:cs="微软雅黑"/>
          <w:sz w:val="32"/>
          <w:szCs w:val="32"/>
          <w:lang w:val="en-US" w:eastAsia="zh-CN"/>
        </w:rPr>
        <w:t>65.00</w:t>
      </w:r>
      <w:r>
        <w:rPr>
          <w:rFonts w:hint="eastAsia" w:ascii="微软雅黑" w:hAnsi="微软雅黑" w:eastAsia="微软雅黑" w:cs="微软雅黑"/>
          <w:sz w:val="32"/>
          <w:szCs w:val="32"/>
        </w:rPr>
        <w:t>%，其中：</w:t>
      </w:r>
    </w:p>
    <w:p w14:paraId="3C40C6E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color w:val="auto"/>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w:t>
      </w:r>
      <w:r>
        <w:rPr>
          <w:rFonts w:hint="eastAsia" w:ascii="微软雅黑" w:hAnsi="微软雅黑" w:eastAsia="微软雅黑" w:cs="微软雅黑"/>
          <w:sz w:val="32"/>
          <w:szCs w:val="32"/>
        </w:rPr>
        <w:t>%，</w:t>
      </w:r>
      <w:r>
        <w:rPr>
          <w:rFonts w:hint="eastAsia" w:ascii="微软雅黑" w:hAnsi="微软雅黑" w:eastAsia="微软雅黑" w:cs="微软雅黑"/>
          <w:color w:val="auto"/>
          <w:sz w:val="32"/>
          <w:szCs w:val="32"/>
        </w:rPr>
        <w:t>与上年相比</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万元，</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w:t>
      </w:r>
    </w:p>
    <w:p w14:paraId="7E70C01C">
      <w:pPr>
        <w:autoSpaceDE w:val="0"/>
        <w:autoSpaceDN w:val="0"/>
        <w:adjustRightInd w:val="0"/>
        <w:ind w:firstLine="640"/>
        <w:rPr>
          <w:rFonts w:hint="eastAsia" w:ascii="微软雅黑" w:hAnsi="微软雅黑" w:eastAsia="微软雅黑" w:cs="微软雅黑"/>
          <w:color w:val="auto"/>
          <w:sz w:val="32"/>
          <w:szCs w:val="32"/>
        </w:rPr>
      </w:pPr>
      <w:r>
        <w:rPr>
          <w:rFonts w:hint="eastAsia" w:ascii="微软雅黑" w:hAnsi="微软雅黑" w:eastAsia="微软雅黑" w:cs="微软雅黑"/>
          <w:color w:val="auto"/>
          <w:sz w:val="32"/>
          <w:szCs w:val="32"/>
        </w:rPr>
        <w:t>公务接待费支出预算为</w:t>
      </w:r>
      <w:r>
        <w:rPr>
          <w:rFonts w:hint="eastAsia" w:ascii="微软雅黑" w:hAnsi="微软雅黑" w:eastAsia="微软雅黑" w:cs="微软雅黑"/>
          <w:color w:val="auto"/>
          <w:sz w:val="32"/>
          <w:lang w:val="en-US" w:eastAsia="zh-CN"/>
        </w:rPr>
        <w:t>3.00</w:t>
      </w:r>
      <w:r>
        <w:rPr>
          <w:rFonts w:hint="eastAsia" w:ascii="微软雅黑" w:hAnsi="微软雅黑" w:eastAsia="微软雅黑" w:cs="微软雅黑"/>
          <w:color w:val="auto"/>
          <w:sz w:val="32"/>
          <w:szCs w:val="32"/>
        </w:rPr>
        <w:t>万元，支出决算为</w:t>
      </w:r>
      <w:r>
        <w:rPr>
          <w:rFonts w:hint="eastAsia" w:ascii="微软雅黑" w:hAnsi="微软雅黑" w:eastAsia="微软雅黑" w:cs="微软雅黑"/>
          <w:color w:val="auto"/>
          <w:sz w:val="32"/>
          <w:szCs w:val="32"/>
          <w:lang w:val="en-US" w:eastAsia="zh-CN"/>
        </w:rPr>
        <w:t>1.95</w:t>
      </w:r>
      <w:r>
        <w:rPr>
          <w:rFonts w:hint="eastAsia" w:ascii="微软雅黑" w:hAnsi="微软雅黑" w:eastAsia="微软雅黑" w:cs="微软雅黑"/>
          <w:color w:val="auto"/>
          <w:sz w:val="32"/>
          <w:szCs w:val="32"/>
        </w:rPr>
        <w:t>万元，完成预算的</w:t>
      </w:r>
      <w:r>
        <w:rPr>
          <w:rFonts w:hint="eastAsia" w:ascii="微软雅黑" w:hAnsi="微软雅黑" w:eastAsia="微软雅黑" w:cs="微软雅黑"/>
          <w:color w:val="auto"/>
          <w:sz w:val="32"/>
          <w:szCs w:val="32"/>
          <w:lang w:val="en-US" w:eastAsia="zh-CN"/>
        </w:rPr>
        <w:t>65</w:t>
      </w:r>
      <w:r>
        <w:rPr>
          <w:rFonts w:hint="eastAsia" w:ascii="微软雅黑" w:hAnsi="微软雅黑" w:eastAsia="微软雅黑" w:cs="微软雅黑"/>
          <w:color w:val="auto"/>
          <w:sz w:val="32"/>
          <w:szCs w:val="32"/>
        </w:rPr>
        <w:t>%，决算数小于预算数的主要原因是</w:t>
      </w:r>
      <w:r>
        <w:rPr>
          <w:rFonts w:hint="eastAsia" w:ascii="微软雅黑" w:hAnsi="微软雅黑" w:eastAsia="微软雅黑" w:cs="微软雅黑"/>
          <w:color w:val="auto"/>
          <w:sz w:val="32"/>
          <w:szCs w:val="32"/>
          <w:lang w:val="zh-CN"/>
        </w:rPr>
        <w:t>认真贯彻落实中央</w:t>
      </w:r>
      <w:r>
        <w:rPr>
          <w:rFonts w:hint="default" w:ascii="微软雅黑" w:hAnsi="微软雅黑" w:eastAsia="微软雅黑" w:cs="微软雅黑"/>
          <w:color w:val="auto"/>
          <w:sz w:val="32"/>
          <w:szCs w:val="32"/>
          <w:lang w:val="zh-CN"/>
        </w:rPr>
        <w:t>“</w:t>
      </w:r>
      <w:r>
        <w:rPr>
          <w:rFonts w:hint="eastAsia" w:ascii="微软雅黑" w:hAnsi="微软雅黑" w:eastAsia="微软雅黑" w:cs="微软雅黑"/>
          <w:color w:val="auto"/>
          <w:sz w:val="32"/>
          <w:szCs w:val="32"/>
          <w:lang w:val="zh-CN"/>
        </w:rPr>
        <w:t>八项规定</w:t>
      </w:r>
      <w:r>
        <w:rPr>
          <w:rFonts w:hint="default" w:ascii="微软雅黑" w:hAnsi="微软雅黑" w:eastAsia="微软雅黑" w:cs="微软雅黑"/>
          <w:color w:val="auto"/>
          <w:sz w:val="32"/>
          <w:szCs w:val="32"/>
          <w:lang w:val="zh-CN"/>
        </w:rPr>
        <w:t>”</w:t>
      </w:r>
      <w:r>
        <w:rPr>
          <w:rFonts w:hint="eastAsia" w:ascii="微软雅黑" w:hAnsi="微软雅黑" w:eastAsia="微软雅黑" w:cs="微软雅黑"/>
          <w:color w:val="auto"/>
          <w:sz w:val="32"/>
          <w:szCs w:val="32"/>
          <w:lang w:val="zh-CN"/>
        </w:rPr>
        <w:t>精神和厉行节约要求，从严控制</w:t>
      </w:r>
      <w:r>
        <w:rPr>
          <w:rFonts w:hint="default" w:ascii="微软雅黑" w:hAnsi="微软雅黑" w:eastAsia="微软雅黑" w:cs="微软雅黑"/>
          <w:color w:val="auto"/>
          <w:sz w:val="32"/>
          <w:szCs w:val="32"/>
          <w:lang w:val="zh-CN"/>
        </w:rPr>
        <w:t>“</w:t>
      </w:r>
      <w:r>
        <w:rPr>
          <w:rFonts w:hint="eastAsia" w:ascii="微软雅黑" w:hAnsi="微软雅黑" w:eastAsia="微软雅黑" w:cs="微软雅黑"/>
          <w:color w:val="auto"/>
          <w:sz w:val="32"/>
          <w:szCs w:val="32"/>
          <w:lang w:val="zh-CN"/>
        </w:rPr>
        <w:t>三公</w:t>
      </w:r>
      <w:r>
        <w:rPr>
          <w:rFonts w:hint="default" w:ascii="微软雅黑" w:hAnsi="微软雅黑" w:eastAsia="微软雅黑" w:cs="微软雅黑"/>
          <w:color w:val="auto"/>
          <w:sz w:val="32"/>
          <w:szCs w:val="32"/>
          <w:lang w:val="zh-CN"/>
        </w:rPr>
        <w:t>”</w:t>
      </w:r>
      <w:r>
        <w:rPr>
          <w:rFonts w:hint="eastAsia" w:ascii="微软雅黑" w:hAnsi="微软雅黑" w:eastAsia="微软雅黑" w:cs="微软雅黑"/>
          <w:color w:val="auto"/>
          <w:sz w:val="32"/>
          <w:szCs w:val="32"/>
          <w:lang w:val="zh-CN"/>
        </w:rPr>
        <w:t>经费开支，全年实际支出比预算有所节约。</w:t>
      </w:r>
      <w:r>
        <w:rPr>
          <w:rFonts w:hint="eastAsia" w:ascii="微软雅黑" w:hAnsi="微软雅黑" w:eastAsia="微软雅黑" w:cs="微软雅黑"/>
          <w:color w:val="auto"/>
          <w:sz w:val="32"/>
          <w:szCs w:val="32"/>
        </w:rPr>
        <w:t>与上年相比</w:t>
      </w:r>
      <w:r>
        <w:rPr>
          <w:rFonts w:hint="eastAsia" w:ascii="微软雅黑" w:hAnsi="微软雅黑" w:eastAsia="微软雅黑" w:cs="微软雅黑"/>
          <w:color w:val="auto"/>
          <w:sz w:val="32"/>
          <w:szCs w:val="32"/>
          <w:lang w:eastAsia="zh-CN"/>
        </w:rPr>
        <w:t>增长</w:t>
      </w:r>
      <w:r>
        <w:rPr>
          <w:rFonts w:hint="eastAsia" w:ascii="微软雅黑" w:hAnsi="微软雅黑" w:eastAsia="微软雅黑" w:cs="微软雅黑"/>
          <w:color w:val="auto"/>
          <w:sz w:val="32"/>
          <w:szCs w:val="32"/>
          <w:lang w:val="en-US" w:eastAsia="zh-CN"/>
        </w:rPr>
        <w:t>0.84</w:t>
      </w:r>
      <w:r>
        <w:rPr>
          <w:rFonts w:hint="eastAsia" w:ascii="微软雅黑" w:hAnsi="微软雅黑" w:eastAsia="微软雅黑" w:cs="微软雅黑"/>
          <w:color w:val="auto"/>
          <w:sz w:val="32"/>
          <w:szCs w:val="32"/>
        </w:rPr>
        <w:t>万元，</w:t>
      </w:r>
      <w:r>
        <w:rPr>
          <w:rFonts w:hint="eastAsia" w:ascii="微软雅黑" w:hAnsi="微软雅黑" w:eastAsia="微软雅黑" w:cs="微软雅黑"/>
          <w:color w:val="auto"/>
          <w:sz w:val="32"/>
          <w:szCs w:val="32"/>
          <w:lang w:eastAsia="zh-CN"/>
        </w:rPr>
        <w:t>增长</w:t>
      </w:r>
      <w:r>
        <w:rPr>
          <w:rFonts w:hint="eastAsia" w:ascii="微软雅黑" w:hAnsi="微软雅黑" w:eastAsia="微软雅黑" w:cs="微软雅黑"/>
          <w:color w:val="auto"/>
          <w:sz w:val="32"/>
          <w:szCs w:val="32"/>
          <w:lang w:val="en-US" w:eastAsia="zh-CN"/>
        </w:rPr>
        <w:t>75.68</w:t>
      </w:r>
      <w:r>
        <w:rPr>
          <w:rFonts w:hint="eastAsia" w:ascii="微软雅黑" w:hAnsi="微软雅黑" w:eastAsia="微软雅黑" w:cs="微软雅黑"/>
          <w:color w:val="auto"/>
          <w:sz w:val="32"/>
          <w:szCs w:val="32"/>
        </w:rPr>
        <w:t>%,</w:t>
      </w:r>
      <w:r>
        <w:rPr>
          <w:rFonts w:hint="eastAsia" w:ascii="微软雅黑" w:hAnsi="微软雅黑" w:eastAsia="微软雅黑" w:cs="微软雅黑"/>
          <w:color w:val="auto"/>
          <w:sz w:val="32"/>
          <w:szCs w:val="32"/>
          <w:lang w:eastAsia="zh-CN"/>
        </w:rPr>
        <w:t>增长</w:t>
      </w:r>
      <w:r>
        <w:rPr>
          <w:rFonts w:hint="eastAsia" w:ascii="微软雅黑" w:hAnsi="微软雅黑" w:eastAsia="微软雅黑" w:cs="微软雅黑"/>
          <w:color w:val="auto"/>
          <w:sz w:val="32"/>
          <w:szCs w:val="32"/>
        </w:rPr>
        <w:t>的主要原因是</w:t>
      </w:r>
      <w:r>
        <w:rPr>
          <w:rFonts w:hint="eastAsia" w:ascii="微软雅黑" w:hAnsi="微软雅黑" w:eastAsia="微软雅黑" w:cs="微软雅黑"/>
          <w:color w:val="auto"/>
          <w:sz w:val="32"/>
          <w:szCs w:val="32"/>
          <w:lang w:eastAsia="zh-CN"/>
        </w:rPr>
        <w:t>本年度规范了公务接待费列支口径，部分以前年度列支在其他科目的支出今年列支在公务接待费科目下，实际支出较上年并没有增加</w:t>
      </w:r>
      <w:r>
        <w:rPr>
          <w:rFonts w:hint="eastAsia" w:ascii="微软雅黑" w:hAnsi="微软雅黑" w:eastAsia="微软雅黑" w:cs="微软雅黑"/>
          <w:color w:val="auto"/>
          <w:sz w:val="32"/>
          <w:szCs w:val="32"/>
        </w:rPr>
        <w:t>。</w:t>
      </w:r>
    </w:p>
    <w:p w14:paraId="4BBC8220">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color w:val="auto"/>
          <w:sz w:val="32"/>
          <w:szCs w:val="32"/>
        </w:rPr>
      </w:pPr>
      <w:r>
        <w:rPr>
          <w:rFonts w:hint="eastAsia" w:ascii="微软雅黑" w:hAnsi="微软雅黑" w:eastAsia="微软雅黑" w:cs="微软雅黑"/>
          <w:color w:val="auto"/>
          <w:sz w:val="32"/>
          <w:szCs w:val="32"/>
        </w:rPr>
        <w:t>公务用车购置费支出预算为</w:t>
      </w:r>
      <w:r>
        <w:rPr>
          <w:rFonts w:ascii="微软雅黑" w:hAnsi="微软雅黑" w:eastAsia="微软雅黑" w:cs="微软雅黑"/>
          <w:color w:val="auto"/>
          <w:sz w:val="32"/>
        </w:rPr>
        <w:t>0</w:t>
      </w:r>
      <w:r>
        <w:rPr>
          <w:rFonts w:hint="eastAsia" w:ascii="微软雅黑" w:hAnsi="微软雅黑" w:eastAsia="微软雅黑" w:cs="微软雅黑"/>
          <w:color w:val="auto"/>
          <w:sz w:val="32"/>
          <w:szCs w:val="32"/>
        </w:rPr>
        <w:t>万元，支出决算为</w:t>
      </w:r>
      <w:r>
        <w:rPr>
          <w:rFonts w:ascii="微软雅黑" w:hAnsi="微软雅黑" w:eastAsia="微软雅黑" w:cs="微软雅黑"/>
          <w:color w:val="auto"/>
          <w:sz w:val="32"/>
        </w:rPr>
        <w:t>0</w:t>
      </w:r>
      <w:r>
        <w:rPr>
          <w:rFonts w:hint="eastAsia" w:ascii="微软雅黑" w:hAnsi="微软雅黑" w:eastAsia="微软雅黑" w:cs="微软雅黑"/>
          <w:color w:val="auto"/>
          <w:sz w:val="32"/>
          <w:szCs w:val="32"/>
        </w:rPr>
        <w:t>万元，完成预算的</w:t>
      </w:r>
      <w:r>
        <w:rPr>
          <w:rFonts w:ascii="微软雅黑" w:hAnsi="微软雅黑" w:eastAsia="微软雅黑" w:cs="微软雅黑"/>
          <w:color w:val="auto"/>
          <w:sz w:val="32"/>
        </w:rPr>
        <w:t>0</w:t>
      </w:r>
      <w:r>
        <w:rPr>
          <w:rFonts w:hint="eastAsia" w:ascii="微软雅黑" w:hAnsi="微软雅黑" w:eastAsia="微软雅黑" w:cs="微软雅黑"/>
          <w:color w:val="auto"/>
          <w:sz w:val="32"/>
          <w:lang w:val="en-US" w:eastAsia="zh-CN"/>
        </w:rPr>
        <w:t>.00</w:t>
      </w:r>
      <w:r>
        <w:rPr>
          <w:rFonts w:hint="eastAsia" w:ascii="微软雅黑" w:hAnsi="微软雅黑" w:eastAsia="微软雅黑" w:cs="微软雅黑"/>
          <w:color w:val="auto"/>
          <w:sz w:val="32"/>
          <w:szCs w:val="32"/>
        </w:rPr>
        <w:t>%，与上年相比</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万元，</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w:t>
      </w:r>
    </w:p>
    <w:p w14:paraId="4290F197">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color w:val="auto"/>
          <w:sz w:val="32"/>
          <w:szCs w:val="32"/>
        </w:rPr>
      </w:pPr>
      <w:r>
        <w:rPr>
          <w:rFonts w:hint="eastAsia" w:ascii="微软雅黑" w:hAnsi="微软雅黑" w:eastAsia="微软雅黑" w:cs="微软雅黑"/>
          <w:color w:val="auto"/>
          <w:sz w:val="32"/>
          <w:szCs w:val="32"/>
        </w:rPr>
        <w:t>公务用车运行维护费支出预算为</w:t>
      </w:r>
      <w:r>
        <w:rPr>
          <w:rFonts w:ascii="微软雅黑" w:hAnsi="微软雅黑" w:eastAsia="微软雅黑" w:cs="微软雅黑"/>
          <w:color w:val="auto"/>
          <w:sz w:val="32"/>
        </w:rPr>
        <w:t>0</w:t>
      </w:r>
      <w:r>
        <w:rPr>
          <w:rFonts w:hint="eastAsia" w:ascii="微软雅黑" w:hAnsi="微软雅黑" w:eastAsia="微软雅黑" w:cs="微软雅黑"/>
          <w:color w:val="auto"/>
          <w:sz w:val="32"/>
          <w:szCs w:val="32"/>
        </w:rPr>
        <w:t>万元，支出决算为</w:t>
      </w:r>
      <w:r>
        <w:rPr>
          <w:rFonts w:ascii="微软雅黑" w:hAnsi="微软雅黑" w:eastAsia="微软雅黑" w:cs="微软雅黑"/>
          <w:color w:val="auto"/>
          <w:sz w:val="32"/>
        </w:rPr>
        <w:t>0</w:t>
      </w:r>
      <w:r>
        <w:rPr>
          <w:rFonts w:hint="eastAsia" w:ascii="微软雅黑" w:hAnsi="微软雅黑" w:eastAsia="微软雅黑" w:cs="微软雅黑"/>
          <w:color w:val="auto"/>
          <w:sz w:val="32"/>
          <w:szCs w:val="32"/>
        </w:rPr>
        <w:t>万元，完成预算的</w:t>
      </w:r>
      <w:r>
        <w:rPr>
          <w:rFonts w:ascii="微软雅黑" w:hAnsi="微软雅黑" w:eastAsia="微软雅黑" w:cs="微软雅黑"/>
          <w:color w:val="auto"/>
          <w:sz w:val="32"/>
        </w:rPr>
        <w:t>0</w:t>
      </w:r>
      <w:r>
        <w:rPr>
          <w:rFonts w:hint="eastAsia" w:ascii="微软雅黑" w:hAnsi="微软雅黑" w:eastAsia="微软雅黑" w:cs="微软雅黑"/>
          <w:color w:val="auto"/>
          <w:sz w:val="32"/>
          <w:lang w:val="en-US" w:eastAsia="zh-CN"/>
        </w:rPr>
        <w:t>.00</w:t>
      </w:r>
      <w:r>
        <w:rPr>
          <w:rFonts w:hint="eastAsia" w:ascii="微软雅黑" w:hAnsi="微软雅黑" w:eastAsia="微软雅黑" w:cs="微软雅黑"/>
          <w:color w:val="auto"/>
          <w:sz w:val="32"/>
          <w:szCs w:val="32"/>
        </w:rPr>
        <w:t>%，与上年相比</w:t>
      </w:r>
      <w:r>
        <w:rPr>
          <w:rFonts w:ascii="微软雅黑" w:hAnsi="微软雅黑" w:eastAsia="微软雅黑" w:cs="微软雅黑"/>
          <w:color w:val="auto"/>
          <w:sz w:val="32"/>
        </w:rPr>
        <w:t>减少0.54</w:t>
      </w:r>
      <w:r>
        <w:rPr>
          <w:rFonts w:hint="eastAsia" w:ascii="微软雅黑" w:hAnsi="微软雅黑" w:eastAsia="微软雅黑" w:cs="微软雅黑"/>
          <w:color w:val="auto"/>
          <w:sz w:val="32"/>
          <w:szCs w:val="32"/>
        </w:rPr>
        <w:t>万元，</w:t>
      </w:r>
      <w:r>
        <w:rPr>
          <w:rFonts w:ascii="微软雅黑" w:hAnsi="微软雅黑" w:eastAsia="微软雅黑" w:cs="微软雅黑"/>
          <w:color w:val="auto"/>
          <w:sz w:val="32"/>
        </w:rPr>
        <w:t>减少100.00</w:t>
      </w:r>
      <w:r>
        <w:rPr>
          <w:rFonts w:hint="eastAsia" w:ascii="微软雅黑" w:hAnsi="微软雅黑" w:eastAsia="微软雅黑" w:cs="微软雅黑"/>
          <w:color w:val="auto"/>
          <w:sz w:val="32"/>
          <w:szCs w:val="32"/>
        </w:rPr>
        <w:t>%,</w:t>
      </w:r>
      <w:r>
        <w:rPr>
          <w:rFonts w:hint="eastAsia" w:ascii="微软雅黑" w:hAnsi="微软雅黑" w:eastAsia="微软雅黑" w:cs="微软雅黑"/>
          <w:color w:val="auto"/>
          <w:kern w:val="0"/>
          <w:sz w:val="32"/>
          <w:szCs w:val="32"/>
          <w:u w:val="single"/>
          <w:lang w:val="en-US" w:eastAsia="zh-CN"/>
        </w:rPr>
        <w:t>减少</w:t>
      </w:r>
      <w:r>
        <w:rPr>
          <w:rFonts w:hint="eastAsia" w:ascii="微软雅黑" w:hAnsi="微软雅黑" w:eastAsia="微软雅黑" w:cs="微软雅黑"/>
          <w:color w:val="auto"/>
          <w:sz w:val="32"/>
          <w:szCs w:val="32"/>
        </w:rPr>
        <w:t>的主要原因是</w:t>
      </w:r>
      <w:r>
        <w:rPr>
          <w:rFonts w:hint="eastAsia" w:ascii="微软雅黑" w:hAnsi="微软雅黑" w:eastAsia="微软雅黑" w:cs="微软雅黑"/>
          <w:color w:val="auto"/>
          <w:sz w:val="32"/>
          <w:szCs w:val="32"/>
          <w:lang w:eastAsia="zh-CN"/>
        </w:rPr>
        <w:t>认真贯彻落实中央“八项规定”精神和厉行节约要求，从严控制“三公”经费开支，没有发生相关支出</w:t>
      </w:r>
      <w:r>
        <w:rPr>
          <w:rFonts w:hint="eastAsia" w:ascii="微软雅黑" w:hAnsi="微软雅黑" w:eastAsia="微软雅黑" w:cs="微软雅黑"/>
          <w:color w:val="auto"/>
          <w:sz w:val="32"/>
          <w:szCs w:val="32"/>
        </w:rPr>
        <w:t>。</w:t>
      </w:r>
    </w:p>
    <w:p w14:paraId="7109BB13">
      <w:pPr>
        <w:pStyle w:val="15"/>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3FD9F970">
      <w:pPr>
        <w:pStyle w:val="15"/>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hint="eastAsia" w:ascii="微软雅黑" w:hAnsi="微软雅黑" w:eastAsia="微软雅黑" w:cs="微软雅黑"/>
          <w:sz w:val="32"/>
          <w:szCs w:val="32"/>
          <w:lang w:val="en-US" w:eastAsia="zh-CN"/>
        </w:rPr>
        <w:t>1.95</w:t>
      </w:r>
      <w:r>
        <w:rPr>
          <w:rFonts w:hint="eastAsia" w:ascii="微软雅黑" w:hAnsi="微软雅黑" w:eastAsia="微软雅黑" w:cs="微软雅黑"/>
          <w:sz w:val="32"/>
          <w:szCs w:val="32"/>
        </w:rPr>
        <w:t>万元，占</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w:t>
      </w:r>
      <w:r>
        <w:rPr>
          <w:rFonts w:hint="eastAsia" w:ascii="微软雅黑" w:hAnsi="微软雅黑" w:eastAsia="微软雅黑" w:cs="微软雅黑"/>
          <w:sz w:val="32"/>
          <w:szCs w:val="32"/>
        </w:rPr>
        <w:t>%。其中：</w:t>
      </w:r>
    </w:p>
    <w:p w14:paraId="05C38A10">
      <w:pPr>
        <w:pStyle w:val="15"/>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4059D53C">
      <w:pPr>
        <w:pStyle w:val="15"/>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hint="eastAsia" w:ascii="微软雅黑" w:hAnsi="微软雅黑" w:eastAsia="微软雅黑" w:cs="微软雅黑"/>
          <w:sz w:val="32"/>
          <w:szCs w:val="32"/>
          <w:lang w:val="en-US" w:eastAsia="zh-CN"/>
        </w:rPr>
        <w:t>1.95</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28</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276</w:t>
      </w:r>
      <w:r>
        <w:rPr>
          <w:rFonts w:hint="eastAsia" w:ascii="微软雅黑" w:hAnsi="微软雅黑" w:eastAsia="微软雅黑" w:cs="微软雅黑"/>
          <w:sz w:val="32"/>
          <w:szCs w:val="32"/>
        </w:rPr>
        <w:t>人次，主要是用于与有关单位交流工作情况及接受相关部门检查指导工作发生的接待支出。</w:t>
      </w:r>
    </w:p>
    <w:p w14:paraId="4680A943">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w:t>
      </w:r>
      <w:r>
        <w:rPr>
          <w:rFonts w:hint="eastAsia" w:ascii="微软雅黑" w:hAnsi="微软雅黑" w:eastAsia="微软雅黑" w:cs="微软雅黑"/>
          <w:sz w:val="32"/>
          <w:szCs w:val="32"/>
        </w:rPr>
        <w:t>万元，</w:t>
      </w:r>
      <w:r>
        <w:rPr>
          <w:rFonts w:ascii="微软雅黑" w:hAnsi="微软雅黑" w:eastAsia="微软雅黑" w:cs="微软雅黑"/>
          <w:sz w:val="32"/>
        </w:rPr>
        <w:t>岳阳县定点屠宰服务中心（单位本级）更新公务用车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55DC5120">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58C8526B">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本单位为事业单位，按照机关运行经费的统计口径，本年度机关运行经费为0。</w:t>
      </w:r>
    </w:p>
    <w:p w14:paraId="7C4A280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52B72E42">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0.35</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val="en-US" w:eastAsia="zh-CN"/>
        </w:rPr>
        <w:t>1次</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30</w:t>
      </w:r>
      <w:r>
        <w:rPr>
          <w:rFonts w:hint="eastAsia" w:ascii="微软雅黑" w:hAnsi="微软雅黑" w:eastAsia="微软雅黑" w:cs="微软雅黑"/>
          <w:sz w:val="32"/>
          <w:szCs w:val="32"/>
        </w:rPr>
        <w:t>人，内容为定点屠宰环节无害化处理督导会；开支培训费</w:t>
      </w:r>
      <w:r>
        <w:rPr>
          <w:rFonts w:ascii="微软雅黑" w:hAnsi="微软雅黑" w:eastAsia="微软雅黑" w:cs="微软雅黑"/>
          <w:sz w:val="32"/>
        </w:rPr>
        <w:t>0.26万元，用于开展</w:t>
      </w:r>
      <w:r>
        <w:rPr>
          <w:rFonts w:hint="eastAsia" w:ascii="微软雅黑" w:hAnsi="微软雅黑" w:eastAsia="微软雅黑" w:cs="微软雅黑"/>
          <w:sz w:val="32"/>
          <w:lang w:val="en-US" w:eastAsia="zh-CN"/>
        </w:rPr>
        <w:t>1次</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2</w:t>
      </w:r>
      <w:r>
        <w:rPr>
          <w:rFonts w:ascii="微软雅黑" w:hAnsi="微软雅黑" w:eastAsia="微软雅黑" w:cs="微软雅黑"/>
          <w:sz w:val="32"/>
        </w:rPr>
        <w:t>人，内容为</w:t>
      </w:r>
      <w:r>
        <w:rPr>
          <w:rFonts w:hint="eastAsia" w:ascii="微软雅黑" w:hAnsi="微软雅黑" w:eastAsia="微软雅黑" w:cs="微软雅黑"/>
          <w:sz w:val="32"/>
        </w:rPr>
        <w:t>干部职业能力晋升培训</w:t>
      </w:r>
      <w:r>
        <w:rPr>
          <w:rFonts w:ascii="微软雅黑" w:hAnsi="微软雅黑" w:eastAsia="微软雅黑" w:cs="微软雅黑"/>
          <w:sz w:val="32"/>
        </w:rPr>
        <w:t>；举办</w:t>
      </w:r>
      <w:r>
        <w:rPr>
          <w:rFonts w:hint="eastAsia" w:ascii="微软雅黑" w:hAnsi="微软雅黑" w:eastAsia="微软雅黑" w:cs="微软雅黑"/>
          <w:sz w:val="32"/>
          <w:lang w:val="en-US" w:eastAsia="zh-CN"/>
        </w:rPr>
        <w:t>0次</w:t>
      </w:r>
      <w:r>
        <w:rPr>
          <w:rFonts w:ascii="微软雅黑" w:hAnsi="微软雅黑" w:eastAsia="微软雅黑" w:cs="微软雅黑"/>
          <w:sz w:val="32"/>
        </w:rPr>
        <w:t>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w:t>
      </w:r>
    </w:p>
    <w:p w14:paraId="1145D242">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4AC06286">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val="en-US"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8.53</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5.53</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3.00</w:t>
      </w:r>
      <w:r>
        <w:rPr>
          <w:rFonts w:hint="eastAsia" w:ascii="微软雅黑" w:hAnsi="微软雅黑" w:eastAsia="微软雅黑" w:cs="微软雅黑"/>
          <w:sz w:val="32"/>
          <w:szCs w:val="32"/>
        </w:rPr>
        <w:t>万元。授予中小企业合同金额</w:t>
      </w:r>
      <w:r>
        <w:rPr>
          <w:rFonts w:hint="eastAsia" w:ascii="微软雅黑" w:hAnsi="微软雅黑" w:eastAsia="微软雅黑" w:cs="微软雅黑"/>
          <w:sz w:val="32"/>
          <w:szCs w:val="32"/>
          <w:lang w:val="en-US" w:eastAsia="zh-CN"/>
        </w:rPr>
        <w:t>8.53</w:t>
      </w:r>
      <w:r>
        <w:rPr>
          <w:rFonts w:hint="eastAsia" w:ascii="微软雅黑" w:hAnsi="微软雅黑" w:eastAsia="微软雅黑" w:cs="微软雅黑"/>
          <w:sz w:val="32"/>
          <w:szCs w:val="32"/>
        </w:rPr>
        <w:t>万元，占政府采购支出总额的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8.53</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w:t>
      </w:r>
    </w:p>
    <w:p w14:paraId="49AD597D">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42B54AD">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辆，其他用车主要是</w:t>
      </w:r>
      <w:r>
        <w:rPr>
          <w:rFonts w:hint="eastAsia" w:ascii="微软雅黑" w:hAnsi="微软雅黑" w:eastAsia="微软雅黑" w:cs="微软雅黑"/>
          <w:sz w:val="32"/>
          <w:szCs w:val="32"/>
          <w:lang w:eastAsia="zh-CN"/>
        </w:rPr>
        <w:t>无</w:t>
      </w:r>
      <w:r>
        <w:rPr>
          <w:rFonts w:hint="eastAsia" w:ascii="微软雅黑" w:hAnsi="微软雅黑" w:eastAsia="微软雅黑" w:cs="微软雅黑"/>
          <w:sz w:val="32"/>
          <w:szCs w:val="32"/>
        </w:rPr>
        <w:t>；单位价值50万元以上通用设备</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台（套）。</w:t>
      </w:r>
    </w:p>
    <w:p w14:paraId="179F0EB5">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FE19481">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3172A96B">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根据预算绩效管理要求，我单位组织对</w:t>
      </w:r>
      <w:r>
        <w:rPr>
          <w:rFonts w:ascii="微软雅黑" w:hAnsi="微软雅黑" w:eastAsia="微软雅黑" w:cs="微软雅黑"/>
          <w:color w:val="000000"/>
          <w:sz w:val="32"/>
        </w:rPr>
        <w:t>2023年度一般公共预算项目支出全面开展绩效自评，其中，一级项目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1</w:t>
      </w:r>
      <w:r>
        <w:rPr>
          <w:rFonts w:ascii="微软雅黑" w:hAnsi="微软雅黑" w:eastAsia="微软雅黑" w:cs="微软雅黑"/>
          <w:color w:val="000000"/>
          <w:sz w:val="32"/>
        </w:rPr>
        <w:t xml:space="preserve"> 个，共涉及资金</w:t>
      </w:r>
      <w:r>
        <w:rPr>
          <w:rFonts w:hint="eastAsia" w:ascii="微软雅黑" w:hAnsi="微软雅黑" w:eastAsia="微软雅黑" w:cs="微软雅黑"/>
          <w:color w:val="000000"/>
          <w:sz w:val="32"/>
        </w:rPr>
        <w:t>3</w:t>
      </w:r>
      <w:r>
        <w:rPr>
          <w:rFonts w:hint="eastAsia" w:ascii="微软雅黑" w:hAnsi="微软雅黑" w:eastAsia="微软雅黑" w:cs="微软雅黑"/>
          <w:color w:val="000000"/>
          <w:sz w:val="32"/>
          <w:lang w:val="en-US" w:eastAsia="zh-CN"/>
        </w:rPr>
        <w:t>3</w:t>
      </w:r>
      <w:r>
        <w:rPr>
          <w:rFonts w:hint="eastAsia" w:ascii="微软雅黑" w:hAnsi="微软雅黑" w:eastAsia="微软雅黑" w:cs="微软雅黑"/>
          <w:color w:val="000000"/>
          <w:sz w:val="32"/>
        </w:rPr>
        <w:t>.89</w:t>
      </w:r>
      <w:r>
        <w:rPr>
          <w:rFonts w:ascii="微软雅黑" w:hAnsi="微软雅黑" w:eastAsia="微软雅黑" w:cs="微软雅黑"/>
          <w:color w:val="000000"/>
          <w:sz w:val="32"/>
        </w:rPr>
        <w:t xml:space="preserve"> 万元，占一般公共预算项目支出总额的</w:t>
      </w:r>
      <w:r>
        <w:rPr>
          <w:rFonts w:hint="eastAsia" w:ascii="微软雅黑" w:hAnsi="微软雅黑" w:eastAsia="微软雅黑" w:cs="微软雅黑"/>
          <w:color w:val="000000"/>
          <w:sz w:val="32"/>
          <w:lang w:val="en-US" w:eastAsia="zh-CN"/>
        </w:rPr>
        <w:t>100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r>
        <w:rPr>
          <w:rFonts w:hint="eastAsia"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eastAsia="zh-CN"/>
        </w:rPr>
        <w:t>其他资金</w:t>
      </w:r>
      <w:r>
        <w:rPr>
          <w:rFonts w:hint="eastAsia" w:ascii="微软雅黑" w:hAnsi="微软雅黑" w:eastAsia="微软雅黑" w:cs="微软雅黑"/>
          <w:color w:val="000000"/>
          <w:sz w:val="32"/>
        </w:rPr>
        <w:t>项目支出全面开展绩效自评，其中，一级项目0个，二级项目1 个，共涉及资金</w:t>
      </w:r>
      <w:r>
        <w:rPr>
          <w:rFonts w:hint="eastAsia" w:ascii="微软雅黑" w:hAnsi="微软雅黑" w:eastAsia="微软雅黑" w:cs="微软雅黑"/>
          <w:color w:val="000000"/>
          <w:sz w:val="32"/>
          <w:lang w:val="en-US" w:eastAsia="zh-CN"/>
        </w:rPr>
        <w:t>3.00</w:t>
      </w:r>
      <w:r>
        <w:rPr>
          <w:rFonts w:hint="eastAsia" w:ascii="微软雅黑" w:hAnsi="微软雅黑" w:eastAsia="微软雅黑" w:cs="微软雅黑"/>
          <w:color w:val="000000"/>
          <w:sz w:val="32"/>
        </w:rPr>
        <w:t xml:space="preserve"> 万元，占</w:t>
      </w:r>
      <w:r>
        <w:rPr>
          <w:rFonts w:hint="eastAsia" w:ascii="微软雅黑" w:hAnsi="微软雅黑" w:eastAsia="微软雅黑" w:cs="微软雅黑"/>
          <w:color w:val="000000"/>
          <w:sz w:val="32"/>
          <w:lang w:eastAsia="zh-CN"/>
        </w:rPr>
        <w:t>其他资金</w:t>
      </w:r>
      <w:r>
        <w:rPr>
          <w:rFonts w:hint="eastAsia" w:ascii="微软雅黑" w:hAnsi="微软雅黑" w:eastAsia="微软雅黑" w:cs="微软雅黑"/>
          <w:color w:val="000000"/>
          <w:sz w:val="32"/>
        </w:rPr>
        <w:t>项目支出总额的100%。</w:t>
      </w:r>
    </w:p>
    <w:p w14:paraId="6E2DB59D">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组织对无害化处理及补贴资金项目等1 个项目开展了部门评价，涉及一般公共预算支出33.89万元，政府性基金预算支出0万元，国有资本经营预算支出0万元，其他资金项目支出3.00万元。从评价情况来看，本单位项目资金严格按照资金用途开支，实行专帐专户管理，项目实施资金发放进行公开公示，项目验收，完工结算等邀请专业部门进行专项审计，开展项目绩效评价，确保资金充分发挥效益。</w:t>
      </w:r>
    </w:p>
    <w:p w14:paraId="0963F7B9">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color w:val="000000"/>
          <w:kern w:val="0"/>
          <w:sz w:val="32"/>
          <w:szCs w:val="32"/>
          <w:lang w:val="en-US" w:eastAsia="zh-CN" w:bidi="ar-SA"/>
        </w:rPr>
        <w:t>组织对岳阳县定点屠宰服务中心等1个单位开展整体支出绩效评价，涉及一般公共预算支出146.52万元，政府性基金预算支出0万元、其他资金支出27.42万元，从评价情况来看，部门整体支出达到了预期工作成果，实现了预期工作目标，通过部门整体评价，特别是专项项目的实施，进一步普及了食品安全知识，落实了生猪定点屠宰管理制度，全面提高广大人民群众的食品安全意识，保障全县人民吃上了放心肉。</w:t>
      </w:r>
      <w:r>
        <w:rPr>
          <w:rFonts w:hint="eastAsia" w:ascii="微软雅黑" w:hAnsi="微软雅黑" w:eastAsia="微软雅黑" w:cs="微软雅黑"/>
          <w:b/>
          <w:color w:val="000000"/>
          <w:kern w:val="0"/>
          <w:sz w:val="32"/>
          <w:szCs w:val="32"/>
        </w:rPr>
        <w:t>（2）部门决算中项目绩效自评结果</w:t>
      </w:r>
    </w:p>
    <w:p w14:paraId="77C5636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无害化处理及补贴资金项目绩效自评综述：根据年初设定的绩效目标，项目绩效自评得分为98.80分。项目全年预算数为41.89 万元，执行数为36.89 万元，完成预算的88.00%%。项目绩效目标完成情况：一是项目资金主要用于组织全县屠宰企业非洲猪瘟检测现场教学、业务培训，切实增强了我县屠宰行业管理信息员的业务能力和责任意识；设立了毛田镇、长湖乡两家鲜肉定点配送点。为当地老百姓的肉食品安全提供了保障；二是屠宰服务中心多次联合执法大队、畜牧中队、畜牧动检站等对各屠宰企业进行日常巡查、夜间巡查，对违规违法行为的企业下达了整改通知书，性质严重的移交执法及公安处理；格按照《生猪定点屠宰厂（场）病害生猪无害化处理管理办法》的要求，督促各屠宰企业处理屠宰环节病害生猪，处理率100%，资金充分发挥了效益。发现的主要问题及原因：无。下一步改进措施：无。</w:t>
      </w:r>
    </w:p>
    <w:p w14:paraId="75DF42C1">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439FF188">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960" w:firstLineChars="3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color w:val="000000"/>
          <w:kern w:val="0"/>
          <w:sz w:val="32"/>
          <w:szCs w:val="32"/>
          <w:lang w:val="en-US" w:eastAsia="zh-CN" w:bidi="ar-SA"/>
        </w:rPr>
        <w:t>无。</w:t>
      </w:r>
    </w:p>
    <w:p w14:paraId="7B35481E">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b w:val="0"/>
          <w:bCs w:val="0"/>
          <w:i/>
          <w:iCs/>
          <w:color w:val="FF0000"/>
          <w:sz w:val="32"/>
          <w:szCs w:val="32"/>
          <w:lang w:eastAsia="zh-CN"/>
        </w:rPr>
        <w:br w:type="page"/>
      </w:r>
    </w:p>
    <w:p w14:paraId="1F34A884">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19C5EBF0">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162C0B9">
      <w:pPr>
        <w:jc w:val="center"/>
        <w:rPr>
          <w:rFonts w:hint="eastAsia" w:ascii="微软雅黑" w:hAnsi="微软雅黑" w:eastAsia="微软雅黑" w:cs="微软雅黑"/>
          <w:b/>
          <w:bCs/>
          <w:color w:val="000000"/>
          <w:kern w:val="0"/>
          <w:sz w:val="70"/>
          <w:szCs w:val="70"/>
        </w:rPr>
      </w:pPr>
    </w:p>
    <w:p w14:paraId="20F54615">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728F43C1">
      <w:pPr>
        <w:widowControl/>
        <w:jc w:val="left"/>
        <w:rPr>
          <w:rFonts w:hint="eastAsia" w:ascii="微软雅黑" w:hAnsi="微软雅黑" w:eastAsia="微软雅黑" w:cs="微软雅黑"/>
          <w:color w:val="000000"/>
          <w:kern w:val="0"/>
          <w:sz w:val="32"/>
          <w:szCs w:val="32"/>
        </w:rPr>
      </w:pPr>
    </w:p>
    <w:p w14:paraId="7F8137B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550E9B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sz w:val="72"/>
          <w:szCs w:val="7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78660FEA">
      <w:pPr>
        <w:pStyle w:val="15"/>
        <w:jc w:val="center"/>
        <w:rPr>
          <w:rFonts w:hint="eastAsia" w:ascii="微软雅黑" w:hAnsi="微软雅黑" w:eastAsia="微软雅黑" w:cs="微软雅黑"/>
          <w:sz w:val="72"/>
          <w:szCs w:val="72"/>
        </w:rPr>
      </w:pPr>
    </w:p>
    <w:p w14:paraId="51C22ADA">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D66D134">
      <w:pPr>
        <w:jc w:val="center"/>
        <w:rPr>
          <w:rFonts w:hint="eastAsia" w:ascii="微软雅黑" w:hAnsi="微软雅黑" w:eastAsia="微软雅黑" w:cs="微软雅黑"/>
          <w:b/>
          <w:bCs/>
          <w:color w:val="000000"/>
          <w:kern w:val="0"/>
          <w:sz w:val="70"/>
          <w:szCs w:val="70"/>
        </w:rPr>
      </w:pPr>
    </w:p>
    <w:p w14:paraId="62C6C31E">
      <w:pPr>
        <w:pStyle w:val="15"/>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071B552E">
      <w:pPr>
        <w:ind w:firstLine="640" w:firstLineChars="200"/>
        <w:jc w:val="left"/>
        <w:rPr>
          <w:rFonts w:hint="eastAsia" w:ascii="微软雅黑" w:hAnsi="微软雅黑" w:eastAsia="微软雅黑" w:cs="微软雅黑"/>
          <w:b/>
          <w:bCs/>
          <w:color w:val="000000"/>
          <w:kern w:val="0"/>
          <w:sz w:val="32"/>
          <w:szCs w:val="32"/>
          <w:lang w:val="en-US" w:eastAsia="zh-CN"/>
        </w:rPr>
      </w:pPr>
    </w:p>
    <w:p w14:paraId="293E491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2FCDC50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1060" w:bottom="720" w:left="106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5D7274"/>
    <w:multiLevelType w:val="singleLevel"/>
    <w:tmpl w:val="D55D7274"/>
    <w:lvl w:ilvl="0" w:tentative="0">
      <w:start w:val="6"/>
      <w:numFmt w:val="decimal"/>
      <w:suff w:val="nothing"/>
      <w:lvlText w:val="%1、"/>
      <w:lvlJc w:val="left"/>
    </w:lvl>
  </w:abstractNum>
  <w:abstractNum w:abstractNumId="1">
    <w:nsid w:val="52F3CE5E"/>
    <w:multiLevelType w:val="singleLevel"/>
    <w:tmpl w:val="52F3CE5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NDUwNzRkNjE1MmRjZmExZGY2MWIyMWNkMWI1ZWI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561A60"/>
    <w:rsid w:val="019D55FE"/>
    <w:rsid w:val="022A2C9E"/>
    <w:rsid w:val="05482261"/>
    <w:rsid w:val="05C141FC"/>
    <w:rsid w:val="074309F6"/>
    <w:rsid w:val="07966D78"/>
    <w:rsid w:val="07E04F3D"/>
    <w:rsid w:val="08AF54A9"/>
    <w:rsid w:val="096227F5"/>
    <w:rsid w:val="0A0C3321"/>
    <w:rsid w:val="0AC57974"/>
    <w:rsid w:val="0ADB6A55"/>
    <w:rsid w:val="0BA15124"/>
    <w:rsid w:val="0F9016DB"/>
    <w:rsid w:val="0FE268D2"/>
    <w:rsid w:val="10A73DA4"/>
    <w:rsid w:val="112C232F"/>
    <w:rsid w:val="116326B4"/>
    <w:rsid w:val="11A63AC3"/>
    <w:rsid w:val="11FA43A7"/>
    <w:rsid w:val="127B1BC0"/>
    <w:rsid w:val="13135140"/>
    <w:rsid w:val="134641EF"/>
    <w:rsid w:val="137F50E7"/>
    <w:rsid w:val="143040B0"/>
    <w:rsid w:val="1576001D"/>
    <w:rsid w:val="15986B0A"/>
    <w:rsid w:val="15A64981"/>
    <w:rsid w:val="16023A61"/>
    <w:rsid w:val="162730BB"/>
    <w:rsid w:val="166D5CE6"/>
    <w:rsid w:val="17A375B9"/>
    <w:rsid w:val="17D85E72"/>
    <w:rsid w:val="191A1185"/>
    <w:rsid w:val="1A4B623A"/>
    <w:rsid w:val="21680401"/>
    <w:rsid w:val="217156FE"/>
    <w:rsid w:val="242B71EB"/>
    <w:rsid w:val="26694EA0"/>
    <w:rsid w:val="27335F39"/>
    <w:rsid w:val="27B766F6"/>
    <w:rsid w:val="29701875"/>
    <w:rsid w:val="2EDE4C47"/>
    <w:rsid w:val="2F026361"/>
    <w:rsid w:val="2F5729E1"/>
    <w:rsid w:val="30266551"/>
    <w:rsid w:val="306F0E15"/>
    <w:rsid w:val="3077019C"/>
    <w:rsid w:val="31B77767"/>
    <w:rsid w:val="332130EA"/>
    <w:rsid w:val="33695CAD"/>
    <w:rsid w:val="33E12879"/>
    <w:rsid w:val="34095384"/>
    <w:rsid w:val="34E24AFB"/>
    <w:rsid w:val="36E96615"/>
    <w:rsid w:val="3B225C51"/>
    <w:rsid w:val="3BC62A80"/>
    <w:rsid w:val="3D51281E"/>
    <w:rsid w:val="3D7832D8"/>
    <w:rsid w:val="3E573E64"/>
    <w:rsid w:val="3FD348C7"/>
    <w:rsid w:val="40C80669"/>
    <w:rsid w:val="41456B3D"/>
    <w:rsid w:val="41940D6D"/>
    <w:rsid w:val="42415557"/>
    <w:rsid w:val="42FC322C"/>
    <w:rsid w:val="44AC435F"/>
    <w:rsid w:val="487D493C"/>
    <w:rsid w:val="493A4AAE"/>
    <w:rsid w:val="495C360A"/>
    <w:rsid w:val="49C10675"/>
    <w:rsid w:val="4A391334"/>
    <w:rsid w:val="4B61485F"/>
    <w:rsid w:val="4C76404F"/>
    <w:rsid w:val="4D542DAB"/>
    <w:rsid w:val="4DA73C54"/>
    <w:rsid w:val="4EC70B92"/>
    <w:rsid w:val="501841F6"/>
    <w:rsid w:val="512C2F2E"/>
    <w:rsid w:val="52E579D6"/>
    <w:rsid w:val="54513C93"/>
    <w:rsid w:val="557C7E48"/>
    <w:rsid w:val="55C63EE6"/>
    <w:rsid w:val="56DF3480"/>
    <w:rsid w:val="570F5142"/>
    <w:rsid w:val="5777D4F5"/>
    <w:rsid w:val="57A350B4"/>
    <w:rsid w:val="57D94F90"/>
    <w:rsid w:val="5870229A"/>
    <w:rsid w:val="588E2F53"/>
    <w:rsid w:val="58C425E6"/>
    <w:rsid w:val="59743537"/>
    <w:rsid w:val="599254FF"/>
    <w:rsid w:val="5A820063"/>
    <w:rsid w:val="5B4F3FC2"/>
    <w:rsid w:val="5B9C429C"/>
    <w:rsid w:val="5BFF15A3"/>
    <w:rsid w:val="5C983B6D"/>
    <w:rsid w:val="5D2E44D2"/>
    <w:rsid w:val="5DA84284"/>
    <w:rsid w:val="5DB1138B"/>
    <w:rsid w:val="5DB324EC"/>
    <w:rsid w:val="5E026FEC"/>
    <w:rsid w:val="5FC6BB1E"/>
    <w:rsid w:val="5FF720F1"/>
    <w:rsid w:val="617C1CB0"/>
    <w:rsid w:val="620F0DAA"/>
    <w:rsid w:val="632B701B"/>
    <w:rsid w:val="63930AB7"/>
    <w:rsid w:val="63CA7358"/>
    <w:rsid w:val="643C1282"/>
    <w:rsid w:val="645753D4"/>
    <w:rsid w:val="65B05FE0"/>
    <w:rsid w:val="660109D5"/>
    <w:rsid w:val="66576209"/>
    <w:rsid w:val="66581BAB"/>
    <w:rsid w:val="66873B01"/>
    <w:rsid w:val="6720463D"/>
    <w:rsid w:val="69C01A71"/>
    <w:rsid w:val="69E71C90"/>
    <w:rsid w:val="6A5A45C4"/>
    <w:rsid w:val="6BD30F4C"/>
    <w:rsid w:val="6BDE349F"/>
    <w:rsid w:val="6D15603E"/>
    <w:rsid w:val="6D1D2BA3"/>
    <w:rsid w:val="6D340BE9"/>
    <w:rsid w:val="6E4E0530"/>
    <w:rsid w:val="6EED356D"/>
    <w:rsid w:val="708D229C"/>
    <w:rsid w:val="71B615C9"/>
    <w:rsid w:val="72853156"/>
    <w:rsid w:val="72D57472"/>
    <w:rsid w:val="73653335"/>
    <w:rsid w:val="737D59BA"/>
    <w:rsid w:val="73D15FE7"/>
    <w:rsid w:val="743957DE"/>
    <w:rsid w:val="75063912"/>
    <w:rsid w:val="7568121F"/>
    <w:rsid w:val="772C33D8"/>
    <w:rsid w:val="776B5ABC"/>
    <w:rsid w:val="776D2CE2"/>
    <w:rsid w:val="77804BE8"/>
    <w:rsid w:val="77C37683"/>
    <w:rsid w:val="77EA3A3C"/>
    <w:rsid w:val="78C961F4"/>
    <w:rsid w:val="79D3785F"/>
    <w:rsid w:val="79FF515B"/>
    <w:rsid w:val="7A30031E"/>
    <w:rsid w:val="7AD65B35"/>
    <w:rsid w:val="7C4D3A17"/>
    <w:rsid w:val="7CED52BE"/>
    <w:rsid w:val="7E9F11B4"/>
    <w:rsid w:val="7EFA6B1D"/>
    <w:rsid w:val="7FC3276A"/>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toa heading"/>
    <w:next w:val="1"/>
    <w:qFormat/>
    <w:uiPriority w:val="99"/>
    <w:pPr>
      <w:widowControl w:val="0"/>
      <w:spacing w:before="120" w:after="200" w:line="276" w:lineRule="auto"/>
      <w:jc w:val="both"/>
    </w:pPr>
    <w:rPr>
      <w:rFonts w:ascii="Arial" w:hAnsi="Arial" w:eastAsia="宋体" w:cs="Times New Roman"/>
      <w:kern w:val="2"/>
      <w:sz w:val="24"/>
      <w:szCs w:val="21"/>
      <w:lang w:val="en-US" w:eastAsia="zh-CN" w:bidi="ar-SA"/>
    </w:r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qFormat/>
    <w:uiPriority w:val="0"/>
    <w:pPr>
      <w:widowControl w:val="0"/>
      <w:spacing w:before="100" w:beforeAutospacing="1" w:after="100" w:afterAutospacing="1"/>
      <w:ind w:left="0" w:right="0"/>
      <w:jc w:val="left"/>
    </w:pPr>
    <w:rPr>
      <w:rFonts w:ascii="Times New Roman" w:hAnsi="Times New Roman" w:eastAsia="宋体" w:cs="Times New Roman"/>
      <w:kern w:val="0"/>
      <w:sz w:val="24"/>
      <w:szCs w:val="21"/>
      <w:lang w:val="en-US" w:eastAsia="zh-CN" w:bidi="ar"/>
    </w:rPr>
  </w:style>
  <w:style w:type="character" w:customStyle="1" w:styleId="9">
    <w:name w:val="批注框文本 Char"/>
    <w:basedOn w:val="8"/>
    <w:link w:val="3"/>
    <w:semiHidden/>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页眉 Char"/>
    <w:basedOn w:val="8"/>
    <w:link w:val="5"/>
    <w:qFormat/>
    <w:uiPriority w:val="99"/>
    <w:rPr>
      <w:sz w:val="18"/>
      <w:szCs w:val="18"/>
    </w:rPr>
  </w:style>
  <w:style w:type="character" w:customStyle="1" w:styleId="12">
    <w:name w:val="font11"/>
    <w:basedOn w:val="8"/>
    <w:qFormat/>
    <w:uiPriority w:val="0"/>
    <w:rPr>
      <w:rFonts w:hint="eastAsia" w:ascii="宋体" w:hAnsi="宋体" w:eastAsia="宋体" w:cs="宋体"/>
      <w:color w:val="000000"/>
      <w:sz w:val="24"/>
      <w:szCs w:val="24"/>
      <w:u w:val="none"/>
    </w:rPr>
  </w:style>
  <w:style w:type="character" w:customStyle="1" w:styleId="13">
    <w:name w:val="font21"/>
    <w:basedOn w:val="8"/>
    <w:qFormat/>
    <w:uiPriority w:val="0"/>
    <w:rPr>
      <w:rFonts w:hint="eastAsia" w:ascii="宋体" w:hAnsi="宋体" w:eastAsia="宋体" w:cs="宋体"/>
      <w:color w:val="000000"/>
      <w:sz w:val="24"/>
      <w:szCs w:val="24"/>
      <w:u w:val="none"/>
    </w:rPr>
  </w:style>
  <w:style w:type="character" w:customStyle="1" w:styleId="14">
    <w:name w:val="font01"/>
    <w:basedOn w:val="8"/>
    <w:qFormat/>
    <w:uiPriority w:val="0"/>
    <w:rPr>
      <w:rFonts w:hint="eastAsia" w:ascii="宋体" w:hAnsi="宋体" w:eastAsia="宋体" w:cs="宋体"/>
      <w:color w:val="000000"/>
      <w:sz w:val="22"/>
      <w:szCs w:val="22"/>
      <w:u w:val="none"/>
    </w:rPr>
  </w:style>
  <w:style w:type="paragraph" w:customStyle="1" w:styleId="15">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5008</Words>
  <Characters>5579</Characters>
  <Lines>63</Lines>
  <Paragraphs>18</Paragraphs>
  <TotalTime>56</TotalTime>
  <ScaleCrop>false</ScaleCrop>
  <LinksUpToDate>false</LinksUpToDate>
  <CharactersWithSpaces>5596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红梅</cp:lastModifiedBy>
  <cp:lastPrinted>2023-08-15T09:28:00Z</cp:lastPrinted>
  <dcterms:modified xsi:type="dcterms:W3CDTF">2024-10-11T02:14:17Z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661ABA64067A42B98A18CBAF8FC9F9FC_13</vt:lpwstr>
  </property>
</Properties>
</file>