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39F21"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 w14:paraId="3352F315">
      <w:pPr>
        <w:spacing w:line="800" w:lineRule="exact"/>
        <w:jc w:val="center"/>
        <w:rPr>
          <w:rFonts w:hint="eastAsia"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岳阳县</w:t>
      </w:r>
      <w:r>
        <w:rPr>
          <w:rFonts w:hint="eastAsia" w:eastAsia="方正小标宋简体"/>
          <w:bCs/>
          <w:sz w:val="46"/>
          <w:szCs w:val="46"/>
          <w:lang w:eastAsia="zh-CN"/>
        </w:rPr>
        <w:t>农业广播电视学校</w:t>
      </w:r>
      <w:r>
        <w:rPr>
          <w:rFonts w:hint="eastAsia" w:eastAsia="方正小标宋简体"/>
          <w:bCs/>
          <w:sz w:val="46"/>
          <w:szCs w:val="46"/>
        </w:rPr>
        <w:t>202</w:t>
      </w:r>
      <w:r>
        <w:rPr>
          <w:rFonts w:hint="eastAsia" w:eastAsia="方正小标宋简体"/>
          <w:bCs/>
          <w:sz w:val="46"/>
          <w:szCs w:val="46"/>
          <w:lang w:val="en-US" w:eastAsia="zh-CN"/>
        </w:rPr>
        <w:t>3</w:t>
      </w:r>
      <w:r>
        <w:rPr>
          <w:rFonts w:hint="eastAsia" w:eastAsia="方正小标宋简体"/>
          <w:bCs/>
          <w:sz w:val="46"/>
          <w:szCs w:val="46"/>
        </w:rPr>
        <w:t>年度整体支出绩效自评报告</w:t>
      </w:r>
    </w:p>
    <w:p w14:paraId="20EC9BCF">
      <w:pPr>
        <w:rPr>
          <w:rFonts w:hint="eastAsia" w:eastAsia="仿宋_GB2312"/>
          <w:b/>
          <w:sz w:val="32"/>
        </w:rPr>
      </w:pPr>
    </w:p>
    <w:p w14:paraId="1D517FC6">
      <w:pPr>
        <w:numPr>
          <w:ilvl w:val="0"/>
          <w:numId w:val="2"/>
        </w:numPr>
        <w:spacing w:line="560" w:lineRule="exact"/>
        <w:ind w:firstLine="560" w:firstLineChars="200"/>
        <w:rPr>
          <w:rFonts w:hint="eastAsia" w:ascii="黑体" w:eastAsia="黑体" w:cs="黑体"/>
          <w:bCs/>
          <w:sz w:val="28"/>
          <w:szCs w:val="28"/>
          <w:lang w:eastAsia="zh-CN"/>
        </w:rPr>
      </w:pPr>
      <w:r>
        <w:rPr>
          <w:rFonts w:hint="eastAsia" w:ascii="黑体" w:eastAsia="黑体" w:cs="黑体"/>
          <w:bCs/>
          <w:sz w:val="28"/>
          <w:szCs w:val="28"/>
        </w:rPr>
        <w:t>部门（单位）</w:t>
      </w:r>
      <w:r>
        <w:rPr>
          <w:rFonts w:hint="eastAsia" w:ascii="黑体" w:eastAsia="黑体" w:cs="黑体"/>
          <w:bCs/>
          <w:sz w:val="28"/>
          <w:szCs w:val="28"/>
          <w:lang w:eastAsia="zh-CN"/>
        </w:rPr>
        <w:t>基本情况</w:t>
      </w:r>
    </w:p>
    <w:p w14:paraId="58001702">
      <w:pPr>
        <w:spacing w:line="560" w:lineRule="exact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1、机构设置</w:t>
      </w:r>
    </w:p>
    <w:p w14:paraId="3EEECA6A">
      <w:pPr>
        <w:widowControl/>
        <w:spacing w:before="100" w:beforeAutospacing="1" w:after="100" w:afterAutospacing="1" w:line="390" w:lineRule="atLeast"/>
        <w:ind w:firstLine="645"/>
        <w:jc w:val="left"/>
        <w:rPr>
          <w:rFonts w:hint="eastAsia"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岳阳县农业广播电视学校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为岳阳县农业农村局</w:t>
      </w:r>
      <w:r>
        <w:rPr>
          <w:rFonts w:hint="eastAsia" w:ascii="仿宋" w:hAnsi="仿宋" w:eastAsia="仿宋" w:cs="仿宋"/>
          <w:sz w:val="32"/>
          <w:szCs w:val="32"/>
        </w:rPr>
        <w:t>所属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公益一</w:t>
      </w:r>
      <w:r>
        <w:rPr>
          <w:rFonts w:hint="eastAsia" w:ascii="仿宋" w:hAnsi="仿宋" w:eastAsia="仿宋" w:cs="仿宋"/>
          <w:sz w:val="32"/>
          <w:szCs w:val="32"/>
        </w:rPr>
        <w:t>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财政全额拨款</w:t>
      </w:r>
      <w:r>
        <w:rPr>
          <w:rFonts w:hint="eastAsia" w:ascii="仿宋" w:hAnsi="仿宋" w:eastAsia="仿宋" w:cs="仿宋"/>
          <w:sz w:val="32"/>
          <w:szCs w:val="32"/>
        </w:rPr>
        <w:t>副科级事业单位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，财务独立核算。编制数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人，本部门在编在岗职工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人，退休3人。内设有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个股室：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eastAsia="zh-CN"/>
        </w:rPr>
        <w:t>教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务股、财务股、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eastAsia="zh-CN"/>
        </w:rPr>
        <w:t>综合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股。</w:t>
      </w:r>
    </w:p>
    <w:p w14:paraId="0200EFCC">
      <w:pPr>
        <w:pStyle w:val="14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2、主要职责</w:t>
      </w:r>
    </w:p>
    <w:p w14:paraId="6AD66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Calibri" w:hAnsi="Calibri" w:eastAsia="仿宋" w:cs="Calibri"/>
          <w:sz w:val="32"/>
          <w:szCs w:val="32"/>
          <w:lang w:val="en-US" w:eastAsia="zh-CN"/>
        </w:rPr>
        <w:t>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承担农村实用技术培训，农民素质教育，农村劳动力就业技能培训，农科教结合组织实施，农民教育培训等工作。</w:t>
      </w:r>
    </w:p>
    <w:p w14:paraId="0604E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Calibri" w:hAnsi="Calibri" w:eastAsia="仿宋" w:cs="Calibri"/>
          <w:sz w:val="32"/>
          <w:szCs w:val="32"/>
          <w:lang w:val="en-US" w:eastAsia="zh-CN"/>
        </w:rPr>
        <w:t>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承担远距离农业成人高等教育和中等职业教育工作。</w:t>
      </w:r>
    </w:p>
    <w:p w14:paraId="67369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Calibri" w:hAnsi="Calibri" w:eastAsia="仿宋" w:cs="Calibri"/>
          <w:sz w:val="32"/>
          <w:szCs w:val="32"/>
          <w:lang w:val="en-US" w:eastAsia="zh-CN"/>
        </w:rPr>
        <w:t>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承担组织实施农民体育健身活动，承担农民体育协会工作。</w:t>
      </w:r>
    </w:p>
    <w:p w14:paraId="0AE86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承担县农业农村局交办的其他工作。</w:t>
      </w:r>
    </w:p>
    <w:p w14:paraId="4B960818">
      <w:pPr>
        <w:pStyle w:val="14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</w:p>
    <w:p w14:paraId="70416ED9">
      <w:pPr>
        <w:spacing w:line="560" w:lineRule="exact"/>
        <w:ind w:firstLine="560" w:firstLineChars="200"/>
        <w:rPr>
          <w:rFonts w:hint="eastAsia" w:ascii="黑体" w:eastAsia="黑体" w:cs="黑体"/>
          <w:bCs/>
          <w:sz w:val="28"/>
          <w:szCs w:val="28"/>
          <w:lang w:eastAsia="zh-CN"/>
        </w:rPr>
      </w:pPr>
      <w:r>
        <w:rPr>
          <w:rFonts w:hint="eastAsia" w:ascii="黑体" w:eastAsia="黑体" w:cs="黑体"/>
          <w:bCs/>
          <w:sz w:val="28"/>
          <w:szCs w:val="28"/>
        </w:rPr>
        <w:t>二、</w:t>
      </w:r>
      <w:r>
        <w:rPr>
          <w:rFonts w:hint="eastAsia" w:ascii="黑体" w:eastAsia="黑体" w:cs="黑体"/>
          <w:bCs/>
          <w:sz w:val="28"/>
          <w:szCs w:val="28"/>
          <w:lang w:eastAsia="zh-CN"/>
        </w:rPr>
        <w:t>一般公共预算支出情况</w:t>
      </w:r>
    </w:p>
    <w:p w14:paraId="5186BA7F">
      <w:pPr>
        <w:spacing w:line="560" w:lineRule="exact"/>
        <w:ind w:firstLine="560" w:firstLineChars="200"/>
        <w:rPr>
          <w:rFonts w:hint="eastAsia" w:asci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bCs/>
          <w:sz w:val="28"/>
          <w:szCs w:val="28"/>
        </w:rPr>
        <w:t>（一）基本支出</w:t>
      </w:r>
      <w:r>
        <w:rPr>
          <w:rFonts w:hint="eastAsia" w:ascii="仿宋_GB2312" w:eastAsia="仿宋_GB2312" w:cs="仿宋_GB2312"/>
          <w:bCs/>
          <w:sz w:val="28"/>
          <w:szCs w:val="28"/>
          <w:lang w:eastAsia="zh-CN"/>
        </w:rPr>
        <w:t>情况</w:t>
      </w:r>
    </w:p>
    <w:p w14:paraId="1A44B73C">
      <w:pPr>
        <w:pStyle w:val="14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eastAsia="zh-CN"/>
        </w:rPr>
        <w:t>2023年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度基本支出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/>
        </w:rPr>
        <w:t>157.33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万元，其中：人员经费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/>
        </w:rPr>
        <w:t>101.15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万元，主要包括基本工资、津贴补贴、奖金、伙食补助费、职业年金缴费、职工基本医疗保险缴费、公务员医疗补助缴费、其他社会保障缴费、住房公积金；公用经费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/>
        </w:rPr>
        <w:t>56.19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万元，主要包括手续费、电费、邮电费、差旅费、维修费、会议费、培训费、公务接待费、工会经费、其他交通费用、其他商品和服务支出。</w:t>
      </w:r>
    </w:p>
    <w:p w14:paraId="5CAA81CB">
      <w:pPr>
        <w:numPr>
          <w:ilvl w:val="0"/>
          <w:numId w:val="3"/>
        </w:numPr>
        <w:spacing w:line="560" w:lineRule="exact"/>
        <w:ind w:firstLine="560" w:firstLineChars="200"/>
        <w:rPr>
          <w:rFonts w:hint="eastAsia" w:asci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bCs/>
          <w:sz w:val="28"/>
          <w:szCs w:val="28"/>
          <w:lang w:eastAsia="zh-CN"/>
        </w:rPr>
        <w:t>项目支出情况</w:t>
      </w:r>
    </w:p>
    <w:p w14:paraId="56054395">
      <w:pPr>
        <w:spacing w:line="560" w:lineRule="exact"/>
        <w:ind w:firstLine="1120" w:firstLineChars="400"/>
        <w:rPr>
          <w:rFonts w:hint="eastAsia" w:asci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无。</w:t>
      </w:r>
    </w:p>
    <w:p w14:paraId="352BE730">
      <w:pPr>
        <w:numPr>
          <w:ilvl w:val="0"/>
          <w:numId w:val="0"/>
        </w:numPr>
        <w:spacing w:line="560" w:lineRule="exact"/>
        <w:ind w:firstLine="280" w:firstLineChars="100"/>
        <w:rPr>
          <w:rFonts w:hint="eastAsia" w:ascii="黑体" w:eastAsia="黑体" w:cs="黑体"/>
          <w:bCs/>
          <w:sz w:val="28"/>
          <w:szCs w:val="28"/>
          <w:lang w:eastAsia="zh-CN"/>
        </w:rPr>
      </w:pPr>
      <w:r>
        <w:rPr>
          <w:rFonts w:hint="eastAsia" w:ascii="黑体" w:eastAsia="黑体" w:cs="黑体"/>
          <w:bCs/>
          <w:sz w:val="28"/>
          <w:szCs w:val="28"/>
          <w:lang w:eastAsia="zh-CN"/>
        </w:rPr>
        <w:t>三、政府性基金预算支出情况</w:t>
      </w:r>
    </w:p>
    <w:p w14:paraId="7E5A067F">
      <w:pPr>
        <w:numPr>
          <w:ilvl w:val="0"/>
          <w:numId w:val="0"/>
        </w:numPr>
        <w:spacing w:line="560" w:lineRule="exact"/>
        <w:ind w:firstLine="1120" w:firstLineChars="400"/>
        <w:rPr>
          <w:rFonts w:hint="eastAsia" w:asci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bCs/>
          <w:sz w:val="28"/>
          <w:szCs w:val="28"/>
          <w:lang w:eastAsia="zh-CN"/>
        </w:rPr>
        <w:t>无。</w:t>
      </w:r>
    </w:p>
    <w:p w14:paraId="17C35745">
      <w:pPr>
        <w:numPr>
          <w:ilvl w:val="0"/>
          <w:numId w:val="0"/>
        </w:numPr>
        <w:spacing w:line="560" w:lineRule="exact"/>
        <w:ind w:firstLine="280" w:firstLineChars="100"/>
        <w:rPr>
          <w:rFonts w:hint="eastAsia" w:ascii="黑体" w:eastAsia="黑体" w:cs="黑体"/>
          <w:bCs/>
          <w:sz w:val="28"/>
          <w:szCs w:val="28"/>
          <w:lang w:eastAsia="zh-CN"/>
        </w:rPr>
      </w:pPr>
      <w:r>
        <w:rPr>
          <w:rFonts w:hint="eastAsia" w:ascii="黑体" w:eastAsia="黑体" w:cs="黑体"/>
          <w:bCs/>
          <w:sz w:val="28"/>
          <w:szCs w:val="28"/>
          <w:lang w:eastAsia="zh-CN"/>
        </w:rPr>
        <w:t>四、国有资本经营预算支出情况</w:t>
      </w:r>
    </w:p>
    <w:p w14:paraId="20CE6B61">
      <w:pPr>
        <w:numPr>
          <w:ilvl w:val="0"/>
          <w:numId w:val="0"/>
        </w:numPr>
        <w:spacing w:line="560" w:lineRule="exact"/>
        <w:ind w:leftChars="200"/>
        <w:rPr>
          <w:rFonts w:hint="default" w:asci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bCs/>
          <w:sz w:val="28"/>
          <w:szCs w:val="28"/>
          <w:lang w:val="en-US" w:eastAsia="zh-CN"/>
        </w:rPr>
        <w:t xml:space="preserve">     无。</w:t>
      </w:r>
    </w:p>
    <w:p w14:paraId="414CE765">
      <w:pPr>
        <w:numPr>
          <w:ilvl w:val="0"/>
          <w:numId w:val="0"/>
        </w:numPr>
        <w:spacing w:line="560" w:lineRule="exact"/>
        <w:ind w:firstLine="280" w:firstLineChars="100"/>
        <w:rPr>
          <w:rFonts w:hint="eastAsia" w:ascii="黑体" w:eastAsia="黑体" w:cs="黑体"/>
          <w:bCs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bCs/>
          <w:sz w:val="28"/>
          <w:szCs w:val="28"/>
          <w:lang w:eastAsia="zh-CN"/>
        </w:rPr>
        <w:t>五、社会保险基金预算支出情况</w:t>
      </w:r>
      <w:r>
        <w:rPr>
          <w:rFonts w:hint="eastAsia" w:ascii="黑体" w:eastAsia="黑体" w:cs="黑体"/>
          <w:bCs/>
          <w:sz w:val="28"/>
          <w:szCs w:val="28"/>
          <w:lang w:val="en-US" w:eastAsia="zh-CN"/>
        </w:rPr>
        <w:t xml:space="preserve"> </w:t>
      </w:r>
    </w:p>
    <w:p w14:paraId="3F2AEA8D">
      <w:pPr>
        <w:numPr>
          <w:ilvl w:val="0"/>
          <w:numId w:val="0"/>
        </w:numPr>
        <w:spacing w:line="560" w:lineRule="exact"/>
        <w:ind w:leftChars="200"/>
        <w:rPr>
          <w:rFonts w:hint="default" w:asci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bCs/>
          <w:sz w:val="28"/>
          <w:szCs w:val="28"/>
          <w:lang w:val="en-US" w:eastAsia="zh-CN"/>
        </w:rPr>
        <w:t xml:space="preserve">    无。</w:t>
      </w:r>
    </w:p>
    <w:p w14:paraId="3D108C10">
      <w:pPr>
        <w:numPr>
          <w:ilvl w:val="0"/>
          <w:numId w:val="0"/>
        </w:numPr>
        <w:spacing w:line="560" w:lineRule="exact"/>
        <w:ind w:firstLine="280" w:firstLineChars="100"/>
        <w:rPr>
          <w:rFonts w:hint="eastAsia" w:ascii="黑体" w:eastAsia="黑体" w:cs="黑体"/>
          <w:bCs/>
          <w:sz w:val="28"/>
          <w:szCs w:val="28"/>
          <w:lang w:eastAsia="zh-CN"/>
        </w:rPr>
      </w:pPr>
      <w:r>
        <w:rPr>
          <w:rFonts w:hint="eastAsia" w:ascii="黑体" w:eastAsia="黑体" w:cs="黑体"/>
          <w:bCs/>
          <w:sz w:val="28"/>
          <w:szCs w:val="28"/>
          <w:lang w:eastAsia="zh-CN"/>
        </w:rPr>
        <w:t>六、部门（单位）整体支出绩效情况</w:t>
      </w:r>
    </w:p>
    <w:p w14:paraId="183BD248">
      <w:pPr>
        <w:pStyle w:val="14"/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eastAsia="zh-CN"/>
        </w:rPr>
        <w:t>2023年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度支出总计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/>
        </w:rPr>
        <w:t>157.34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万元，其中基本支出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/>
        </w:rPr>
        <w:t>157.34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万元，主要用于人员工资、福利、社会保障缴费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办公室公用支出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eastAsia="zh-CN"/>
        </w:rPr>
        <w:t>和培训业务支出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等，我们对整个财政资金支出情况和工作成果进行了认真分析，部门整体支出达到了预期工作成果，实现了预期工作目标，通过部门整体评价，特别是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eastAsia="zh-CN"/>
        </w:rPr>
        <w:t>培训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项目的实施，既提高了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eastAsia="zh-CN"/>
        </w:rPr>
        <w:t>农民职业技能，又提高了农民的素质教育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，为我县的新农村建设和现代农业发展提供强有力的人才支撑。</w:t>
      </w:r>
    </w:p>
    <w:p w14:paraId="51FDC310">
      <w:pPr>
        <w:numPr>
          <w:ilvl w:val="0"/>
          <w:numId w:val="0"/>
        </w:numPr>
        <w:spacing w:line="560" w:lineRule="exact"/>
        <w:ind w:firstLine="280" w:firstLineChars="100"/>
        <w:rPr>
          <w:rFonts w:hint="eastAsia" w:ascii="黑体" w:eastAsia="黑体" w:cs="黑体"/>
          <w:bCs/>
          <w:sz w:val="28"/>
          <w:szCs w:val="28"/>
        </w:rPr>
      </w:pPr>
      <w:r>
        <w:rPr>
          <w:rFonts w:hint="eastAsia" w:ascii="黑体" w:eastAsia="黑体" w:cs="黑体"/>
          <w:bCs/>
          <w:sz w:val="28"/>
          <w:szCs w:val="28"/>
          <w:lang w:eastAsia="zh-CN"/>
        </w:rPr>
        <w:t>七、</w:t>
      </w:r>
      <w:r>
        <w:rPr>
          <w:rFonts w:hint="eastAsia" w:ascii="黑体" w:eastAsia="黑体" w:cs="黑体"/>
          <w:bCs/>
          <w:sz w:val="28"/>
          <w:szCs w:val="28"/>
        </w:rPr>
        <w:t>存在的主要问题</w:t>
      </w:r>
      <w:r>
        <w:rPr>
          <w:rFonts w:hint="eastAsia" w:ascii="黑体" w:eastAsia="黑体" w:cs="黑体"/>
          <w:bCs/>
          <w:sz w:val="28"/>
          <w:szCs w:val="28"/>
          <w:lang w:eastAsia="zh-CN"/>
        </w:rPr>
        <w:t>及原因分析</w:t>
      </w:r>
    </w:p>
    <w:p w14:paraId="3E5F01FA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一是招生形势严峻，办学难度加大。近年来，专本科函授教育多，由于办学单位众多，生源越来越少，招生竞争激烈，我校的优势不多、特色不明，面临着招生越来越难，生源越来越少的困境。</w:t>
      </w:r>
    </w:p>
    <w:p w14:paraId="4A0F10B0">
      <w:pPr>
        <w:spacing w:line="560" w:lineRule="exact"/>
        <w:ind w:firstLine="560" w:firstLineChars="200"/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二是专项投入很少，办学经费紧缺。省市县每年用于改善农广校办学条件专项投入少，存在办学经费紧张、事业经费不足问题。加之农民教育培训工作量大、产业需求突出、任务艰巨、各项支出相应增大，农民教育培训工作经费短缺尤为突出，严重制约了我校的发展和农民教育培训工作的顺利开展。</w:t>
      </w:r>
    </w:p>
    <w:p w14:paraId="5B9FC94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三是办学条件较差，教学资源不足。由于没有独立的办学场地，没有学教、食宿一体化的硬件，所以导致办学条件较差。另外聘请的专、兼职教师和土专家、田秀才覆盖面窄，目前的电教设备难以适应现代教学要求，导致电教化水平滞后，媒体资源利用率低，专业书籍存量不足，教学手段单一，在一定程度上制约了教学工作的顺利开展。</w:t>
      </w:r>
    </w:p>
    <w:p w14:paraId="1EA4824F">
      <w:pPr>
        <w:numPr>
          <w:numId w:val="0"/>
        </w:numPr>
        <w:spacing w:line="560" w:lineRule="exact"/>
        <w:ind w:firstLine="560" w:firstLineChars="200"/>
        <w:rPr>
          <w:rFonts w:hint="eastAsia" w:ascii="黑体" w:eastAsia="黑体" w:cs="黑体"/>
          <w:bCs/>
          <w:sz w:val="28"/>
          <w:szCs w:val="28"/>
        </w:rPr>
      </w:pPr>
      <w:r>
        <w:rPr>
          <w:rFonts w:hint="eastAsia" w:ascii="黑体" w:eastAsia="黑体" w:cs="黑体"/>
          <w:bCs/>
          <w:sz w:val="28"/>
          <w:szCs w:val="28"/>
          <w:lang w:eastAsia="zh-CN"/>
        </w:rPr>
        <w:t>八、下一步</w:t>
      </w:r>
      <w:r>
        <w:rPr>
          <w:rFonts w:hint="eastAsia" w:ascii="黑体" w:eastAsia="黑体" w:cs="黑体"/>
          <w:bCs/>
          <w:sz w:val="28"/>
          <w:szCs w:val="28"/>
        </w:rPr>
        <w:t>改进措施</w:t>
      </w:r>
    </w:p>
    <w:p w14:paraId="47EC8BA6"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争取政府重视，加大培训投入力度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。</w:t>
      </w:r>
    </w:p>
    <w:p w14:paraId="2C60111F">
      <w:pPr>
        <w:numPr>
          <w:ilvl w:val="0"/>
          <w:numId w:val="0"/>
        </w:numPr>
        <w:spacing w:line="560" w:lineRule="exact"/>
        <w:ind w:firstLine="560" w:firstLineChars="200"/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提高培训质量，提高学员学习主动性。</w:t>
      </w:r>
    </w:p>
    <w:p w14:paraId="15C6D88E"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黑体" w:eastAsia="黑体" w:cs="黑体"/>
          <w:bCs/>
          <w:sz w:val="28"/>
          <w:szCs w:val="28"/>
          <w:lang w:eastAsia="zh-CN"/>
        </w:rPr>
      </w:pPr>
      <w:r>
        <w:rPr>
          <w:rFonts w:hint="eastAsia" w:ascii="黑体" w:eastAsia="黑体" w:cs="黑体"/>
          <w:bCs/>
          <w:sz w:val="28"/>
          <w:szCs w:val="28"/>
          <w:lang w:eastAsia="zh-CN"/>
        </w:rPr>
        <w:t>九、部门整体支出绩效自评结果拟应用和公开情况</w:t>
      </w:r>
    </w:p>
    <w:p w14:paraId="5F7F3F3E">
      <w:pPr>
        <w:spacing w:line="560" w:lineRule="exact"/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我单位部分整体支出绩效自评报告已在政府门户网站公开。</w:t>
      </w:r>
    </w:p>
    <w:p w14:paraId="7D7C69A2"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黑体" w:eastAsia="黑体" w:cs="黑体"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黑体" w:eastAsia="黑体" w:cs="黑体"/>
          <w:bCs/>
          <w:sz w:val="28"/>
          <w:szCs w:val="28"/>
          <w:lang w:eastAsia="zh-CN"/>
        </w:rPr>
        <w:t>十、其他需要说明的情况</w:t>
      </w:r>
    </w:p>
    <w:p w14:paraId="28DB0ED7">
      <w:pPr>
        <w:spacing w:line="560" w:lineRule="exact"/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无</w:t>
      </w:r>
    </w:p>
    <w:p w14:paraId="49841856">
      <w:pPr>
        <w:spacing w:line="56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                                    202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年5月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日</w:t>
      </w:r>
    </w:p>
    <w:p w14:paraId="5CC882D1">
      <w:pPr>
        <w:adjustRightInd w:val="0"/>
        <w:snapToGrid w:val="0"/>
        <w:spacing w:line="200" w:lineRule="exact"/>
        <w:contextualSpacing/>
        <w:rPr>
          <w:rFonts w:hint="eastAsia" w:eastAsia="仿宋_GB2312"/>
          <w:sz w:val="32"/>
        </w:rPr>
      </w:pPr>
    </w:p>
    <w:sectPr>
      <w:footerReference r:id="rId3" w:type="default"/>
      <w:footerReference r:id="rId4" w:type="even"/>
      <w:pgSz w:w="11906" w:h="16838"/>
      <w:pgMar w:top="1588" w:right="1588" w:bottom="158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roman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1B7DBB">
    <w:pPr>
      <w:pStyle w:val="4"/>
      <w:framePr w:wrap="around" w:vAnchor="text" w:hAnchor="margin" w:xAlign="outside" w:y="1"/>
      <w:rPr>
        <w:rStyle w:val="8"/>
        <w:sz w:val="24"/>
        <w:szCs w:val="24"/>
      </w:rPr>
    </w:pPr>
    <w:r>
      <w:rPr>
        <w:rStyle w:val="8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8"/>
        <w:sz w:val="24"/>
        <w:szCs w:val="24"/>
      </w:rPr>
      <w:t>10</w:t>
    </w:r>
    <w:r>
      <w:rPr>
        <w:sz w:val="24"/>
        <w:szCs w:val="24"/>
      </w:rPr>
      <w:fldChar w:fldCharType="end"/>
    </w:r>
    <w:r>
      <w:rPr>
        <w:rStyle w:val="8"/>
        <w:rFonts w:hint="eastAsia"/>
        <w:sz w:val="24"/>
        <w:szCs w:val="24"/>
      </w:rPr>
      <w:t xml:space="preserve"> —</w:t>
    </w:r>
  </w:p>
  <w:p w14:paraId="47009499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BCD60"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vanish/>
      </w:rPr>
      <w:t xml:space="preserve"> </w:t>
    </w:r>
    <w:r>
      <w:fldChar w:fldCharType="end"/>
    </w:r>
  </w:p>
  <w:p w14:paraId="1EC134B8"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58E5B"/>
    <w:multiLevelType w:val="singleLevel"/>
    <w:tmpl w:val="A8758E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2">
    <w:nsid w:val="7204E8C8"/>
    <w:multiLevelType w:val="singleLevel"/>
    <w:tmpl w:val="7204E8C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hNDUwNzRkNjE1MmRjZmExZGY2MWIyMWNkMWI1ZWIifQ=="/>
  </w:docVars>
  <w:rsids>
    <w:rsidRoot w:val="002841F0"/>
    <w:rsid w:val="000969AD"/>
    <w:rsid w:val="001554F5"/>
    <w:rsid w:val="003315C4"/>
    <w:rsid w:val="004619DB"/>
    <w:rsid w:val="0075536E"/>
    <w:rsid w:val="00BD6ADF"/>
    <w:rsid w:val="00DA3349"/>
    <w:rsid w:val="011E1F65"/>
    <w:rsid w:val="078C459F"/>
    <w:rsid w:val="16093F4F"/>
    <w:rsid w:val="195E3D39"/>
    <w:rsid w:val="1F2A1DDE"/>
    <w:rsid w:val="20223C23"/>
    <w:rsid w:val="2B461356"/>
    <w:rsid w:val="2E870919"/>
    <w:rsid w:val="2E9A1BC8"/>
    <w:rsid w:val="30CA1548"/>
    <w:rsid w:val="36681034"/>
    <w:rsid w:val="3C44609B"/>
    <w:rsid w:val="47F8191B"/>
    <w:rsid w:val="51CC267A"/>
    <w:rsid w:val="52C5117E"/>
    <w:rsid w:val="53CD64DA"/>
    <w:rsid w:val="55D321F5"/>
    <w:rsid w:val="5DBB7CF2"/>
    <w:rsid w:val="62EC265B"/>
    <w:rsid w:val="68E32BE7"/>
    <w:rsid w:val="6C302605"/>
    <w:rsid w:val="6D3F51E8"/>
    <w:rsid w:val="6F35524C"/>
    <w:rsid w:val="74EA412A"/>
    <w:rsid w:val="75504B8E"/>
    <w:rsid w:val="7B3B22B4"/>
    <w:rsid w:val="7C7E02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ody Text Indent 2"/>
    <w:basedOn w:val="1"/>
    <w:qFormat/>
    <w:uiPriority w:val="0"/>
    <w:pPr>
      <w:ind w:firstLine="200" w:firstLineChars="200"/>
    </w:pPr>
    <w:rPr>
      <w:rFonts w:ascii="仿宋_GB2312" w:eastAsia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1">
    <w:name w:val=" 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 w:eastAsia="zh-CN" w:bidi="ar-SA"/>
    </w:rPr>
  </w:style>
  <w:style w:type="paragraph" w:customStyle="1" w:styleId="12">
    <w:name w:val=" Char1"/>
    <w:basedOn w:val="1"/>
    <w:qFormat/>
    <w:uiPriority w:val="0"/>
    <w:rPr>
      <w:rFonts w:ascii="仿宋_GB2312" w:eastAsia="仿宋_GB2312"/>
      <w:sz w:val="32"/>
    </w:rPr>
  </w:style>
  <w:style w:type="paragraph" w:customStyle="1" w:styleId="13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3</Pages>
  <Words>1170</Words>
  <Characters>1206</Characters>
  <Lines>42</Lines>
  <Paragraphs>12</Paragraphs>
  <TotalTime>2</TotalTime>
  <ScaleCrop>false</ScaleCrop>
  <LinksUpToDate>false</LinksUpToDate>
  <CharactersWithSpaces>1265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2023-04-19T03:36:00Z</dcterms:created>
  <dc:creator>吴川 10.105.113.190</dc:creator>
  <cp:lastModifiedBy>红梅</cp:lastModifiedBy>
  <cp:lastPrinted>2023-04-14T01:48:00Z</cp:lastPrinted>
  <dcterms:modified xsi:type="dcterms:W3CDTF">2024-10-11T02:21:41Z</dcterms:modified>
  <dc:title>岳阳市财政局文件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F686E9A19FAB46FFBFF49D76A076DE87_13</vt:lpwstr>
  </property>
</Properties>
</file>