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99A3E">
      <w:pPr>
        <w:pStyle w:val="14"/>
        <w:jc w:val="center"/>
        <w:rPr>
          <w:rFonts w:hint="eastAsia" w:ascii="微软雅黑" w:hAnsi="微软雅黑" w:eastAsia="微软雅黑" w:cs="微软雅黑"/>
          <w:sz w:val="84"/>
          <w:szCs w:val="84"/>
        </w:rPr>
      </w:pPr>
    </w:p>
    <w:p w14:paraId="13DD527D">
      <w:pPr>
        <w:pStyle w:val="14"/>
        <w:jc w:val="center"/>
        <w:rPr>
          <w:rFonts w:ascii="微软雅黑" w:hAnsi="微软雅黑" w:eastAsia="微软雅黑" w:cs="微软雅黑"/>
          <w:sz w:val="84"/>
          <w:szCs w:val="84"/>
        </w:rPr>
      </w:pPr>
    </w:p>
    <w:p w14:paraId="2EE2264B">
      <w:pPr>
        <w:pStyle w:val="14"/>
        <w:jc w:val="center"/>
        <w:rPr>
          <w:rFonts w:ascii="微软雅黑" w:hAnsi="微软雅黑" w:eastAsia="微软雅黑" w:cs="微软雅黑"/>
          <w:sz w:val="84"/>
          <w:szCs w:val="84"/>
        </w:rPr>
      </w:pPr>
    </w:p>
    <w:p w14:paraId="34EC938B">
      <w:pPr>
        <w:pStyle w:val="14"/>
        <w:jc w:val="center"/>
        <w:rPr>
          <w:rFonts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2023</w:t>
      </w:r>
      <w:r>
        <w:rPr>
          <w:rFonts w:ascii="微软雅黑" w:hAnsi="微软雅黑" w:eastAsia="微软雅黑" w:cs="微软雅黑"/>
          <w:b/>
          <w:sz w:val="84"/>
        </w:rPr>
        <w:t>年度</w:t>
      </w:r>
    </w:p>
    <w:p w14:paraId="7B2748F9">
      <w:pPr>
        <w:pStyle w:val="14"/>
        <w:jc w:val="center"/>
        <w:rPr>
          <w:rFonts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岳阳县农村经营服务站</w:t>
      </w:r>
      <w:r>
        <w:rPr>
          <w:rFonts w:ascii="微软雅黑" w:hAnsi="微软雅黑" w:eastAsia="微软雅黑" w:cs="微软雅黑"/>
          <w:b/>
          <w:sz w:val="84"/>
        </w:rPr>
        <w:t>部门（单位）部门决算</w:t>
      </w:r>
    </w:p>
    <w:p w14:paraId="7C6278A3">
      <w:pPr>
        <w:pStyle w:val="14"/>
        <w:jc w:val="center"/>
        <w:rPr>
          <w:rFonts w:ascii="微软雅黑" w:hAnsi="微软雅黑" w:eastAsia="微软雅黑" w:cs="微软雅黑"/>
          <w:sz w:val="84"/>
          <w:szCs w:val="84"/>
        </w:rPr>
      </w:pPr>
    </w:p>
    <w:p w14:paraId="52571B9B">
      <w:pPr>
        <w:pStyle w:val="14"/>
        <w:jc w:val="center"/>
        <w:rPr>
          <w:rFonts w:ascii="微软雅黑" w:hAnsi="微软雅黑" w:eastAsia="微软雅黑" w:cs="微软雅黑"/>
          <w:sz w:val="84"/>
          <w:szCs w:val="84"/>
        </w:rPr>
      </w:pPr>
    </w:p>
    <w:p w14:paraId="5BDE6A3B">
      <w:pPr>
        <w:pStyle w:val="14"/>
        <w:jc w:val="center"/>
        <w:rPr>
          <w:rFonts w:ascii="微软雅黑" w:hAnsi="微软雅黑" w:eastAsia="微软雅黑" w:cs="微软雅黑"/>
          <w:sz w:val="84"/>
          <w:szCs w:val="84"/>
        </w:rPr>
      </w:pPr>
    </w:p>
    <w:p w14:paraId="4DD687C9">
      <w:pPr>
        <w:rPr>
          <w:rFonts w:ascii="微软雅黑" w:hAnsi="微软雅黑" w:eastAsia="微软雅黑" w:cs="微软雅黑"/>
        </w:rPr>
      </w:pPr>
    </w:p>
    <w:p w14:paraId="6B789790">
      <w:pPr>
        <w:widowControl/>
        <w:jc w:val="left"/>
        <w:rPr>
          <w:rFonts w:ascii="微软雅黑" w:hAnsi="微软雅黑" w:eastAsia="微软雅黑" w:cs="微软雅黑"/>
          <w:b/>
          <w:color w:val="000000"/>
          <w:kern w:val="0"/>
          <w:sz w:val="36"/>
          <w:szCs w:val="28"/>
        </w:rPr>
      </w:pPr>
      <w:r>
        <w:rPr>
          <w:rFonts w:ascii="微软雅黑" w:hAnsi="微软雅黑" w:eastAsia="微软雅黑" w:cs="微软雅黑"/>
          <w:b/>
          <w:sz w:val="36"/>
          <w:szCs w:val="28"/>
        </w:rPr>
        <w:br w:type="page"/>
      </w:r>
    </w:p>
    <w:p w14:paraId="0AE0F6F3">
      <w:pPr>
        <w:pStyle w:val="14"/>
        <w:spacing w:line="500" w:lineRule="exact"/>
        <w:jc w:val="center"/>
        <w:rPr>
          <w:rFonts w:ascii="微软雅黑" w:hAnsi="微软雅黑" w:eastAsia="微软雅黑" w:cs="微软雅黑"/>
          <w:b/>
          <w:sz w:val="36"/>
          <w:szCs w:val="28"/>
        </w:rPr>
      </w:pPr>
      <w:r>
        <w:rPr>
          <w:rFonts w:hint="eastAsia" w:ascii="微软雅黑" w:hAnsi="微软雅黑" w:eastAsia="微软雅黑" w:cs="微软雅黑"/>
          <w:b/>
          <w:sz w:val="36"/>
          <w:szCs w:val="28"/>
        </w:rPr>
        <w:t>目录</w:t>
      </w:r>
    </w:p>
    <w:p w14:paraId="7AB8C375">
      <w:pPr>
        <w:pStyle w:val="14"/>
        <w:spacing w:line="500" w:lineRule="exact"/>
        <w:jc w:val="center"/>
        <w:rPr>
          <w:rFonts w:ascii="微软雅黑" w:hAnsi="微软雅黑" w:eastAsia="微软雅黑" w:cs="微软雅黑"/>
          <w:b/>
          <w:sz w:val="36"/>
          <w:szCs w:val="28"/>
        </w:rPr>
      </w:pPr>
    </w:p>
    <w:p w14:paraId="4E2D1EE9">
      <w:pPr>
        <w:pStyle w:val="14"/>
        <w:spacing w:line="360" w:lineRule="auto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第一部分 岳阳县农村经营服务站部门（单位）概况</w:t>
      </w:r>
    </w:p>
    <w:p w14:paraId="3591A558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一、部门职责</w:t>
      </w:r>
    </w:p>
    <w:p w14:paraId="7635EFB1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二、机构设置及决算单位构成</w:t>
      </w:r>
    </w:p>
    <w:p w14:paraId="6F73B6DB">
      <w:pPr>
        <w:pStyle w:val="14"/>
        <w:spacing w:line="360" w:lineRule="auto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第二部分 部门决算表</w:t>
      </w:r>
    </w:p>
    <w:p w14:paraId="132F5EB7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一、收入支出决算总表</w:t>
      </w:r>
    </w:p>
    <w:p w14:paraId="6DFECBDE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二、收入决算表</w:t>
      </w:r>
    </w:p>
    <w:p w14:paraId="040F8792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三、支出决算表</w:t>
      </w:r>
    </w:p>
    <w:p w14:paraId="0039136C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四、财政拨款收入支出决算总表</w:t>
      </w:r>
    </w:p>
    <w:p w14:paraId="370101B4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五、一般公共预算财政拨款支出决算表</w:t>
      </w:r>
    </w:p>
    <w:p w14:paraId="3658C313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六、一般公共预算财政拨款基本支出决算明细表</w:t>
      </w:r>
    </w:p>
    <w:p w14:paraId="403E03E6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七、政府性基金预算财政拨款收入支出决算表</w:t>
      </w:r>
    </w:p>
    <w:p w14:paraId="1DE3B95A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八、国有资本经营预算财政拨款支出决算表</w:t>
      </w:r>
    </w:p>
    <w:p w14:paraId="107F6EB5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九、财政拨款“三公”经费支出决算表</w:t>
      </w:r>
    </w:p>
    <w:p w14:paraId="3019B9AD">
      <w:pPr>
        <w:pStyle w:val="14"/>
        <w:spacing w:line="360" w:lineRule="auto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第三部分 部门决算情况说明</w:t>
      </w:r>
    </w:p>
    <w:p w14:paraId="66F2B713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一、收入支出决算总体情况说明</w:t>
      </w:r>
    </w:p>
    <w:p w14:paraId="2851AE12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二、收入决算情况说明</w:t>
      </w:r>
    </w:p>
    <w:p w14:paraId="1CC143D2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三、支出决算情况说明</w:t>
      </w:r>
    </w:p>
    <w:p w14:paraId="59C76060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四、财政拨款收入支出决算总体情况说明</w:t>
      </w:r>
    </w:p>
    <w:p w14:paraId="159584A8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五、一般公共预算财政拨款支出决算情况说明</w:t>
      </w:r>
    </w:p>
    <w:p w14:paraId="22DC2C35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六、一般公共预算财政拨款基本支出决算情况说明</w:t>
      </w:r>
    </w:p>
    <w:p w14:paraId="42BDD344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七、政府性基金预算收入支出决算情况</w:t>
      </w:r>
    </w:p>
    <w:p w14:paraId="67F32006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八、国有资本经营预算财政拨款支出决算情况</w:t>
      </w:r>
    </w:p>
    <w:p w14:paraId="73183D5E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九、财政拨款三公经费支出决算情况说明</w:t>
      </w:r>
    </w:p>
    <w:p w14:paraId="72C9813B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十、关于机关运行经费支出说明</w:t>
      </w:r>
    </w:p>
    <w:p w14:paraId="28D3B201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十一、一般性支出情况说明</w:t>
      </w:r>
    </w:p>
    <w:p w14:paraId="6CB3B03D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十二、关于政府采购支出说明</w:t>
      </w:r>
    </w:p>
    <w:p w14:paraId="71F733F5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十三、关于国有资产占用情况说明</w:t>
      </w:r>
    </w:p>
    <w:p w14:paraId="2DD437F6">
      <w:pPr>
        <w:pStyle w:val="14"/>
        <w:spacing w:line="360" w:lineRule="auto"/>
        <w:ind w:firstLine="700" w:firstLineChars="25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十四、关于2023</w:t>
      </w:r>
      <w:r>
        <w:rPr>
          <w:rFonts w:ascii="微软雅黑" w:hAnsi="微软雅黑" w:eastAsia="微软雅黑" w:cs="微软雅黑"/>
          <w:sz w:val="28"/>
        </w:rPr>
        <w:t>年度</w:t>
      </w:r>
      <w:r>
        <w:rPr>
          <w:rFonts w:hint="eastAsia" w:ascii="微软雅黑" w:hAnsi="微软雅黑" w:eastAsia="微软雅黑" w:cs="微软雅黑"/>
          <w:sz w:val="28"/>
          <w:szCs w:val="28"/>
        </w:rPr>
        <w:t>绩效评价情况的说明</w:t>
      </w:r>
    </w:p>
    <w:p w14:paraId="70119A01">
      <w:pPr>
        <w:pStyle w:val="14"/>
        <w:spacing w:line="360" w:lineRule="auto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第四部分 名词解释</w:t>
      </w:r>
    </w:p>
    <w:p w14:paraId="1B426EB5">
      <w:pPr>
        <w:pStyle w:val="14"/>
        <w:spacing w:line="360" w:lineRule="auto"/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sz w:val="28"/>
          <w:szCs w:val="28"/>
        </w:rPr>
        <w:t>第五部分 附件</w:t>
      </w:r>
    </w:p>
    <w:p w14:paraId="2C2EB617">
      <w:pPr>
        <w:pStyle w:val="14"/>
        <w:spacing w:line="500" w:lineRule="exact"/>
        <w:rPr>
          <w:rFonts w:ascii="微软雅黑" w:hAnsi="微软雅黑" w:eastAsia="微软雅黑" w:cs="微软雅黑"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Cs/>
          <w:sz w:val="28"/>
          <w:szCs w:val="28"/>
        </w:rPr>
        <w:br w:type="page"/>
      </w:r>
    </w:p>
    <w:p w14:paraId="631D1882">
      <w:pPr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3AEC5FE1">
      <w:pPr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3CD0662B">
      <w:pPr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13ADA06C">
      <w:pPr>
        <w:pStyle w:val="14"/>
        <w:jc w:val="center"/>
        <w:rPr>
          <w:rFonts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 xml:space="preserve">第一部分 </w:t>
      </w:r>
    </w:p>
    <w:p w14:paraId="60162FB6">
      <w:pPr>
        <w:pStyle w:val="14"/>
        <w:jc w:val="center"/>
        <w:rPr>
          <w:rFonts w:ascii="微软雅黑" w:hAnsi="微软雅黑" w:eastAsia="微软雅黑" w:cs="微软雅黑"/>
          <w:b/>
          <w:bCs/>
          <w:sz w:val="84"/>
          <w:szCs w:val="84"/>
        </w:rPr>
      </w:pPr>
    </w:p>
    <w:p w14:paraId="34FF5CDE">
      <w:pPr>
        <w:pStyle w:val="14"/>
        <w:jc w:val="center"/>
        <w:rPr>
          <w:rFonts w:ascii="微软雅黑" w:hAnsi="微软雅黑" w:eastAsia="微软雅黑" w:cs="微软雅黑"/>
          <w:b/>
          <w:bCs/>
          <w:sz w:val="84"/>
          <w:szCs w:val="84"/>
        </w:rPr>
      </w:pPr>
      <w:r>
        <w:rPr>
          <w:rFonts w:hint="eastAsia" w:ascii="微软雅黑" w:hAnsi="微软雅黑" w:eastAsia="微软雅黑" w:cs="微软雅黑"/>
          <w:b/>
          <w:bCs/>
          <w:sz w:val="84"/>
          <w:szCs w:val="84"/>
        </w:rPr>
        <w:t>岳阳县农村经营服务站部门（单位）概况</w:t>
      </w:r>
    </w:p>
    <w:p w14:paraId="6A7C8B61">
      <w:pPr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582A31B4">
      <w:pPr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327733A8">
      <w:pPr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4CCC7BC4">
      <w:pPr>
        <w:widowControl/>
        <w:jc w:val="left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ascii="微软雅黑" w:hAnsi="微软雅黑" w:eastAsia="微软雅黑" w:cs="微软雅黑"/>
          <w:b/>
          <w:bCs/>
          <w:sz w:val="32"/>
          <w:szCs w:val="32"/>
        </w:rPr>
        <w:br w:type="page"/>
      </w:r>
    </w:p>
    <w:p w14:paraId="46C5729A">
      <w:pPr>
        <w:pStyle w:val="15"/>
        <w:ind w:firstLine="0" w:firstLineChars="0"/>
        <w:jc w:val="left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一、部门职责</w:t>
      </w:r>
    </w:p>
    <w:p w14:paraId="484E756C">
      <w:pPr>
        <w:pStyle w:val="14"/>
        <w:spacing w:line="560" w:lineRule="exact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（一）</w:t>
      </w:r>
      <w:r>
        <w:rPr>
          <w:rFonts w:ascii="宋体" w:hAnsi="宋体" w:eastAsia="宋体"/>
          <w:sz w:val="32"/>
          <w:szCs w:val="32"/>
        </w:rPr>
        <w:t>承担</w:t>
      </w:r>
      <w:r>
        <w:rPr>
          <w:rFonts w:hint="eastAsia" w:ascii="宋体" w:hAnsi="宋体" w:eastAsia="宋体"/>
          <w:sz w:val="32"/>
          <w:szCs w:val="32"/>
        </w:rPr>
        <w:t>县</w:t>
      </w:r>
      <w:r>
        <w:rPr>
          <w:rFonts w:ascii="宋体" w:hAnsi="宋体" w:eastAsia="宋体"/>
          <w:sz w:val="32"/>
          <w:szCs w:val="32"/>
        </w:rPr>
        <w:t>农村集体产权制度改革、农村集体“三资”监管等</w:t>
      </w:r>
      <w:r>
        <w:rPr>
          <w:rFonts w:hint="eastAsia" w:ascii="宋体" w:hAnsi="宋体" w:eastAsia="宋体"/>
          <w:sz w:val="32"/>
          <w:szCs w:val="32"/>
        </w:rPr>
        <w:t>方面的</w:t>
      </w:r>
      <w:r>
        <w:rPr>
          <w:rFonts w:ascii="宋体" w:hAnsi="宋体" w:eastAsia="宋体"/>
          <w:sz w:val="32"/>
          <w:szCs w:val="32"/>
        </w:rPr>
        <w:t>事务性工作</w:t>
      </w:r>
      <w:r>
        <w:rPr>
          <w:rFonts w:hint="eastAsia" w:ascii="宋体" w:hAnsi="宋体" w:eastAsia="宋体"/>
          <w:sz w:val="32"/>
          <w:szCs w:val="32"/>
        </w:rPr>
        <w:t>；承担</w:t>
      </w:r>
      <w:r>
        <w:rPr>
          <w:rFonts w:ascii="宋体" w:hAnsi="宋体" w:eastAsia="宋体"/>
          <w:sz w:val="32"/>
          <w:szCs w:val="32"/>
        </w:rPr>
        <w:t>指导农村集体经济组织建设与发展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协调乡村治理体系建设</w:t>
      </w:r>
      <w:r>
        <w:rPr>
          <w:rFonts w:hint="eastAsia" w:ascii="宋体" w:hAnsi="宋体" w:eastAsia="宋体"/>
          <w:sz w:val="32"/>
          <w:szCs w:val="32"/>
        </w:rPr>
        <w:t>方面的事务性工作</w:t>
      </w:r>
      <w:r>
        <w:rPr>
          <w:rFonts w:ascii="宋体" w:hAnsi="宋体" w:eastAsia="宋体"/>
          <w:sz w:val="32"/>
          <w:szCs w:val="32"/>
        </w:rPr>
        <w:t>。</w:t>
      </w:r>
    </w:p>
    <w:p w14:paraId="39DD17C7">
      <w:pPr>
        <w:pStyle w:val="14"/>
        <w:spacing w:line="560" w:lineRule="exact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（二）承担</w:t>
      </w:r>
      <w:r>
        <w:rPr>
          <w:rFonts w:ascii="宋体" w:hAnsi="宋体" w:eastAsia="宋体"/>
          <w:sz w:val="32"/>
          <w:szCs w:val="32"/>
        </w:rPr>
        <w:t>指导农村合作经济组织、农业产业社会化服务体系建设与发展、</w:t>
      </w:r>
      <w:r>
        <w:rPr>
          <w:rFonts w:hint="eastAsia" w:ascii="宋体" w:hAnsi="宋体" w:eastAsia="宋体"/>
          <w:sz w:val="32"/>
          <w:szCs w:val="32"/>
        </w:rPr>
        <w:t>小农户扶持、</w:t>
      </w:r>
      <w:r>
        <w:rPr>
          <w:rFonts w:ascii="宋体" w:hAnsi="宋体" w:eastAsia="宋体"/>
          <w:sz w:val="32"/>
          <w:szCs w:val="32"/>
        </w:rPr>
        <w:t>新型农业经营主体培育与壮大</w:t>
      </w:r>
      <w:r>
        <w:rPr>
          <w:rFonts w:hint="eastAsia" w:ascii="宋体" w:hAnsi="宋体" w:eastAsia="宋体"/>
          <w:sz w:val="32"/>
          <w:szCs w:val="32"/>
        </w:rPr>
        <w:t>等方面的事务性工作</w:t>
      </w:r>
      <w:r>
        <w:rPr>
          <w:rFonts w:ascii="宋体" w:hAnsi="宋体" w:eastAsia="宋体"/>
          <w:sz w:val="32"/>
          <w:szCs w:val="32"/>
        </w:rPr>
        <w:t>。</w:t>
      </w:r>
    </w:p>
    <w:p w14:paraId="1102C423">
      <w:pPr>
        <w:pStyle w:val="14"/>
        <w:spacing w:line="560" w:lineRule="exact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（三）</w:t>
      </w:r>
      <w:r>
        <w:rPr>
          <w:rFonts w:ascii="宋体" w:hAnsi="宋体" w:eastAsia="宋体"/>
          <w:sz w:val="32"/>
          <w:szCs w:val="32"/>
        </w:rPr>
        <w:t>承担对本县农村集体经济组织财务监管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审计监督农村财务账目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全面推行和完善村账乡</w:t>
      </w:r>
      <w:r>
        <w:rPr>
          <w:rFonts w:hint="eastAsia" w:ascii="宋体" w:hAnsi="宋体" w:eastAsia="宋体"/>
          <w:sz w:val="32"/>
          <w:szCs w:val="32"/>
        </w:rPr>
        <w:t>（镇）</w:t>
      </w:r>
      <w:r>
        <w:rPr>
          <w:rFonts w:ascii="宋体" w:hAnsi="宋体" w:eastAsia="宋体"/>
          <w:sz w:val="32"/>
          <w:szCs w:val="32"/>
        </w:rPr>
        <w:t>代管、互联网+监督</w:t>
      </w:r>
      <w:r>
        <w:rPr>
          <w:rFonts w:hint="eastAsia" w:ascii="宋体" w:hAnsi="宋体" w:eastAsia="宋体"/>
          <w:sz w:val="32"/>
          <w:szCs w:val="32"/>
        </w:rPr>
        <w:t>等方面的事务性工作</w:t>
      </w:r>
      <w:r>
        <w:rPr>
          <w:rFonts w:ascii="宋体" w:hAnsi="宋体" w:eastAsia="宋体"/>
          <w:sz w:val="32"/>
          <w:szCs w:val="32"/>
        </w:rPr>
        <w:t>。承担农村财会人员业务培训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指导农村财会队伍建设</w:t>
      </w:r>
      <w:r>
        <w:rPr>
          <w:rFonts w:hint="eastAsia" w:ascii="宋体" w:hAnsi="宋体" w:eastAsia="宋体"/>
          <w:sz w:val="32"/>
          <w:szCs w:val="32"/>
        </w:rPr>
        <w:t>等方面的相关事务性工作</w:t>
      </w:r>
      <w:r>
        <w:rPr>
          <w:rFonts w:ascii="宋体" w:hAnsi="宋体" w:eastAsia="宋体"/>
          <w:sz w:val="32"/>
          <w:szCs w:val="32"/>
        </w:rPr>
        <w:t>。</w:t>
      </w:r>
    </w:p>
    <w:p w14:paraId="4B5F1AFD">
      <w:pPr>
        <w:pStyle w:val="14"/>
        <w:spacing w:line="560" w:lineRule="exact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（四）</w:t>
      </w:r>
      <w:r>
        <w:rPr>
          <w:rFonts w:ascii="宋体" w:hAnsi="宋体" w:eastAsia="宋体"/>
          <w:sz w:val="32"/>
          <w:szCs w:val="32"/>
        </w:rPr>
        <w:t>承担农村土地承包管理和改革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参与农村土地承包经营权确权</w:t>
      </w:r>
      <w:r>
        <w:rPr>
          <w:rFonts w:hint="eastAsia" w:ascii="宋体" w:hAnsi="宋体" w:eastAsia="宋体"/>
          <w:sz w:val="32"/>
          <w:szCs w:val="32"/>
        </w:rPr>
        <w:t>、落实农村土地“三权分置”政策、</w:t>
      </w:r>
      <w:r>
        <w:rPr>
          <w:rFonts w:ascii="宋体" w:hAnsi="宋体" w:eastAsia="宋体"/>
          <w:sz w:val="32"/>
          <w:szCs w:val="32"/>
        </w:rPr>
        <w:t>搞好土地流转合同鉴证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发布农村土地流转供求信息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指导农村土地有序流转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承担调处和仲裁农村土地承包经营纠纷、农村宅基地改革和指导等</w:t>
      </w:r>
      <w:r>
        <w:rPr>
          <w:rFonts w:hint="eastAsia" w:ascii="宋体" w:hAnsi="宋体" w:eastAsia="宋体"/>
          <w:sz w:val="32"/>
          <w:szCs w:val="32"/>
        </w:rPr>
        <w:t>方面的相关事务性工作</w:t>
      </w:r>
      <w:r>
        <w:rPr>
          <w:rFonts w:ascii="宋体" w:hAnsi="宋体" w:eastAsia="宋体"/>
          <w:sz w:val="32"/>
          <w:szCs w:val="32"/>
        </w:rPr>
        <w:t>。</w:t>
      </w:r>
    </w:p>
    <w:p w14:paraId="191A596F">
      <w:pPr>
        <w:pStyle w:val="14"/>
        <w:spacing w:line="560" w:lineRule="exact"/>
        <w:ind w:firstLine="640" w:firstLineChars="20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（五）承担</w:t>
      </w:r>
      <w:r>
        <w:rPr>
          <w:rFonts w:ascii="宋体" w:hAnsi="宋体" w:eastAsia="宋体"/>
          <w:sz w:val="32"/>
          <w:szCs w:val="32"/>
        </w:rPr>
        <w:t>宣传贯彻落实国家维护农民权益和减轻农民负担的法律法规和政策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维护农民权益、监督减轻农民负担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规范指导村级公益事业建设“一事一议”筹资筹劳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“一事一议”项目专项审核与审计</w:t>
      </w:r>
      <w:r>
        <w:rPr>
          <w:rFonts w:hint="eastAsia" w:ascii="宋体" w:hAnsi="宋体" w:eastAsia="宋体"/>
          <w:sz w:val="32"/>
          <w:szCs w:val="32"/>
        </w:rPr>
        <w:t>等方面的相关事务性工作</w:t>
      </w:r>
      <w:r>
        <w:rPr>
          <w:rFonts w:ascii="宋体" w:hAnsi="宋体" w:eastAsia="宋体"/>
          <w:sz w:val="32"/>
          <w:szCs w:val="32"/>
        </w:rPr>
        <w:t>。</w:t>
      </w:r>
    </w:p>
    <w:p w14:paraId="5B8258FF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i/>
          <w:iCs/>
          <w:color w:val="FF0000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（六）</w:t>
      </w:r>
      <w:r>
        <w:rPr>
          <w:rFonts w:ascii="宋体" w:hAnsi="宋体" w:eastAsia="宋体"/>
          <w:sz w:val="32"/>
          <w:szCs w:val="32"/>
        </w:rPr>
        <w:t>承担农村经济统计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分析农村经济情况</w:t>
      </w:r>
      <w:r>
        <w:rPr>
          <w:rFonts w:hint="eastAsia" w:ascii="宋体" w:hAnsi="宋体" w:eastAsia="宋体"/>
          <w:sz w:val="32"/>
          <w:szCs w:val="32"/>
        </w:rPr>
        <w:t>等方面的相关事务性工作</w:t>
      </w:r>
      <w:r>
        <w:rPr>
          <w:rFonts w:ascii="宋体" w:hAnsi="宋体" w:eastAsia="宋体"/>
          <w:sz w:val="32"/>
          <w:szCs w:val="32"/>
        </w:rPr>
        <w:t>。</w:t>
      </w:r>
    </w:p>
    <w:p w14:paraId="23DB465D">
      <w:pPr>
        <w:widowControl/>
        <w:spacing w:line="600" w:lineRule="exact"/>
        <w:rPr>
          <w:rFonts w:ascii="微软雅黑" w:hAnsi="微软雅黑" w:eastAsia="微软雅黑" w:cs="微软雅黑"/>
          <w:b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kern w:val="0"/>
          <w:sz w:val="32"/>
          <w:szCs w:val="32"/>
        </w:rPr>
        <w:t>二、机构设置及决算单位构成</w:t>
      </w:r>
    </w:p>
    <w:p w14:paraId="2506E75C">
      <w:pPr>
        <w:pStyle w:val="14"/>
        <w:spacing w:line="560" w:lineRule="exact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（一）内设机构设置。</w:t>
      </w:r>
      <w:r>
        <w:rPr>
          <w:rFonts w:ascii="宋体" w:hAnsi="宋体" w:eastAsia="宋体"/>
          <w:sz w:val="32"/>
          <w:szCs w:val="32"/>
        </w:rPr>
        <w:t>县农村经营服务站</w:t>
      </w:r>
      <w:r>
        <w:rPr>
          <w:rFonts w:hint="eastAsia" w:ascii="宋体" w:hAnsi="宋体" w:eastAsia="宋体"/>
          <w:sz w:val="32"/>
          <w:szCs w:val="32"/>
        </w:rPr>
        <w:t>为</w:t>
      </w:r>
      <w:r>
        <w:rPr>
          <w:rFonts w:ascii="宋体" w:hAnsi="宋体" w:eastAsia="宋体"/>
          <w:sz w:val="32"/>
          <w:szCs w:val="32"/>
        </w:rPr>
        <w:t>农业农村局所属副科级公益一类</w:t>
      </w:r>
      <w:r>
        <w:rPr>
          <w:rFonts w:hint="eastAsia" w:ascii="宋体" w:hAnsi="宋体" w:eastAsia="宋体"/>
          <w:sz w:val="32"/>
          <w:szCs w:val="32"/>
        </w:rPr>
        <w:t>全额拨款</w:t>
      </w:r>
      <w:r>
        <w:rPr>
          <w:rFonts w:ascii="宋体" w:hAnsi="宋体" w:eastAsia="宋体"/>
          <w:sz w:val="32"/>
          <w:szCs w:val="32"/>
        </w:rPr>
        <w:t>事业</w:t>
      </w:r>
      <w:r>
        <w:rPr>
          <w:rFonts w:hint="eastAsia" w:ascii="宋体" w:hAnsi="宋体" w:eastAsia="宋体"/>
          <w:sz w:val="32"/>
          <w:szCs w:val="32"/>
        </w:rPr>
        <w:t>单位，</w:t>
      </w:r>
      <w:r>
        <w:rPr>
          <w:rFonts w:ascii="宋体" w:hAnsi="宋体" w:eastAsia="宋体"/>
          <w:sz w:val="32"/>
          <w:szCs w:val="32"/>
        </w:rPr>
        <w:t>机关内设</w:t>
      </w:r>
      <w:r>
        <w:rPr>
          <w:rFonts w:hint="eastAsia" w:ascii="宋体" w:hAnsi="宋体" w:eastAsia="宋体"/>
          <w:sz w:val="32"/>
          <w:szCs w:val="32"/>
        </w:rPr>
        <w:t>5</w:t>
      </w:r>
      <w:r>
        <w:rPr>
          <w:rFonts w:ascii="宋体" w:hAnsi="宋体" w:eastAsia="宋体"/>
          <w:sz w:val="32"/>
          <w:szCs w:val="32"/>
        </w:rPr>
        <w:t>个股室，分别为：办公室、农业经营主体指导</w:t>
      </w:r>
      <w:r>
        <w:rPr>
          <w:rFonts w:hint="eastAsia" w:ascii="宋体" w:hAnsi="宋体" w:eastAsia="宋体"/>
          <w:sz w:val="32"/>
          <w:szCs w:val="32"/>
        </w:rPr>
        <w:t>服务</w:t>
      </w:r>
      <w:r>
        <w:rPr>
          <w:rFonts w:ascii="宋体" w:hAnsi="宋体" w:eastAsia="宋体"/>
          <w:sz w:val="32"/>
          <w:szCs w:val="32"/>
        </w:rPr>
        <w:t>股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农村财务指导与审计</w:t>
      </w:r>
      <w:r>
        <w:rPr>
          <w:rFonts w:hint="eastAsia" w:ascii="宋体" w:hAnsi="宋体" w:eastAsia="宋体"/>
          <w:sz w:val="32"/>
          <w:szCs w:val="32"/>
        </w:rPr>
        <w:t>服务</w:t>
      </w:r>
      <w:r>
        <w:rPr>
          <w:rFonts w:ascii="宋体" w:hAnsi="宋体" w:eastAsia="宋体"/>
          <w:sz w:val="32"/>
          <w:szCs w:val="32"/>
        </w:rPr>
        <w:t>股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农村土地</w:t>
      </w:r>
      <w:r>
        <w:rPr>
          <w:rFonts w:hint="eastAsia" w:ascii="宋体" w:hAnsi="宋体" w:eastAsia="宋体"/>
          <w:sz w:val="32"/>
          <w:szCs w:val="32"/>
        </w:rPr>
        <w:t>承包与流转服务</w:t>
      </w:r>
      <w:r>
        <w:rPr>
          <w:rFonts w:ascii="宋体" w:hAnsi="宋体" w:eastAsia="宋体"/>
          <w:sz w:val="32"/>
          <w:szCs w:val="32"/>
        </w:rPr>
        <w:t>股（岳阳县农村土地承包经营权流转服务中心）</w:t>
      </w:r>
      <w:r>
        <w:rPr>
          <w:rFonts w:hint="eastAsia" w:ascii="宋体" w:hAnsi="宋体" w:eastAsia="宋体"/>
          <w:sz w:val="32"/>
          <w:szCs w:val="32"/>
        </w:rPr>
        <w:t>、</w:t>
      </w:r>
      <w:r>
        <w:rPr>
          <w:rFonts w:ascii="宋体" w:hAnsi="宋体" w:eastAsia="宋体"/>
          <w:sz w:val="32"/>
          <w:szCs w:val="32"/>
        </w:rPr>
        <w:t>农民负担监督</w:t>
      </w:r>
      <w:r>
        <w:rPr>
          <w:rFonts w:hint="eastAsia" w:ascii="宋体" w:hAnsi="宋体" w:eastAsia="宋体"/>
          <w:sz w:val="32"/>
          <w:szCs w:val="32"/>
        </w:rPr>
        <w:t>服务</w:t>
      </w:r>
      <w:r>
        <w:rPr>
          <w:rFonts w:ascii="宋体" w:hAnsi="宋体" w:eastAsia="宋体"/>
          <w:sz w:val="32"/>
          <w:szCs w:val="32"/>
        </w:rPr>
        <w:t>股</w:t>
      </w:r>
      <w:r>
        <w:rPr>
          <w:rFonts w:hint="eastAsia" w:ascii="宋体" w:hAnsi="宋体" w:eastAsia="宋体"/>
          <w:sz w:val="32"/>
          <w:szCs w:val="32"/>
        </w:rPr>
        <w:t>。</w:t>
      </w:r>
    </w:p>
    <w:p w14:paraId="520127C5">
      <w:pPr>
        <w:widowControl/>
        <w:spacing w:line="360" w:lineRule="auto"/>
        <w:ind w:firstLine="640" w:firstLineChars="200"/>
        <w:rPr>
          <w:rFonts w:ascii="微软雅黑" w:hAnsi="微软雅黑" w:eastAsia="微软雅黑" w:cs="微软雅黑"/>
          <w:i/>
          <w:iCs/>
          <w:color w:val="FF0000"/>
          <w:sz w:val="32"/>
          <w:szCs w:val="24"/>
          <w:highlight w:val="white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宋体" w:hAnsi="宋体"/>
          <w:sz w:val="32"/>
          <w:szCs w:val="32"/>
        </w:rPr>
        <w:t>（二）决算单位构成。县农村经营服务站</w:t>
      </w:r>
      <w:r>
        <w:rPr>
          <w:rFonts w:ascii="宋体" w:hAnsi="宋体"/>
          <w:sz w:val="32"/>
          <w:szCs w:val="32"/>
        </w:rPr>
        <w:t>20</w:t>
      </w:r>
      <w:r>
        <w:rPr>
          <w:rFonts w:hint="eastAsia" w:ascii="宋体" w:hAnsi="宋体"/>
          <w:sz w:val="32"/>
          <w:szCs w:val="32"/>
        </w:rPr>
        <w:t>22年部门决算汇总公开单位构成仅为单位本级。</w:t>
      </w:r>
    </w:p>
    <w:p w14:paraId="036D26EB">
      <w:pPr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4A8D9989">
      <w:pPr>
        <w:jc w:val="center"/>
        <w:rPr>
          <w:rFonts w:hint="eastAsia" w:ascii="微软雅黑" w:hAnsi="微软雅黑" w:eastAsia="微软雅黑" w:cs="微软雅黑"/>
          <w:sz w:val="72"/>
          <w:szCs w:val="72"/>
        </w:rPr>
      </w:pPr>
    </w:p>
    <w:p w14:paraId="486522AE">
      <w:pPr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4CAE8174">
      <w:pPr>
        <w:pStyle w:val="14"/>
        <w:jc w:val="center"/>
        <w:rPr>
          <w:rFonts w:ascii="微软雅黑" w:hAnsi="微软雅黑" w:eastAsia="微软雅黑" w:cs="微软雅黑"/>
          <w:sz w:val="84"/>
          <w:szCs w:val="84"/>
        </w:rPr>
      </w:pPr>
    </w:p>
    <w:p w14:paraId="15245958">
      <w:pPr>
        <w:pStyle w:val="14"/>
        <w:jc w:val="center"/>
        <w:rPr>
          <w:rFonts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第二部分</w:t>
      </w:r>
    </w:p>
    <w:p w14:paraId="0C52E8BE">
      <w:pPr>
        <w:pStyle w:val="14"/>
        <w:jc w:val="center"/>
        <w:rPr>
          <w:rFonts w:ascii="微软雅黑" w:hAnsi="微软雅黑" w:eastAsia="微软雅黑" w:cs="微软雅黑"/>
          <w:b/>
          <w:bCs/>
          <w:sz w:val="72"/>
          <w:szCs w:val="72"/>
        </w:rPr>
      </w:pPr>
    </w:p>
    <w:p w14:paraId="468F2EB3">
      <w:pPr>
        <w:pStyle w:val="14"/>
        <w:jc w:val="center"/>
        <w:rPr>
          <w:rFonts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部门决算表</w:t>
      </w:r>
    </w:p>
    <w:p w14:paraId="21779698">
      <w:pPr>
        <w:jc w:val="center"/>
        <w:rPr>
          <w:rFonts w:ascii="微软雅黑" w:hAnsi="微软雅黑" w:eastAsia="微软雅黑" w:cs="微软雅黑"/>
          <w:b/>
          <w:bCs/>
          <w:sz w:val="72"/>
          <w:szCs w:val="7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（见附件）</w:t>
      </w:r>
    </w:p>
    <w:p w14:paraId="2C815D0E">
      <w:pPr>
        <w:pStyle w:val="14"/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71FF0B98">
      <w:pPr>
        <w:pStyle w:val="14"/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68E393B1">
      <w:pPr>
        <w:pStyle w:val="14"/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7D7B777D">
      <w:pPr>
        <w:pStyle w:val="14"/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6A50AFF7">
      <w:pPr>
        <w:pStyle w:val="14"/>
        <w:jc w:val="center"/>
        <w:rPr>
          <w:rFonts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第三部分</w:t>
      </w:r>
    </w:p>
    <w:p w14:paraId="1E714CA3">
      <w:pPr>
        <w:pStyle w:val="14"/>
        <w:jc w:val="center"/>
        <w:rPr>
          <w:rFonts w:ascii="微软雅黑" w:hAnsi="微软雅黑" w:eastAsia="微软雅黑" w:cs="微软雅黑"/>
          <w:b/>
          <w:bCs/>
          <w:sz w:val="70"/>
          <w:szCs w:val="70"/>
        </w:rPr>
      </w:pPr>
    </w:p>
    <w:p w14:paraId="0AF7EB4D">
      <w:pPr>
        <w:pStyle w:val="14"/>
        <w:jc w:val="center"/>
        <w:rPr>
          <w:rFonts w:ascii="微软雅黑" w:hAnsi="微软雅黑" w:eastAsia="微软雅黑" w:cs="微软雅黑"/>
          <w:sz w:val="70"/>
          <w:szCs w:val="70"/>
        </w:rPr>
      </w:pPr>
      <w:r>
        <w:rPr>
          <w:rFonts w:hint="eastAsia" w:ascii="微软雅黑" w:hAnsi="微软雅黑" w:eastAsia="微软雅黑" w:cs="微软雅黑"/>
          <w:b/>
          <w:bCs/>
          <w:sz w:val="70"/>
          <w:szCs w:val="70"/>
        </w:rPr>
        <w:t>2023年度部门决算情况说明</w:t>
      </w:r>
    </w:p>
    <w:p w14:paraId="48F01387">
      <w:pPr>
        <w:pStyle w:val="14"/>
        <w:jc w:val="center"/>
        <w:rPr>
          <w:rFonts w:ascii="微软雅黑" w:hAnsi="微软雅黑" w:eastAsia="微软雅黑" w:cs="微软雅黑"/>
          <w:sz w:val="70"/>
          <w:szCs w:val="70"/>
        </w:rPr>
      </w:pPr>
    </w:p>
    <w:p w14:paraId="2A74E046">
      <w:pPr>
        <w:pStyle w:val="14"/>
        <w:jc w:val="center"/>
        <w:rPr>
          <w:rFonts w:ascii="微软雅黑" w:hAnsi="微软雅黑" w:eastAsia="微软雅黑" w:cs="微软雅黑"/>
          <w:sz w:val="70"/>
          <w:szCs w:val="70"/>
        </w:rPr>
      </w:pPr>
    </w:p>
    <w:p w14:paraId="1E3F6561">
      <w:pPr>
        <w:pStyle w:val="14"/>
        <w:jc w:val="center"/>
        <w:rPr>
          <w:rFonts w:ascii="微软雅黑" w:hAnsi="微软雅黑" w:eastAsia="微软雅黑" w:cs="微软雅黑"/>
          <w:sz w:val="70"/>
          <w:szCs w:val="70"/>
        </w:rPr>
      </w:pPr>
    </w:p>
    <w:p w14:paraId="7B0A7CC8">
      <w:pPr>
        <w:pStyle w:val="14"/>
        <w:jc w:val="center"/>
        <w:rPr>
          <w:rFonts w:ascii="微软雅黑" w:hAnsi="微软雅黑" w:eastAsia="微软雅黑" w:cs="微软雅黑"/>
          <w:sz w:val="70"/>
          <w:szCs w:val="70"/>
        </w:rPr>
      </w:pPr>
    </w:p>
    <w:p w14:paraId="71E966D5">
      <w:pPr>
        <w:pStyle w:val="14"/>
        <w:jc w:val="center"/>
        <w:rPr>
          <w:rFonts w:ascii="微软雅黑" w:hAnsi="微软雅黑" w:eastAsia="微软雅黑" w:cs="微软雅黑"/>
          <w:sz w:val="70"/>
          <w:szCs w:val="70"/>
        </w:rPr>
      </w:pPr>
    </w:p>
    <w:p w14:paraId="4CF658F4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一、收入支出决算总体情况说明</w:t>
      </w:r>
    </w:p>
    <w:p w14:paraId="1548C0E8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2023年</w:t>
      </w:r>
      <w:r>
        <w:rPr>
          <w:rFonts w:hint="eastAsia" w:ascii="微软雅黑" w:hAnsi="微软雅黑" w:eastAsia="微软雅黑" w:cs="微软雅黑"/>
          <w:sz w:val="32"/>
        </w:rPr>
        <w:t>度收、支总计</w:t>
      </w:r>
      <w:r>
        <w:rPr>
          <w:rFonts w:ascii="微软雅黑" w:hAnsi="微软雅黑" w:eastAsia="微软雅黑" w:cs="微软雅黑"/>
          <w:sz w:val="32"/>
        </w:rPr>
        <w:t>1,664.57万元。与上年</w:t>
      </w:r>
      <w:r>
        <w:rPr>
          <w:rFonts w:hint="eastAsia" w:ascii="微软雅黑" w:hAnsi="微软雅黑" w:eastAsia="微软雅黑" w:cs="微软雅黑"/>
          <w:sz w:val="32"/>
        </w:rPr>
        <w:t>相比，增长895.61</w:t>
      </w:r>
      <w:r>
        <w:rPr>
          <w:rFonts w:ascii="微软雅黑" w:hAnsi="微软雅黑" w:eastAsia="微软雅黑" w:cs="微软雅黑"/>
          <w:sz w:val="32"/>
        </w:rPr>
        <w:t>万元，增长116.47%，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主要是因为省级支持农业生产社会化服务投入资金比上年度增加、省级农村经营主体支持资金减少、市级乡村振兴支持资金减少等变动所致。</w:t>
      </w:r>
    </w:p>
    <w:p w14:paraId="4E0536F6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二、收入决算情况说明</w:t>
      </w:r>
    </w:p>
    <w:p w14:paraId="040F89CE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年度收入合计</w:t>
      </w:r>
      <w:r>
        <w:rPr>
          <w:rFonts w:hint="eastAsia" w:ascii="微软雅黑" w:hAnsi="微软雅黑" w:eastAsia="微软雅黑" w:cs="微软雅黑"/>
          <w:sz w:val="32"/>
          <w:szCs w:val="32"/>
        </w:rPr>
        <w:t>1,664.57万元，其中：财政拨款收入</w:t>
      </w:r>
      <w:r>
        <w:rPr>
          <w:rFonts w:ascii="微软雅黑" w:hAnsi="微软雅黑" w:eastAsia="微软雅黑" w:cs="微软雅黑"/>
          <w:sz w:val="32"/>
        </w:rPr>
        <w:t>1,664.57万元，占100.00</w:t>
      </w:r>
      <w:r>
        <w:rPr>
          <w:rFonts w:hint="eastAsia" w:ascii="微软雅黑" w:hAnsi="微软雅黑" w:eastAsia="微软雅黑" w:cs="微软雅黑"/>
          <w:sz w:val="32"/>
          <w:szCs w:val="32"/>
        </w:rPr>
        <w:t>%；上级补助收入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</w:rPr>
        <w:t>%；事业收入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</w:rPr>
        <w:t>%；经营收入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</w:rPr>
        <w:t>%；附属单位上缴收入</w:t>
      </w:r>
      <w:r>
        <w:rPr>
          <w:rFonts w:ascii="微软雅黑" w:hAnsi="微软雅黑" w:eastAsia="微软雅黑" w:cs="微软雅黑"/>
          <w:sz w:val="32"/>
        </w:rPr>
        <w:t>0.00万元，占0.00</w:t>
      </w:r>
      <w:r>
        <w:rPr>
          <w:rFonts w:hint="eastAsia" w:ascii="微软雅黑" w:hAnsi="微软雅黑" w:eastAsia="微软雅黑" w:cs="微软雅黑"/>
          <w:sz w:val="32"/>
          <w:szCs w:val="32"/>
        </w:rPr>
        <w:t>%；其他收入</w:t>
      </w:r>
      <w:r>
        <w:rPr>
          <w:rFonts w:ascii="微软雅黑" w:hAnsi="微软雅黑" w:eastAsia="微软雅黑" w:cs="微软雅黑"/>
          <w:sz w:val="32"/>
        </w:rPr>
        <w:t>0.00万元，占</w:t>
      </w:r>
      <w:r>
        <w:rPr>
          <w:rFonts w:hint="eastAsia" w:ascii="微软雅黑" w:hAnsi="微软雅黑" w:eastAsia="微软雅黑" w:cs="微软雅黑"/>
          <w:sz w:val="32"/>
          <w:szCs w:val="32"/>
        </w:rPr>
        <w:t>0.00%。</w:t>
      </w:r>
    </w:p>
    <w:p w14:paraId="2B794C9F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三、支出决算情况说明</w:t>
      </w:r>
    </w:p>
    <w:p w14:paraId="5FDB5BEE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年度支出合计1,664.57万元，其中：基本支出222.07万元，占13.34%；项目支出1,442.50万元，占86.66%；上缴上级支出0.00万元，占0.00%；经营支出0.00万元，占0.00%；对附属单位补助支出0.00万元，占0.00%。</w:t>
      </w:r>
    </w:p>
    <w:p w14:paraId="52D5CC6B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四、财政拨款收入支出决算总体情况说明</w:t>
      </w:r>
    </w:p>
    <w:p w14:paraId="751F0936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 xml:space="preserve">    2023</w:t>
      </w:r>
      <w:r>
        <w:rPr>
          <w:rFonts w:ascii="微软雅黑" w:hAnsi="微软雅黑" w:eastAsia="微软雅黑" w:cs="微软雅黑"/>
          <w:sz w:val="32"/>
        </w:rPr>
        <w:t>年度财政拨款收、支总计1,664.57万元，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与上年相比，增加895.61万元，增加116.47%，主要是因为省级支持农业生产社会化服务投入资金比上年度增加、省级农村经营主体支持资金减少、市级乡村振兴支持资金减少等变动所致。</w:t>
      </w:r>
    </w:p>
    <w:p w14:paraId="78F5D058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五、一般公共预算财政拨款支出决算情况说明</w:t>
      </w:r>
    </w:p>
    <w:p w14:paraId="169C1841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（一）财政拨款支出决算总体情况</w:t>
      </w:r>
    </w:p>
    <w:p w14:paraId="7BF8EBFE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年度财政拨款支出1,664.57万元，占本年支出合计的100.00</w:t>
      </w:r>
      <w:r>
        <w:rPr>
          <w:rFonts w:hint="eastAsia" w:ascii="微软雅黑" w:hAnsi="微软雅黑" w:eastAsia="微软雅黑" w:cs="微软雅黑"/>
          <w:sz w:val="32"/>
          <w:szCs w:val="32"/>
        </w:rPr>
        <w:t>%，与上年相比，财政拨款支出</w:t>
      </w:r>
      <w:r>
        <w:rPr>
          <w:rFonts w:ascii="微软雅黑" w:hAnsi="微软雅黑" w:eastAsia="微软雅黑" w:cs="微软雅黑"/>
          <w:sz w:val="32"/>
        </w:rPr>
        <w:t>增长895.61万元，增长116.47%，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主要是因为省级支持农业生产社会化服务投入资金比上年度增加、省级农村经营主体支持资金减少、市级乡村振兴支持资金减少等变动所致。</w:t>
      </w:r>
    </w:p>
    <w:p w14:paraId="753D6121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（二）财政拨款支出决算结构情况</w:t>
      </w:r>
    </w:p>
    <w:p w14:paraId="2BA00BE1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i/>
          <w:i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年度财政拨款支出1,664.57万元，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主要用于以下方面：社会保障和就业（类）支出34.68万元、卫生健康（类）支出8.82万元、农林水（类）支出1608.48万元、住房保障（类）支出12.59万元。</w:t>
      </w:r>
    </w:p>
    <w:p w14:paraId="68603901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（三）财政拨款支出决算具体情况</w:t>
      </w:r>
    </w:p>
    <w:p w14:paraId="4D29C069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年度财政拨款支出年初预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算数为1626.14万元，支出决算数为1664.57万元，完成年初预算的102.4%，其中：</w:t>
      </w:r>
    </w:p>
    <w:p w14:paraId="01C2BC65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1、社会保障和就业支出</w:t>
      </w:r>
    </w:p>
    <w:p w14:paraId="2DB8A5AC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年初预算为15.11万元，支出决算为34.68万元，完成年初预算的229.5%，决算数大于年初预算数的主要原因是：新增无法预料的退休干部死亡抚恤金开支。</w:t>
      </w:r>
    </w:p>
    <w:p w14:paraId="1028A451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2、卫生健康支出</w:t>
      </w:r>
    </w:p>
    <w:p w14:paraId="6DB06293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年初预算为8.45万元，支出决算为8.82万元，完成年初预算的104.3%，决算数大于年初预算数的主要原因是：人员工资正常增长导致职工卫生健康计提基数增大。</w:t>
      </w:r>
    </w:p>
    <w:p w14:paraId="43FD3565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3. 农林水支出</w:t>
      </w:r>
    </w:p>
    <w:p w14:paraId="5D4CF444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年初预算为1591.91万元，支出决算为1608.48万元，完成年初预算的101%，决算数大于年初预算数的主要原因是：省级支持农业生产社会化服务投入资金比上年度增加、省级农村经营主体支持资金减少、市级乡村振兴支持资金减少等变动。</w:t>
      </w:r>
    </w:p>
    <w:p w14:paraId="11CFC2DC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4、住房保障（类）支出</w:t>
      </w:r>
    </w:p>
    <w:p w14:paraId="748FFE30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年初预算为10.67万元，支出决算为12.58万元，完成年初预算的117.9%，决算数大于年初预算数的主要原因是：人员工资正常增长导致职工住房公积金计提基数增大。</w:t>
      </w:r>
    </w:p>
    <w:p w14:paraId="5C797FCB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六、一般公共预算财政拨款基本支出决算情况说明</w:t>
      </w:r>
    </w:p>
    <w:p w14:paraId="7282D7B0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年度财政拨款基本支出222.07万元，其中：</w:t>
      </w:r>
    </w:p>
    <w:p w14:paraId="0CC6CB02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人员经费</w:t>
      </w:r>
      <w:r>
        <w:rPr>
          <w:rFonts w:ascii="微软雅黑" w:hAnsi="微软雅黑" w:eastAsia="微软雅黑" w:cs="微软雅黑"/>
          <w:sz w:val="32"/>
        </w:rPr>
        <w:t>187.00万元，占基本支出的84.21%,主要包括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基本工资、津贴补贴、绩效工资、社会保障缴费、抚恤金、退休人员生活补助等</w:t>
      </w:r>
      <w:r>
        <w:rPr>
          <w:rFonts w:ascii="微软雅黑" w:hAnsi="微软雅黑" w:eastAsia="微软雅黑" w:cs="微软雅黑"/>
          <w:sz w:val="32"/>
        </w:rPr>
        <w:t>。</w:t>
      </w:r>
    </w:p>
    <w:p w14:paraId="36F70877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sz w:val="32"/>
        </w:rPr>
      </w:pPr>
      <w:r>
        <w:rPr>
          <w:rFonts w:hint="eastAsia" w:ascii="微软雅黑" w:hAnsi="微软雅黑" w:eastAsia="微软雅黑" w:cs="微软雅黑"/>
          <w:sz w:val="32"/>
        </w:rPr>
        <w:t>公用经费</w:t>
      </w:r>
      <w:r>
        <w:rPr>
          <w:rFonts w:ascii="微软雅黑" w:hAnsi="微软雅黑" w:eastAsia="微软雅黑" w:cs="微软雅黑"/>
          <w:sz w:val="32"/>
        </w:rPr>
        <w:t>35.07万元，占基本支出的</w:t>
      </w:r>
      <w:r>
        <w:rPr>
          <w:rFonts w:hint="eastAsia" w:ascii="微软雅黑" w:hAnsi="微软雅黑" w:eastAsia="微软雅黑" w:cs="微软雅黑"/>
          <w:sz w:val="32"/>
        </w:rPr>
        <w:t>15.79%，</w:t>
      </w:r>
      <w:r>
        <w:rPr>
          <w:rFonts w:hint="eastAsia" w:ascii="微软雅黑" w:hAnsi="微软雅黑" w:eastAsia="微软雅黑" w:cs="微软雅黑"/>
          <w:sz w:val="32"/>
          <w:lang w:eastAsia="zh-CN"/>
        </w:rPr>
        <w:t>主要包括</w:t>
      </w:r>
      <w:r>
        <w:rPr>
          <w:rFonts w:hint="eastAsia" w:ascii="微软雅黑" w:hAnsi="微软雅黑" w:eastAsia="微软雅黑" w:cs="微软雅黑"/>
          <w:sz w:val="32"/>
          <w:lang w:val="en-US" w:eastAsia="zh-CN"/>
        </w:rPr>
        <w:t>办公费、印刷费、电费、邮电费、物业管理费、维修（护）费、公务接待费、劳务费、工会经费、其他交通费用和其他商品服务支出等。</w:t>
      </w:r>
    </w:p>
    <w:p w14:paraId="07E4928D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七、政府性基金预算收入支出决算情况</w:t>
      </w:r>
    </w:p>
    <w:p w14:paraId="71287FE6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lang w:val="en-US" w:eastAsia="zh-CN"/>
        </w:rPr>
        <w:t>2023年度本单位无政府性基金预算财政拨款收入支出。</w:t>
      </w:r>
    </w:p>
    <w:p w14:paraId="5D5A747E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八、国有资本经营预算财政拨款支出决算情况</w:t>
      </w:r>
    </w:p>
    <w:p w14:paraId="42EB3727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i/>
          <w:i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</w:t>
      </w:r>
      <w:r>
        <w:rPr>
          <w:rFonts w:ascii="微软雅黑" w:hAnsi="微软雅黑" w:eastAsia="微软雅黑" w:cs="微软雅黑"/>
          <w:sz w:val="32"/>
        </w:rPr>
        <w:t>年</w:t>
      </w:r>
      <w:r>
        <w:rPr>
          <w:rFonts w:hint="eastAsia" w:ascii="微软雅黑" w:hAnsi="微软雅黑" w:eastAsia="微软雅黑" w:cs="微软雅黑"/>
          <w:sz w:val="32"/>
          <w:szCs w:val="32"/>
        </w:rPr>
        <w:t>度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本单位无国有资本经营预算财政拨款收入支出。</w:t>
      </w:r>
    </w:p>
    <w:p w14:paraId="3292F935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九、财政拨款三公经费支出决算情况说明</w:t>
      </w:r>
    </w:p>
    <w:p w14:paraId="2E34CD48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（一）“三公”经费财政拨款支出决算总体情况说明</w:t>
      </w:r>
    </w:p>
    <w:p w14:paraId="50CEC96F">
      <w:pPr>
        <w:pStyle w:val="14"/>
        <w:spacing w:line="360" w:lineRule="auto"/>
        <w:ind w:firstLine="800" w:firstLineChars="250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“三公”经费财政拨款支出预算为</w:t>
      </w:r>
      <w:r>
        <w:rPr>
          <w:rFonts w:ascii="微软雅黑" w:hAnsi="微软雅黑" w:eastAsia="微软雅黑" w:cs="微软雅黑"/>
          <w:sz w:val="32"/>
        </w:rPr>
        <w:t>7.63</w:t>
      </w:r>
      <w:r>
        <w:rPr>
          <w:rFonts w:hint="eastAsia" w:ascii="微软雅黑" w:hAnsi="微软雅黑" w:eastAsia="微软雅黑" w:cs="微软雅黑"/>
          <w:sz w:val="32"/>
          <w:szCs w:val="32"/>
        </w:rPr>
        <w:t>万元，支出决算为</w:t>
      </w:r>
      <w:r>
        <w:rPr>
          <w:rFonts w:ascii="微软雅黑" w:hAnsi="微软雅黑" w:eastAsia="微软雅黑" w:cs="微软雅黑"/>
          <w:sz w:val="32"/>
        </w:rPr>
        <w:t>2.97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万元，完成预算的</w:t>
      </w:r>
      <w:r>
        <w:rPr>
          <w:rFonts w:ascii="微软雅黑" w:hAnsi="微软雅黑" w:eastAsia="微软雅黑" w:cs="微软雅黑"/>
          <w:sz w:val="32"/>
        </w:rPr>
        <w:t>38.93</w:t>
      </w:r>
      <w:r>
        <w:rPr>
          <w:rFonts w:hint="eastAsia" w:ascii="微软雅黑" w:hAnsi="微软雅黑" w:eastAsia="微软雅黑" w:cs="微软雅黑"/>
          <w:sz w:val="32"/>
          <w:szCs w:val="32"/>
        </w:rPr>
        <w:t>%，其中：</w:t>
      </w:r>
    </w:p>
    <w:p w14:paraId="676CAF99">
      <w:pPr>
        <w:pStyle w:val="5"/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 w:firstLine="800" w:firstLineChars="250"/>
        <w:jc w:val="left"/>
        <w:rPr>
          <w:rFonts w:hint="eastAsia" w:ascii="微软雅黑" w:hAnsi="微软雅黑" w:eastAsia="微软雅黑" w:cs="微软雅黑"/>
          <w:sz w:val="32"/>
          <w:szCs w:val="32"/>
          <w:lang w:val="en-US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因公出国（境）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费支出预算为0万元，支出决算为0万元，完成预算的0%，</w:t>
      </w:r>
    </w:p>
    <w:p w14:paraId="288DD3F4">
      <w:pPr>
        <w:pStyle w:val="5"/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 w:firstLine="800" w:firstLineChars="250"/>
        <w:jc w:val="left"/>
        <w:rPr>
          <w:rFonts w:hint="eastAsia" w:ascii="微软雅黑" w:hAnsi="微软雅黑" w:eastAsia="微软雅黑" w:cs="微软雅黑"/>
          <w:sz w:val="32"/>
          <w:szCs w:val="32"/>
          <w:lang w:val="en-US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公务接待费支出预算为7.63万元，支出决算为2.97万元，完成预算的38.9%，决算数小于预算数的主要原因是牢固树立过紧日子思想、大力压缩非生产性开支，公务接待费大幅减少。</w:t>
      </w:r>
    </w:p>
    <w:p w14:paraId="2730851A">
      <w:pPr>
        <w:pStyle w:val="5"/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 w:firstLine="800" w:firstLineChars="250"/>
        <w:jc w:val="left"/>
        <w:rPr>
          <w:rFonts w:hint="eastAsia" w:ascii="微软雅黑" w:hAnsi="微软雅黑" w:eastAsia="微软雅黑" w:cs="微软雅黑"/>
          <w:sz w:val="32"/>
          <w:szCs w:val="32"/>
          <w:lang w:val="en-US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公务用车购置费支出预算为0万元，支出决算为0万元，完成预算的0%，决算数与预算数一致，与上年相比持平。</w:t>
      </w:r>
    </w:p>
    <w:p w14:paraId="7EF9B45A">
      <w:pPr>
        <w:pStyle w:val="5"/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 w:firstLine="800" w:firstLineChars="250"/>
        <w:jc w:val="left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公务用车运行维护费支出预算为0万元，支出决算为0万元，完成预算的0%，决算数与预算数一致，与上年相比持平。</w:t>
      </w:r>
    </w:p>
    <w:p w14:paraId="1963D517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（二）“三公”经费财政拨款支出决算具体情况说明</w:t>
      </w:r>
    </w:p>
    <w:p w14:paraId="0E3CA1E1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2023年度“三公”经费财政拨款支出决算中，公务接待费支出决算</w:t>
      </w:r>
      <w:r>
        <w:rPr>
          <w:rFonts w:ascii="微软雅黑" w:hAnsi="微软雅黑" w:eastAsia="微软雅黑" w:cs="微软雅黑"/>
          <w:sz w:val="32"/>
        </w:rPr>
        <w:t>2.97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ascii="微软雅黑" w:hAnsi="微软雅黑" w:eastAsia="微软雅黑" w:cs="微软雅黑"/>
          <w:sz w:val="32"/>
        </w:rPr>
        <w:t>100.00</w:t>
      </w:r>
      <w:r>
        <w:rPr>
          <w:rFonts w:hint="eastAsia" w:ascii="微软雅黑" w:hAnsi="微软雅黑" w:eastAsia="微软雅黑" w:cs="微软雅黑"/>
          <w:sz w:val="32"/>
          <w:szCs w:val="32"/>
        </w:rPr>
        <w:t>%,因公出国（境）费支出决算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ascii="微软雅黑" w:hAnsi="微软雅黑" w:eastAsia="微软雅黑" w:cs="微软雅黑"/>
          <w:sz w:val="32"/>
        </w:rPr>
        <w:t>0</w:t>
      </w:r>
      <w:r>
        <w:rPr>
          <w:rFonts w:hint="eastAsia" w:ascii="微软雅黑" w:hAnsi="微软雅黑" w:eastAsia="微软雅黑" w:cs="微软雅黑"/>
          <w:sz w:val="32"/>
          <w:szCs w:val="32"/>
        </w:rPr>
        <w:t>%,公务用车购置费及运行维护费支出决算</w:t>
      </w:r>
      <w:r>
        <w:rPr>
          <w:rFonts w:ascii="微软雅黑" w:hAnsi="微软雅黑" w:eastAsia="微软雅黑" w:cs="微软雅黑"/>
          <w:sz w:val="32"/>
        </w:rPr>
        <w:t>0.00</w:t>
      </w:r>
      <w:r>
        <w:rPr>
          <w:rFonts w:hint="eastAsia" w:ascii="微软雅黑" w:hAnsi="微软雅黑" w:eastAsia="微软雅黑" w:cs="微软雅黑"/>
          <w:sz w:val="32"/>
          <w:szCs w:val="32"/>
        </w:rPr>
        <w:t>万元，占</w:t>
      </w:r>
      <w:r>
        <w:rPr>
          <w:rFonts w:ascii="微软雅黑" w:hAnsi="微软雅黑" w:eastAsia="微软雅黑" w:cs="微软雅黑"/>
          <w:sz w:val="32"/>
        </w:rPr>
        <w:t>0.00</w:t>
      </w:r>
      <w:r>
        <w:rPr>
          <w:rFonts w:hint="eastAsia" w:ascii="微软雅黑" w:hAnsi="微软雅黑" w:eastAsia="微软雅黑" w:cs="微软雅黑"/>
          <w:sz w:val="32"/>
          <w:szCs w:val="32"/>
        </w:rPr>
        <w:t>%。其中：</w:t>
      </w:r>
    </w:p>
    <w:p w14:paraId="1DE98D76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  <w:lang w:val="en-US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1、因公出国（境）费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支出决算为0万元，全年安排因公出国（境）团组0个，累计0人次。</w:t>
      </w:r>
    </w:p>
    <w:p w14:paraId="3D16C83F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  <w:lang w:val="en-US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2、公务接待费支出决算为2.97万元，全年共接待来访来宾598人次，主要是接待乡镇工作沟通、接待同行交流、接待上级检查等工作发生的接待支出。</w:t>
      </w:r>
    </w:p>
    <w:p w14:paraId="14163F7D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3、公务用车购置费及运行维护费支出决算为0万元，其中：公务用车购置费0万元，单位本级无公务用车辆。公务用车运行维护费0万元，截至2023年12月31日，我单位公务用车保有量为0辆。</w:t>
      </w:r>
    </w:p>
    <w:p w14:paraId="47359FE2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十、关于机关运行经费支出说明</w:t>
      </w:r>
    </w:p>
    <w:p w14:paraId="2EAF3F40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i/>
          <w:i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本部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门2023年度机关运行经费支出35.07万元，比上年决算数减少5万元，降低12.5%。主要原因是：牢固树立过紧日子思想、在确保机关正常运行基础上大力压缩各项开支费用。</w:t>
      </w:r>
    </w:p>
    <w:p w14:paraId="543FED42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十一、一般性支出情况说明</w:t>
      </w:r>
    </w:p>
    <w:p w14:paraId="33567F8D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b/>
          <w:bCs/>
          <w:i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2023年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本部门开支会议费0万元，会议资料在办公费和印刷费中列支；开支培训费0万元，人员参加学习在差旅费中列支；未开展举办节庆、晚会、论坛、赛事活动，开支0万元，主要是本单位无开展此类活动的需要。</w:t>
      </w:r>
    </w:p>
    <w:p w14:paraId="40AE6612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十二、关于政府采购支出说明</w:t>
      </w:r>
    </w:p>
    <w:p w14:paraId="30A8C82B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i/>
          <w:i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本部门2023年度政府采购支出总额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6.54万元，其中：政府采购货物支出6.54万元、政府采购工程支出0万元、政府采购服务支出0万元。授予中小企业合同金额6.54万元，占政府采购支出总额的100%，其中：授予小微企业合同金额6.54万元，占授予中小企业合同金额的100%。货物采购授予中小企业合同金额占货物支出金额的0%，工程采购授予中小企业合同金额占工程支出金额的0%，服务采购授予中小企业合同金额占服务支出金额的0%。</w:t>
      </w:r>
    </w:p>
    <w:p w14:paraId="4E61A1F4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十三、关于国有资产占用情况说明</w:t>
      </w:r>
    </w:p>
    <w:p w14:paraId="367EF17D">
      <w:pPr>
        <w:pStyle w:val="14"/>
        <w:ind w:firstLine="640" w:firstLineChars="200"/>
        <w:rPr>
          <w:rFonts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截至202</w:t>
      </w:r>
      <w:r>
        <w:rPr>
          <w:rFonts w:hint="eastAsia" w:ascii="微软雅黑" w:hAnsi="微软雅黑" w:eastAsia="微软雅黑" w:cs="微软雅黑"/>
          <w:color w:val="000000"/>
          <w:kern w:val="2"/>
          <w:sz w:val="32"/>
          <w:szCs w:val="22"/>
          <w:lang w:val="en-US" w:eastAsia="zh-CN" w:bidi="ar-SA"/>
        </w:rPr>
        <w:t>3年12月31日，单位资产435.74万元。单位已实行公务用车改革，未单独配置公务车辆，共有车辆0辆，其中，主要领导干部用车0辆，机要通信用车0辆、应急保障用车0辆、执法执勤用车0辆、特种专业技术用车0辆、其他用车0辆；单位价值50万元以上通用设备0台（套）；单位价值100万元以上专用设备1台（套）。</w:t>
      </w:r>
    </w:p>
    <w:p w14:paraId="57F2CBC7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sz w:val="32"/>
          <w:szCs w:val="32"/>
        </w:rPr>
        <w:t>十四、关于2023年度绩效评价情况的说明</w:t>
      </w:r>
    </w:p>
    <w:p w14:paraId="428ED63B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。</w:t>
      </w:r>
    </w:p>
    <w:p w14:paraId="30647181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根据预算绩效管理要求，</w:t>
      </w: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/>
        </w:rPr>
        <w:t>我部门组织对2023年度一般公共预算项目支出全面开展绩效自评，共涉及资金1664.57万元，占一般公共预算项目支出总额的100%。组织对2023年度0 个政府性基金预算项目支出开展绩效自评，共涉及资金0 万元，占政府性基金预算项目支出总额的0%。组织对2023年度0个国有资本经营预算项目支出开展绩效自评，共涉及资金0 万元，占国有资本经营预算项目支出总额的0%。</w:t>
      </w:r>
    </w:p>
    <w:p w14:paraId="34B72542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/>
        </w:rPr>
        <w:t>组织对“岳阳县农村经营服务站”等1个单位开展整体支出绩效评价，涉及一般公共预算支出1664.57万元，政府性基金预算支出0 万元，国有资本经营预算支出0万元。从评价情况来看，单位整体支出绩效自评综合得分98分，自评等次为优。</w:t>
      </w:r>
    </w:p>
    <w:p w14:paraId="45C728CB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ascii="微软雅黑" w:hAnsi="微软雅黑" w:eastAsia="微软雅黑" w:cs="微软雅黑"/>
          <w:b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  <w:t>（2）部门决算中项目绩效自评结果（如有）。</w:t>
      </w:r>
    </w:p>
    <w:p w14:paraId="318674D0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eastAsia="zh-CN"/>
        </w:rPr>
        <w:t>无。</w:t>
      </w:r>
    </w:p>
    <w:p w14:paraId="4C0B2F06">
      <w:pPr>
        <w:autoSpaceDE w:val="0"/>
        <w:autoSpaceDN w:val="0"/>
        <w:adjustRightInd w:val="0"/>
        <w:spacing w:line="360" w:lineRule="auto"/>
        <w:ind w:firstLine="640" w:firstLineChars="200"/>
        <w:jc w:val="left"/>
        <w:rPr>
          <w:rFonts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</w:rPr>
        <w:t>（3）部门评价项目绩效评价结果。</w:t>
      </w:r>
    </w:p>
    <w:p w14:paraId="252F4E95">
      <w:pPr>
        <w:pStyle w:val="14"/>
        <w:spacing w:line="360" w:lineRule="auto"/>
        <w:ind w:firstLine="640" w:firstLineChars="200"/>
        <w:rPr>
          <w:rFonts w:hint="eastAsia" w:ascii="微软雅黑" w:hAnsi="微软雅黑" w:eastAsia="微软雅黑" w:cs="微软雅黑"/>
          <w:i/>
          <w:iCs/>
          <w:color w:val="FF00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eastAsia="zh-CN"/>
        </w:rPr>
        <w:t>无。</w:t>
      </w:r>
    </w:p>
    <w:p w14:paraId="0A16CA75">
      <w:pPr>
        <w:rPr>
          <w:rFonts w:ascii="微软雅黑" w:hAnsi="微软雅黑" w:eastAsia="微软雅黑" w:cs="微软雅黑"/>
          <w:i/>
          <w:i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i/>
          <w:iCs/>
          <w:color w:val="FF0000"/>
          <w:sz w:val="32"/>
          <w:szCs w:val="32"/>
        </w:rPr>
        <w:br w:type="page"/>
      </w:r>
    </w:p>
    <w:p w14:paraId="54B45E76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i/>
          <w:iCs/>
          <w:color w:val="FF0000"/>
          <w:sz w:val="32"/>
          <w:szCs w:val="32"/>
        </w:rPr>
      </w:pPr>
    </w:p>
    <w:p w14:paraId="690B0287">
      <w:pPr>
        <w:pStyle w:val="14"/>
        <w:jc w:val="center"/>
        <w:rPr>
          <w:rFonts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第四部分</w:t>
      </w:r>
    </w:p>
    <w:p w14:paraId="154D7B0A">
      <w:pPr>
        <w:jc w:val="center"/>
        <w:rPr>
          <w:rFonts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</w:p>
    <w:p w14:paraId="499B8990">
      <w:pPr>
        <w:jc w:val="center"/>
        <w:rPr>
          <w:rFonts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  <w:t>名词解释</w:t>
      </w:r>
    </w:p>
    <w:p w14:paraId="63742A1D">
      <w:pPr>
        <w:widowControl/>
        <w:jc w:val="left"/>
        <w:rPr>
          <w:rFonts w:ascii="微软雅黑" w:hAnsi="微软雅黑" w:eastAsia="微软雅黑" w:cs="微软雅黑"/>
          <w:color w:val="000000"/>
          <w:kern w:val="0"/>
          <w:sz w:val="32"/>
          <w:szCs w:val="32"/>
        </w:rPr>
      </w:pPr>
    </w:p>
    <w:p w14:paraId="4C1E6689">
      <w:pPr>
        <w:spacing w:line="360" w:lineRule="auto"/>
        <w:ind w:firstLine="640" w:firstLineChars="200"/>
        <w:jc w:val="left"/>
        <w:rPr>
          <w:rFonts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407F5ACC">
      <w:pPr>
        <w:spacing w:line="360" w:lineRule="auto"/>
        <w:ind w:firstLine="640" w:firstLineChars="200"/>
        <w:jc w:val="left"/>
        <w:rPr>
          <w:rFonts w:ascii="微软雅黑" w:hAnsi="微软雅黑" w:eastAsia="微软雅黑" w:cs="微软雅黑"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  <w:t>二、机关运行经费，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089B9693">
      <w:pPr>
        <w:pStyle w:val="14"/>
        <w:spacing w:line="360" w:lineRule="auto"/>
        <w:ind w:firstLine="640" w:firstLineChars="200"/>
        <w:rPr>
          <w:rFonts w:ascii="微软雅黑" w:hAnsi="微软雅黑" w:eastAsia="微软雅黑" w:cs="微软雅黑"/>
          <w:i w:val="0"/>
          <w:iCs w:val="0"/>
          <w:color w:val="FF0000"/>
          <w:sz w:val="32"/>
          <w:szCs w:val="32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olor w:val="FF0000"/>
          <w:sz w:val="32"/>
          <w:szCs w:val="32"/>
        </w:rPr>
        <w:t>（名词解释应包含本部门专有名词，如省财政厅应有对“财政事务”科目的解释，可参考中央相关部门的名词解释）</w:t>
      </w:r>
    </w:p>
    <w:p w14:paraId="7345293C">
      <w:pPr>
        <w:pStyle w:val="14"/>
        <w:spacing w:line="600" w:lineRule="exact"/>
        <w:ind w:firstLine="640" w:firstLineChars="200"/>
        <w:rPr>
          <w:rFonts w:ascii="微软雅黑" w:hAnsi="微软雅黑" w:eastAsia="微软雅黑" w:cs="微软雅黑"/>
          <w:b/>
          <w:bCs/>
          <w:i/>
          <w:color w:val="FF0000"/>
          <w:sz w:val="32"/>
          <w:szCs w:val="32"/>
        </w:rPr>
      </w:pPr>
    </w:p>
    <w:p w14:paraId="67A0D386">
      <w:pPr>
        <w:rPr>
          <w:rFonts w:ascii="微软雅黑" w:hAnsi="微软雅黑" w:eastAsia="微软雅黑" w:cs="微软雅黑"/>
          <w:sz w:val="72"/>
          <w:szCs w:val="72"/>
        </w:rPr>
      </w:pPr>
      <w:r>
        <w:rPr>
          <w:rFonts w:hint="eastAsia" w:ascii="微软雅黑" w:hAnsi="微软雅黑" w:eastAsia="微软雅黑" w:cs="微软雅黑"/>
          <w:sz w:val="72"/>
          <w:szCs w:val="72"/>
        </w:rPr>
        <w:br w:type="page"/>
      </w:r>
    </w:p>
    <w:p w14:paraId="0A699AC4">
      <w:pPr>
        <w:pStyle w:val="14"/>
        <w:jc w:val="center"/>
        <w:rPr>
          <w:rFonts w:ascii="微软雅黑" w:hAnsi="微软雅黑" w:eastAsia="微软雅黑" w:cs="微软雅黑"/>
          <w:sz w:val="72"/>
          <w:szCs w:val="72"/>
        </w:rPr>
      </w:pPr>
    </w:p>
    <w:p w14:paraId="22E06853">
      <w:pPr>
        <w:pStyle w:val="14"/>
        <w:jc w:val="center"/>
        <w:rPr>
          <w:rFonts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第五部分</w:t>
      </w:r>
    </w:p>
    <w:p w14:paraId="55A13A40">
      <w:pPr>
        <w:jc w:val="center"/>
        <w:rPr>
          <w:rFonts w:ascii="微软雅黑" w:hAnsi="微软雅黑" w:eastAsia="微软雅黑" w:cs="微软雅黑"/>
          <w:b/>
          <w:bCs/>
          <w:color w:val="000000"/>
          <w:kern w:val="0"/>
          <w:sz w:val="70"/>
          <w:szCs w:val="70"/>
        </w:rPr>
      </w:pPr>
    </w:p>
    <w:p w14:paraId="0A851D2F">
      <w:pPr>
        <w:pStyle w:val="14"/>
        <w:jc w:val="center"/>
        <w:rPr>
          <w:rFonts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0"/>
          <w:szCs w:val="70"/>
        </w:rPr>
        <w:t>附件</w:t>
      </w:r>
    </w:p>
    <w:p w14:paraId="59E9D8F5">
      <w:pPr>
        <w:ind w:firstLine="640" w:firstLineChars="200"/>
        <w:jc w:val="left"/>
        <w:rPr>
          <w:rFonts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</w:pPr>
    </w:p>
    <w:p w14:paraId="7F18022F">
      <w:pPr>
        <w:spacing w:line="360" w:lineRule="auto"/>
        <w:ind w:firstLine="640" w:firstLineChars="200"/>
        <w:jc w:val="left"/>
        <w:rPr>
          <w:rFonts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  <w:t>1、</w:t>
      </w:r>
      <w:r>
        <w:rPr>
          <w:rFonts w:ascii="微软雅黑" w:hAnsi="微软雅黑" w:eastAsia="微软雅黑" w:cs="微软雅黑"/>
          <w:b/>
          <w:color w:val="000000"/>
          <w:sz w:val="32"/>
        </w:rPr>
        <w:t>2023年部门决算公开表格</w:t>
      </w:r>
    </w:p>
    <w:p w14:paraId="45772338">
      <w:pPr>
        <w:spacing w:line="360" w:lineRule="auto"/>
        <w:ind w:firstLine="640" w:firstLineChars="200"/>
        <w:jc w:val="left"/>
        <w:rPr>
          <w:rFonts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  <w:t>2、2023年度部门整体支出绩效评价报告</w:t>
      </w:r>
    </w:p>
    <w:sectPr>
      <w:pgSz w:w="11906" w:h="16838"/>
      <w:pgMar w:top="720" w:right="720" w:bottom="720" w:left="72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docVars>
    <w:docVar w:name="commondata" w:val="eyJoZGlkIjoiNGJhNDUwNzRkNjE1MmRjZmExZGY2MWIyMWNkMWI1ZWIifQ=="/>
    <w:docVar w:name="KSO_WPS_MARK_KEY" w:val="aeeac8e3-f466-426f-889f-364d7213eb81"/>
  </w:docVars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04B2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27F61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301FC"/>
    <w:rsid w:val="00D415BA"/>
    <w:rsid w:val="00D6239B"/>
    <w:rsid w:val="00D63780"/>
    <w:rsid w:val="00D644EE"/>
    <w:rsid w:val="00DD06FF"/>
    <w:rsid w:val="00DD5FE9"/>
    <w:rsid w:val="00E00C7A"/>
    <w:rsid w:val="00E30D3B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5482261"/>
    <w:rsid w:val="074309F6"/>
    <w:rsid w:val="07966D78"/>
    <w:rsid w:val="07E04F3D"/>
    <w:rsid w:val="096227F5"/>
    <w:rsid w:val="0AC57974"/>
    <w:rsid w:val="0F9016DB"/>
    <w:rsid w:val="0FE268D2"/>
    <w:rsid w:val="10A73DA4"/>
    <w:rsid w:val="11A63AC3"/>
    <w:rsid w:val="13135140"/>
    <w:rsid w:val="134641EF"/>
    <w:rsid w:val="136B7D14"/>
    <w:rsid w:val="15986B0A"/>
    <w:rsid w:val="15A64981"/>
    <w:rsid w:val="17D85E72"/>
    <w:rsid w:val="191A1185"/>
    <w:rsid w:val="1A4B623A"/>
    <w:rsid w:val="1ADE677A"/>
    <w:rsid w:val="21680401"/>
    <w:rsid w:val="27B766F6"/>
    <w:rsid w:val="29701875"/>
    <w:rsid w:val="2B1B4D65"/>
    <w:rsid w:val="2F026361"/>
    <w:rsid w:val="2F5729E1"/>
    <w:rsid w:val="306F0E15"/>
    <w:rsid w:val="31B77767"/>
    <w:rsid w:val="33E12879"/>
    <w:rsid w:val="34095384"/>
    <w:rsid w:val="34E24AFB"/>
    <w:rsid w:val="36E96615"/>
    <w:rsid w:val="3BC62A80"/>
    <w:rsid w:val="3FD348C7"/>
    <w:rsid w:val="40C80669"/>
    <w:rsid w:val="41940D6D"/>
    <w:rsid w:val="42415557"/>
    <w:rsid w:val="42FC322C"/>
    <w:rsid w:val="44AC435F"/>
    <w:rsid w:val="487D493C"/>
    <w:rsid w:val="493A4AAE"/>
    <w:rsid w:val="4C76404F"/>
    <w:rsid w:val="4D542DAB"/>
    <w:rsid w:val="4EC70B92"/>
    <w:rsid w:val="512C2F2E"/>
    <w:rsid w:val="52E579D6"/>
    <w:rsid w:val="55C63EE6"/>
    <w:rsid w:val="570F5142"/>
    <w:rsid w:val="5777D4F5"/>
    <w:rsid w:val="57D94F90"/>
    <w:rsid w:val="59743537"/>
    <w:rsid w:val="5B4F3FC2"/>
    <w:rsid w:val="5D2E44D2"/>
    <w:rsid w:val="5DA84284"/>
    <w:rsid w:val="5DB1138B"/>
    <w:rsid w:val="5E026FEC"/>
    <w:rsid w:val="5FC6BB1E"/>
    <w:rsid w:val="5FF720F1"/>
    <w:rsid w:val="63930AB7"/>
    <w:rsid w:val="643C1282"/>
    <w:rsid w:val="645753D4"/>
    <w:rsid w:val="65B05FE0"/>
    <w:rsid w:val="660109D5"/>
    <w:rsid w:val="6720463D"/>
    <w:rsid w:val="6BD30F4C"/>
    <w:rsid w:val="6D15603E"/>
    <w:rsid w:val="6D1D2BA3"/>
    <w:rsid w:val="6D340BE9"/>
    <w:rsid w:val="6E4E0530"/>
    <w:rsid w:val="71B615C9"/>
    <w:rsid w:val="72853156"/>
    <w:rsid w:val="72D57472"/>
    <w:rsid w:val="73653335"/>
    <w:rsid w:val="737D59BA"/>
    <w:rsid w:val="73D15FE7"/>
    <w:rsid w:val="743957DE"/>
    <w:rsid w:val="75063912"/>
    <w:rsid w:val="772C33D8"/>
    <w:rsid w:val="776B5ABC"/>
    <w:rsid w:val="776D2CE2"/>
    <w:rsid w:val="77C37683"/>
    <w:rsid w:val="79FF515B"/>
    <w:rsid w:val="7C4D3A17"/>
    <w:rsid w:val="7E9F11B4"/>
    <w:rsid w:val="7FC69637"/>
    <w:rsid w:val="7FFDB408"/>
    <w:rsid w:val="CBFF70E0"/>
    <w:rsid w:val="EEABED75"/>
    <w:rsid w:val="FB36E1A6"/>
    <w:rsid w:val="FF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rPr>
      <w:sz w:val="24"/>
    </w:r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font1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2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15</Pages>
  <Words>4322</Words>
  <Characters>4791</Characters>
  <Lines>45</Lines>
  <Paragraphs>12</Paragraphs>
  <TotalTime>33</TotalTime>
  <ScaleCrop>false</ScaleCrop>
  <LinksUpToDate>false</LinksUpToDate>
  <CharactersWithSpaces>4806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红梅</cp:lastModifiedBy>
  <cp:lastPrinted>2023-08-15T09:28:00Z</cp:lastPrinted>
  <dcterms:modified xsi:type="dcterms:W3CDTF">2024-10-11T02:16:22Z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661ABA64067A42B98A18CBAF8FC9F9FC_13</vt:lpwstr>
  </property>
</Properties>
</file>