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CD9BDC">
      <w:pPr>
        <w:pStyle w:val="14"/>
        <w:jc w:val="center"/>
        <w:rPr>
          <w:rFonts w:ascii="微软雅黑" w:hAnsi="微软雅黑" w:eastAsia="微软雅黑" w:cs="微软雅黑"/>
          <w:sz w:val="56"/>
          <w:szCs w:val="56"/>
        </w:rPr>
      </w:pPr>
    </w:p>
    <w:p w14:paraId="73BD3905">
      <w:pPr>
        <w:pStyle w:val="14"/>
        <w:jc w:val="center"/>
        <w:rPr>
          <w:rFonts w:ascii="微软雅黑" w:hAnsi="微软雅黑" w:eastAsia="微软雅黑" w:cs="微软雅黑"/>
          <w:sz w:val="56"/>
          <w:szCs w:val="56"/>
        </w:rPr>
      </w:pPr>
    </w:p>
    <w:p w14:paraId="7A9EEDEB">
      <w:pPr>
        <w:pStyle w:val="14"/>
        <w:jc w:val="center"/>
        <w:rPr>
          <w:rFonts w:ascii="微软雅黑" w:hAnsi="微软雅黑" w:eastAsia="微软雅黑" w:cs="微软雅黑"/>
          <w:sz w:val="84"/>
          <w:szCs w:val="84"/>
        </w:rPr>
      </w:pPr>
    </w:p>
    <w:p w14:paraId="64EAF898">
      <w:pPr>
        <w:pStyle w:val="14"/>
        <w:jc w:val="center"/>
        <w:rPr>
          <w:rFonts w:ascii="微软雅黑" w:hAnsi="微软雅黑" w:eastAsia="微软雅黑" w:cs="微软雅黑"/>
          <w:sz w:val="84"/>
          <w:szCs w:val="84"/>
        </w:rPr>
      </w:pPr>
    </w:p>
    <w:p w14:paraId="2B78CB02">
      <w:pPr>
        <w:pStyle w:val="14"/>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2023</w:t>
      </w:r>
      <w:r>
        <w:rPr>
          <w:rFonts w:ascii="方正小标宋_GBK" w:hAnsi="方正小标宋_GBK" w:eastAsia="方正小标宋_GBK" w:cs="方正小标宋_GBK"/>
          <w:sz w:val="84"/>
          <w:szCs w:val="84"/>
        </w:rPr>
        <w:t>年度</w:t>
      </w:r>
    </w:p>
    <w:p w14:paraId="6D7884EA">
      <w:pPr>
        <w:pStyle w:val="14"/>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岳阳县农业机械化服务中心</w:t>
      </w:r>
      <w:r>
        <w:rPr>
          <w:rFonts w:ascii="方正小标宋_GBK" w:hAnsi="方正小标宋_GBK" w:eastAsia="方正小标宋_GBK" w:cs="方正小标宋_GBK"/>
          <w:sz w:val="84"/>
          <w:szCs w:val="84"/>
        </w:rPr>
        <w:t>部门（单位）部门决算</w:t>
      </w:r>
    </w:p>
    <w:p w14:paraId="7117EDBA">
      <w:pPr>
        <w:pStyle w:val="14"/>
        <w:jc w:val="center"/>
        <w:rPr>
          <w:rFonts w:ascii="微软雅黑" w:hAnsi="微软雅黑" w:eastAsia="微软雅黑" w:cs="微软雅黑"/>
          <w:sz w:val="84"/>
          <w:szCs w:val="84"/>
        </w:rPr>
      </w:pPr>
    </w:p>
    <w:p w14:paraId="4A9789C7">
      <w:pPr>
        <w:pStyle w:val="14"/>
        <w:jc w:val="center"/>
        <w:rPr>
          <w:rFonts w:ascii="微软雅黑" w:hAnsi="微软雅黑" w:eastAsia="微软雅黑" w:cs="微软雅黑"/>
          <w:sz w:val="84"/>
          <w:szCs w:val="84"/>
        </w:rPr>
      </w:pPr>
    </w:p>
    <w:p w14:paraId="4586CFB4">
      <w:pPr>
        <w:pStyle w:val="14"/>
        <w:jc w:val="center"/>
        <w:rPr>
          <w:rFonts w:ascii="微软雅黑" w:hAnsi="微软雅黑" w:eastAsia="微软雅黑" w:cs="微软雅黑"/>
          <w:sz w:val="84"/>
          <w:szCs w:val="84"/>
        </w:rPr>
      </w:pPr>
    </w:p>
    <w:p w14:paraId="4BD8839B">
      <w:pPr>
        <w:pStyle w:val="14"/>
        <w:jc w:val="center"/>
        <w:rPr>
          <w:rFonts w:ascii="微软雅黑" w:hAnsi="微软雅黑" w:eastAsia="微软雅黑" w:cs="微软雅黑"/>
          <w:sz w:val="84"/>
          <w:szCs w:val="84"/>
        </w:rPr>
      </w:pPr>
    </w:p>
    <w:p w14:paraId="3BE7EDEF">
      <w:pPr>
        <w:rPr>
          <w:rFonts w:ascii="微软雅黑" w:hAnsi="微软雅黑" w:eastAsia="微软雅黑" w:cs="微软雅黑"/>
        </w:rPr>
      </w:pPr>
    </w:p>
    <w:p w14:paraId="3618096A">
      <w:pPr>
        <w:pStyle w:val="14"/>
        <w:spacing w:line="500" w:lineRule="exact"/>
        <w:jc w:val="center"/>
        <w:rPr>
          <w:b/>
          <w:sz w:val="36"/>
          <w:szCs w:val="28"/>
        </w:rPr>
      </w:pPr>
      <w:r>
        <w:rPr>
          <w:rFonts w:hint="eastAsia"/>
          <w:b/>
          <w:sz w:val="36"/>
          <w:szCs w:val="28"/>
        </w:rPr>
        <w:t>目录</w:t>
      </w:r>
    </w:p>
    <w:p w14:paraId="49D23B10">
      <w:pPr>
        <w:pStyle w:val="14"/>
        <w:spacing w:line="500" w:lineRule="exact"/>
        <w:jc w:val="center"/>
        <w:rPr>
          <w:rFonts w:ascii="微软雅黑" w:hAnsi="微软雅黑" w:eastAsia="微软雅黑" w:cs="微软雅黑"/>
          <w:b/>
          <w:sz w:val="36"/>
          <w:szCs w:val="28"/>
        </w:rPr>
      </w:pPr>
    </w:p>
    <w:p w14:paraId="4C7C478E">
      <w:pPr>
        <w:pStyle w:val="14"/>
        <w:spacing w:line="360" w:lineRule="auto"/>
        <w:rPr>
          <w:rFonts w:hAnsi="黑体"/>
          <w:bCs/>
          <w:sz w:val="28"/>
          <w:szCs w:val="28"/>
        </w:rPr>
      </w:pPr>
      <w:r>
        <w:rPr>
          <w:rFonts w:hint="eastAsia" w:hAnsi="黑体"/>
          <w:bCs/>
          <w:sz w:val="28"/>
          <w:szCs w:val="28"/>
        </w:rPr>
        <w:t>第一部分 岳阳县农业机械化服务中心部门（单位）概况</w:t>
      </w:r>
    </w:p>
    <w:p w14:paraId="483F5A31">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00CFC633">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二、机构设置及决算单位构成</w:t>
      </w:r>
    </w:p>
    <w:p w14:paraId="6E22D965">
      <w:pPr>
        <w:pStyle w:val="14"/>
        <w:spacing w:line="360" w:lineRule="auto"/>
        <w:rPr>
          <w:rFonts w:hAnsi="黑体"/>
          <w:bCs/>
          <w:sz w:val="28"/>
          <w:szCs w:val="28"/>
        </w:rPr>
      </w:pPr>
      <w:r>
        <w:rPr>
          <w:rFonts w:hint="eastAsia" w:hAnsi="黑体"/>
          <w:bCs/>
          <w:sz w:val="28"/>
          <w:szCs w:val="28"/>
        </w:rPr>
        <w:t>第二部分 部门决算表</w:t>
      </w:r>
    </w:p>
    <w:p w14:paraId="1366C40D">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63DBFEAD">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1D99141F">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34EB95EC">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16BA41E8">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360C306A">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7BC1A315">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0324AB6D">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3A3CE31E">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1DA2FA32">
      <w:pPr>
        <w:pStyle w:val="14"/>
        <w:spacing w:line="360" w:lineRule="auto"/>
        <w:rPr>
          <w:rFonts w:hAnsi="黑体"/>
          <w:bCs/>
          <w:sz w:val="28"/>
          <w:szCs w:val="28"/>
        </w:rPr>
      </w:pPr>
      <w:r>
        <w:rPr>
          <w:rFonts w:hint="eastAsia" w:hAnsi="黑体"/>
          <w:bCs/>
          <w:sz w:val="28"/>
          <w:szCs w:val="28"/>
        </w:rPr>
        <w:t>第三部分 部门决算情况说明</w:t>
      </w:r>
    </w:p>
    <w:p w14:paraId="3A37D4B6">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1075A6DB">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433BDD01">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三、支出决算情况说明</w:t>
      </w:r>
    </w:p>
    <w:p w14:paraId="6761E641">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四、财政拨款收入支出决算总体情况说明</w:t>
      </w:r>
    </w:p>
    <w:p w14:paraId="7BB83CAD">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五、一般公共预算财政拨款支出决算情况说明</w:t>
      </w:r>
    </w:p>
    <w:p w14:paraId="673DBE55">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六、一般公共预算财政拨款基本支出决算情况说明</w:t>
      </w:r>
    </w:p>
    <w:p w14:paraId="68E4C0D3">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七、政府性基金预算收入支出决算情况</w:t>
      </w:r>
    </w:p>
    <w:p w14:paraId="59E97CB4">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八、国有资本经营预算财政拨款支出决算情况</w:t>
      </w:r>
    </w:p>
    <w:p w14:paraId="7A2A8A63">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九、财政拨款三公经费支出决算情况说明</w:t>
      </w:r>
    </w:p>
    <w:p w14:paraId="625B62B6">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十、关于机关运行经费支出说明</w:t>
      </w:r>
    </w:p>
    <w:p w14:paraId="50D37BED">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十一、一般性支出情况说明</w:t>
      </w:r>
    </w:p>
    <w:p w14:paraId="016FB648">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十二、关于政府采购支出说明</w:t>
      </w:r>
    </w:p>
    <w:p w14:paraId="055659AA">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十三、关于国有资产占用情况说明</w:t>
      </w:r>
    </w:p>
    <w:p w14:paraId="31515AD5">
      <w:pPr>
        <w:pStyle w:val="14"/>
        <w:spacing w:line="360" w:lineRule="auto"/>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十四、关于2023</w:t>
      </w:r>
      <w:r>
        <w:rPr>
          <w:rFonts w:ascii="仿宋_GB2312" w:hAnsi="仿宋_GB2312" w:eastAsia="仿宋_GB2312" w:cs="仿宋_GB2312"/>
          <w:sz w:val="28"/>
          <w:szCs w:val="28"/>
        </w:rPr>
        <w:t>年度</w:t>
      </w:r>
      <w:r>
        <w:rPr>
          <w:rFonts w:hint="eastAsia" w:ascii="仿宋_GB2312" w:hAnsi="仿宋_GB2312" w:eastAsia="仿宋_GB2312" w:cs="仿宋_GB2312"/>
          <w:sz w:val="28"/>
          <w:szCs w:val="28"/>
        </w:rPr>
        <w:t>绩效评价情况的说明</w:t>
      </w:r>
    </w:p>
    <w:p w14:paraId="04DAA346">
      <w:pPr>
        <w:pStyle w:val="14"/>
        <w:spacing w:line="360" w:lineRule="auto"/>
        <w:rPr>
          <w:rFonts w:hAnsi="黑体"/>
          <w:bCs/>
          <w:sz w:val="28"/>
          <w:szCs w:val="28"/>
        </w:rPr>
      </w:pPr>
      <w:r>
        <w:rPr>
          <w:rFonts w:hint="eastAsia" w:hAnsi="黑体"/>
          <w:bCs/>
          <w:sz w:val="28"/>
          <w:szCs w:val="28"/>
        </w:rPr>
        <w:t>第四部分 名词解释</w:t>
      </w:r>
    </w:p>
    <w:p w14:paraId="685FB881">
      <w:pPr>
        <w:pStyle w:val="14"/>
        <w:spacing w:line="360" w:lineRule="auto"/>
        <w:rPr>
          <w:rFonts w:hAnsi="黑体"/>
          <w:bCs/>
          <w:sz w:val="28"/>
          <w:szCs w:val="28"/>
        </w:rPr>
      </w:pPr>
      <w:r>
        <w:rPr>
          <w:rFonts w:hint="eastAsia" w:hAnsi="黑体"/>
          <w:bCs/>
          <w:sz w:val="28"/>
          <w:szCs w:val="28"/>
        </w:rPr>
        <w:t>第五部分 附件</w:t>
      </w:r>
    </w:p>
    <w:p w14:paraId="6491AEAF">
      <w:pPr>
        <w:pStyle w:val="14"/>
        <w:spacing w:line="500" w:lineRule="exact"/>
        <w:rPr>
          <w:rFonts w:ascii="微软雅黑" w:hAnsi="微软雅黑" w:eastAsia="微软雅黑" w:cs="微软雅黑"/>
          <w:bCs/>
          <w:sz w:val="28"/>
          <w:szCs w:val="28"/>
        </w:rPr>
      </w:pPr>
      <w:r>
        <w:rPr>
          <w:rFonts w:hint="eastAsia" w:ascii="微软雅黑" w:hAnsi="微软雅黑" w:eastAsia="微软雅黑" w:cs="微软雅黑"/>
          <w:bCs/>
          <w:sz w:val="28"/>
          <w:szCs w:val="28"/>
        </w:rPr>
        <w:br w:type="page"/>
      </w:r>
    </w:p>
    <w:p w14:paraId="3C83C8B9">
      <w:pPr>
        <w:jc w:val="center"/>
        <w:rPr>
          <w:rFonts w:ascii="微软雅黑" w:hAnsi="微软雅黑" w:eastAsia="微软雅黑" w:cs="微软雅黑"/>
          <w:sz w:val="72"/>
          <w:szCs w:val="72"/>
        </w:rPr>
      </w:pPr>
    </w:p>
    <w:p w14:paraId="57286F9E">
      <w:pPr>
        <w:jc w:val="center"/>
        <w:rPr>
          <w:rFonts w:ascii="微软雅黑" w:hAnsi="微软雅黑" w:eastAsia="微软雅黑" w:cs="微软雅黑"/>
          <w:sz w:val="72"/>
          <w:szCs w:val="72"/>
        </w:rPr>
      </w:pPr>
    </w:p>
    <w:p w14:paraId="1300A96E">
      <w:pPr>
        <w:jc w:val="center"/>
        <w:rPr>
          <w:rFonts w:ascii="微软雅黑" w:hAnsi="微软雅黑" w:eastAsia="微软雅黑" w:cs="微软雅黑"/>
          <w:sz w:val="72"/>
          <w:szCs w:val="72"/>
        </w:rPr>
      </w:pPr>
    </w:p>
    <w:p w14:paraId="0B3E4401">
      <w:pPr>
        <w:jc w:val="center"/>
        <w:rPr>
          <w:rFonts w:ascii="微软雅黑" w:hAnsi="微软雅黑" w:eastAsia="微软雅黑" w:cs="微软雅黑"/>
          <w:sz w:val="72"/>
          <w:szCs w:val="72"/>
        </w:rPr>
      </w:pPr>
    </w:p>
    <w:p w14:paraId="6D11D0C7">
      <w:pPr>
        <w:pStyle w:val="14"/>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2F932D3D">
      <w:pPr>
        <w:pStyle w:val="14"/>
        <w:jc w:val="center"/>
        <w:rPr>
          <w:rFonts w:ascii="方正小标宋_GBK" w:hAnsi="方正小标宋_GBK" w:eastAsia="方正小标宋_GBK" w:cs="方正小标宋_GBK"/>
          <w:sz w:val="84"/>
          <w:szCs w:val="84"/>
        </w:rPr>
      </w:pPr>
    </w:p>
    <w:p w14:paraId="2C4ACEA5">
      <w:pPr>
        <w:pStyle w:val="14"/>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岳阳县农业机械化服务中心部门（单位）概况</w:t>
      </w:r>
    </w:p>
    <w:p w14:paraId="32EAE7CD">
      <w:pPr>
        <w:jc w:val="center"/>
        <w:rPr>
          <w:rFonts w:ascii="微软雅黑" w:hAnsi="微软雅黑" w:eastAsia="微软雅黑" w:cs="微软雅黑"/>
          <w:sz w:val="72"/>
          <w:szCs w:val="72"/>
        </w:rPr>
      </w:pPr>
    </w:p>
    <w:p w14:paraId="6ECE7E04">
      <w:pPr>
        <w:jc w:val="center"/>
        <w:rPr>
          <w:rFonts w:ascii="微软雅黑" w:hAnsi="微软雅黑" w:eastAsia="微软雅黑" w:cs="微软雅黑"/>
          <w:sz w:val="72"/>
          <w:szCs w:val="72"/>
        </w:rPr>
      </w:pPr>
    </w:p>
    <w:p w14:paraId="42174DD3">
      <w:pPr>
        <w:jc w:val="center"/>
        <w:rPr>
          <w:rFonts w:ascii="微软雅黑" w:hAnsi="微软雅黑" w:eastAsia="微软雅黑" w:cs="微软雅黑"/>
          <w:sz w:val="72"/>
          <w:szCs w:val="72"/>
        </w:rPr>
      </w:pPr>
    </w:p>
    <w:p w14:paraId="0C19D22F">
      <w:pPr>
        <w:jc w:val="center"/>
        <w:rPr>
          <w:rFonts w:ascii="微软雅黑" w:hAnsi="微软雅黑" w:eastAsia="微软雅黑" w:cs="微软雅黑"/>
          <w:sz w:val="72"/>
          <w:szCs w:val="72"/>
        </w:rPr>
      </w:pPr>
    </w:p>
    <w:p w14:paraId="3C0A0A47">
      <w:pPr>
        <w:jc w:val="center"/>
        <w:rPr>
          <w:rFonts w:ascii="微软雅黑" w:hAnsi="微软雅黑" w:eastAsia="微软雅黑" w:cs="微软雅黑"/>
          <w:sz w:val="72"/>
          <w:szCs w:val="72"/>
        </w:rPr>
      </w:pPr>
    </w:p>
    <w:p w14:paraId="09911D07">
      <w:pPr>
        <w:pStyle w:val="15"/>
        <w:ind w:firstLine="640"/>
        <w:jc w:val="left"/>
        <w:rPr>
          <w:rFonts w:ascii="黑体" w:hAnsi="黑体" w:eastAsia="黑体" w:cs="黑体"/>
          <w:sz w:val="32"/>
          <w:szCs w:val="32"/>
        </w:rPr>
      </w:pPr>
      <w:r>
        <w:rPr>
          <w:rFonts w:hint="eastAsia" w:ascii="黑体" w:hAnsi="黑体" w:eastAsia="黑体" w:cs="黑体"/>
          <w:sz w:val="32"/>
          <w:szCs w:val="32"/>
        </w:rPr>
        <w:t>一、部门职责</w:t>
      </w:r>
    </w:p>
    <w:p w14:paraId="07E55768">
      <w:pPr>
        <w:widowControl/>
        <w:spacing w:line="600" w:lineRule="exact"/>
        <w:ind w:firstLine="640" w:firstLineChars="200"/>
        <w:rPr>
          <w:rFonts w:ascii="宋体" w:hAnsi="宋体"/>
          <w:bCs/>
          <w:kern w:val="0"/>
          <w:sz w:val="32"/>
          <w:szCs w:val="32"/>
          <w:lang w:val="zh-CN"/>
        </w:rPr>
      </w:pPr>
      <w:r>
        <w:rPr>
          <w:rFonts w:hint="eastAsia" w:ascii="宋体" w:hAnsi="宋体"/>
          <w:bCs/>
          <w:kern w:val="0"/>
          <w:sz w:val="32"/>
          <w:szCs w:val="32"/>
          <w:lang w:val="zh-CN"/>
        </w:rPr>
        <w:t>组织实施农机化、农业工程、农业机械的安全生产监督管理，农机操作人员的培训考试及发证，农机技术检测，农机事故的处理，农用油的经营预测管理，农机抗灾救灾，引进农机新机具、新技术，负责管理本单位的财务劳资和审计等工作。</w:t>
      </w:r>
    </w:p>
    <w:p w14:paraId="59CA1B67">
      <w:pPr>
        <w:pStyle w:val="15"/>
        <w:ind w:firstLine="640"/>
        <w:jc w:val="left"/>
        <w:rPr>
          <w:rFonts w:ascii="黑体" w:hAnsi="黑体" w:eastAsia="黑体" w:cs="黑体"/>
          <w:sz w:val="32"/>
          <w:szCs w:val="32"/>
        </w:rPr>
      </w:pPr>
      <w:r>
        <w:rPr>
          <w:rFonts w:hint="eastAsia" w:ascii="黑体" w:hAnsi="黑体" w:eastAsia="黑体" w:cs="黑体"/>
          <w:sz w:val="32"/>
          <w:szCs w:val="32"/>
        </w:rPr>
        <w:t>二、机构设置及决算单位构成</w:t>
      </w:r>
    </w:p>
    <w:p w14:paraId="1377FF1B">
      <w:pPr>
        <w:widowControl/>
        <w:spacing w:line="600" w:lineRule="exact"/>
        <w:ind w:firstLine="480" w:firstLineChars="150"/>
        <w:rPr>
          <w:rFonts w:ascii="宋体" w:hAnsi="宋体"/>
          <w:bCs/>
          <w:kern w:val="0"/>
          <w:sz w:val="32"/>
          <w:szCs w:val="32"/>
          <w:lang w:val="zh-CN"/>
        </w:rPr>
      </w:pPr>
      <w:r>
        <w:rPr>
          <w:rFonts w:hint="eastAsia" w:ascii="宋体" w:hAnsi="宋体"/>
          <w:bCs/>
          <w:kern w:val="0"/>
          <w:sz w:val="32"/>
          <w:szCs w:val="32"/>
          <w:lang w:val="zh-CN"/>
        </w:rPr>
        <w:t>（一）内设机构设置。</w:t>
      </w:r>
      <w:r>
        <w:rPr>
          <w:rFonts w:ascii="宋体" w:hAnsi="宋体"/>
          <w:bCs/>
          <w:kern w:val="0"/>
          <w:sz w:val="32"/>
          <w:szCs w:val="32"/>
          <w:lang w:val="zh-CN"/>
        </w:rPr>
        <w:t>岳阳县农业机械化服务中心</w:t>
      </w:r>
      <w:r>
        <w:rPr>
          <w:rFonts w:hint="eastAsia" w:ascii="宋体" w:hAnsi="宋体"/>
          <w:bCs/>
          <w:kern w:val="0"/>
          <w:sz w:val="32"/>
          <w:szCs w:val="32"/>
          <w:lang w:val="zh-CN"/>
        </w:rPr>
        <w:t>共有干部职工2</w:t>
      </w:r>
      <w:r>
        <w:rPr>
          <w:rFonts w:ascii="宋体" w:hAnsi="宋体"/>
          <w:bCs/>
          <w:kern w:val="0"/>
          <w:sz w:val="32"/>
          <w:szCs w:val="32"/>
          <w:lang w:val="zh-CN"/>
        </w:rPr>
        <w:t>6</w:t>
      </w:r>
      <w:r>
        <w:rPr>
          <w:rFonts w:hint="eastAsia" w:ascii="宋体" w:hAnsi="宋体"/>
          <w:bCs/>
          <w:kern w:val="0"/>
          <w:sz w:val="32"/>
          <w:szCs w:val="32"/>
          <w:lang w:val="zh-CN"/>
        </w:rPr>
        <w:t>人，其中编制2</w:t>
      </w:r>
      <w:r>
        <w:rPr>
          <w:rFonts w:ascii="宋体" w:hAnsi="宋体"/>
          <w:bCs/>
          <w:kern w:val="0"/>
          <w:sz w:val="32"/>
          <w:szCs w:val="32"/>
          <w:lang w:val="zh-CN"/>
        </w:rPr>
        <w:t>6</w:t>
      </w:r>
      <w:r>
        <w:rPr>
          <w:rFonts w:hint="eastAsia" w:ascii="宋体" w:hAnsi="宋体"/>
          <w:bCs/>
          <w:kern w:val="0"/>
          <w:sz w:val="32"/>
          <w:szCs w:val="32"/>
          <w:lang w:val="zh-CN"/>
        </w:rPr>
        <w:t>人，实际2</w:t>
      </w:r>
      <w:r>
        <w:rPr>
          <w:rFonts w:ascii="宋体" w:hAnsi="宋体"/>
          <w:bCs/>
          <w:kern w:val="0"/>
          <w:sz w:val="32"/>
          <w:szCs w:val="32"/>
          <w:lang w:val="zh-CN"/>
        </w:rPr>
        <w:t>6</w:t>
      </w:r>
      <w:r>
        <w:rPr>
          <w:rFonts w:hint="eastAsia" w:ascii="宋体" w:hAnsi="宋体"/>
          <w:bCs/>
          <w:kern w:val="0"/>
          <w:sz w:val="32"/>
          <w:szCs w:val="32"/>
          <w:lang w:val="zh-CN"/>
        </w:rPr>
        <w:t>人。到202</w:t>
      </w:r>
      <w:r>
        <w:rPr>
          <w:rFonts w:ascii="宋体" w:hAnsi="宋体"/>
          <w:bCs/>
          <w:kern w:val="0"/>
          <w:sz w:val="32"/>
          <w:szCs w:val="32"/>
          <w:lang w:val="zh-CN"/>
        </w:rPr>
        <w:t>3</w:t>
      </w:r>
      <w:r>
        <w:rPr>
          <w:rFonts w:hint="eastAsia" w:ascii="宋体" w:hAnsi="宋体"/>
          <w:bCs/>
          <w:kern w:val="0"/>
          <w:sz w:val="32"/>
          <w:szCs w:val="32"/>
          <w:lang w:val="zh-CN"/>
        </w:rPr>
        <w:t>年12月，有退休人员</w:t>
      </w:r>
      <w:r>
        <w:rPr>
          <w:rFonts w:ascii="宋体" w:hAnsi="宋体"/>
          <w:bCs/>
          <w:kern w:val="0"/>
          <w:sz w:val="32"/>
          <w:szCs w:val="32"/>
          <w:lang w:val="zh-CN"/>
        </w:rPr>
        <w:t>19</w:t>
      </w:r>
      <w:r>
        <w:rPr>
          <w:rFonts w:hint="eastAsia" w:ascii="宋体" w:hAnsi="宋体"/>
          <w:bCs/>
          <w:kern w:val="0"/>
          <w:sz w:val="32"/>
          <w:szCs w:val="32"/>
          <w:lang w:val="zh-CN"/>
        </w:rPr>
        <w:t>人，总共</w:t>
      </w:r>
      <w:r>
        <w:rPr>
          <w:rFonts w:ascii="宋体" w:hAnsi="宋体"/>
          <w:bCs/>
          <w:kern w:val="0"/>
          <w:sz w:val="32"/>
          <w:szCs w:val="32"/>
          <w:lang w:val="zh-CN"/>
        </w:rPr>
        <w:t>45</w:t>
      </w:r>
      <w:r>
        <w:rPr>
          <w:rFonts w:hint="eastAsia" w:ascii="宋体" w:hAnsi="宋体"/>
          <w:bCs/>
          <w:kern w:val="0"/>
          <w:sz w:val="32"/>
          <w:szCs w:val="32"/>
          <w:lang w:val="zh-CN"/>
        </w:rPr>
        <w:t>人(另外农机综合服务公司自收自支4人未包含在内）。本单位内设机构包括：综合股、财务股、培训股、安全监理股、产业发展股、科技推广股与生产服务股等7个股室。</w:t>
      </w:r>
    </w:p>
    <w:p w14:paraId="6A1B3E7A">
      <w:pPr>
        <w:widowControl/>
        <w:spacing w:line="600" w:lineRule="exact"/>
        <w:ind w:firstLine="480" w:firstLineChars="150"/>
        <w:rPr>
          <w:rFonts w:ascii="宋体" w:hAnsi="宋体"/>
          <w:bCs/>
          <w:kern w:val="0"/>
          <w:sz w:val="32"/>
          <w:szCs w:val="32"/>
          <w:lang w:val="zh-CN"/>
        </w:rPr>
      </w:pPr>
      <w:r>
        <w:rPr>
          <w:rFonts w:hint="eastAsia" w:ascii="宋体" w:hAnsi="宋体"/>
          <w:bCs/>
          <w:kern w:val="0"/>
          <w:sz w:val="32"/>
          <w:szCs w:val="32"/>
          <w:lang w:val="zh-CN"/>
        </w:rPr>
        <w:t>（二）决算单位构成。</w:t>
      </w:r>
      <w:r>
        <w:rPr>
          <w:rFonts w:ascii="宋体" w:hAnsi="宋体"/>
          <w:bCs/>
          <w:kern w:val="0"/>
          <w:sz w:val="32"/>
          <w:szCs w:val="32"/>
          <w:lang w:val="zh-CN"/>
        </w:rPr>
        <w:t>岳阳县农业机械化服务中心单位</w:t>
      </w:r>
      <w:r>
        <w:rPr>
          <w:rFonts w:hint="eastAsia" w:ascii="宋体" w:hAnsi="宋体"/>
          <w:bCs/>
          <w:kern w:val="0"/>
          <w:sz w:val="32"/>
          <w:szCs w:val="32"/>
          <w:lang w:val="zh-CN"/>
        </w:rPr>
        <w:t>2023年部门决算汇总公开单位构成包括：</w:t>
      </w:r>
      <w:r>
        <w:rPr>
          <w:rFonts w:ascii="宋体" w:hAnsi="宋体"/>
          <w:bCs/>
          <w:kern w:val="0"/>
          <w:sz w:val="32"/>
          <w:szCs w:val="32"/>
          <w:lang w:val="zh-CN"/>
        </w:rPr>
        <w:t>岳阳县农业机械化服务中心单位本级</w:t>
      </w:r>
      <w:r>
        <w:rPr>
          <w:rFonts w:hint="eastAsia" w:ascii="宋体" w:hAnsi="宋体"/>
          <w:bCs/>
          <w:kern w:val="0"/>
          <w:sz w:val="32"/>
          <w:szCs w:val="32"/>
          <w:lang w:val="zh-CN"/>
        </w:rPr>
        <w:t>，无</w:t>
      </w:r>
      <w:r>
        <w:rPr>
          <w:rFonts w:ascii="宋体" w:hAnsi="宋体"/>
          <w:bCs/>
          <w:kern w:val="0"/>
          <w:sz w:val="32"/>
          <w:szCs w:val="32"/>
          <w:lang w:val="zh-CN"/>
        </w:rPr>
        <w:t>下属单位或机构。</w:t>
      </w:r>
    </w:p>
    <w:p w14:paraId="4B8D14F0">
      <w:pPr>
        <w:widowControl/>
        <w:spacing w:line="600" w:lineRule="exact"/>
        <w:ind w:firstLine="480" w:firstLineChars="150"/>
        <w:rPr>
          <w:rFonts w:ascii="宋体" w:hAnsi="宋体"/>
          <w:bCs/>
          <w:kern w:val="0"/>
          <w:sz w:val="32"/>
          <w:szCs w:val="32"/>
          <w:lang w:val="zh-CN"/>
        </w:rPr>
      </w:pPr>
    </w:p>
    <w:p w14:paraId="2E19E22E">
      <w:pPr>
        <w:widowControl/>
        <w:spacing w:line="600" w:lineRule="exact"/>
        <w:rPr>
          <w:rFonts w:ascii="宋体" w:hAnsi="宋体"/>
          <w:bCs/>
          <w:kern w:val="0"/>
          <w:sz w:val="32"/>
          <w:szCs w:val="32"/>
          <w:lang w:val="zh-CN"/>
        </w:rPr>
      </w:pPr>
    </w:p>
    <w:p w14:paraId="474C7CEE">
      <w:pPr>
        <w:widowControl/>
        <w:spacing w:line="360" w:lineRule="auto"/>
        <w:ind w:firstLine="640" w:firstLineChars="200"/>
        <w:rPr>
          <w:rFonts w:ascii="微软雅黑" w:hAnsi="微软雅黑" w:eastAsia="微软雅黑" w:cs="微软雅黑"/>
          <w:i/>
          <w:iCs/>
          <w:color w:val="FF0000"/>
          <w:sz w:val="32"/>
          <w:szCs w:val="24"/>
          <w:highlight w:val="white"/>
        </w:rPr>
        <w:sectPr>
          <w:pgSz w:w="11906" w:h="16838"/>
          <w:pgMar w:top="720" w:right="720" w:bottom="720" w:left="720" w:header="851" w:footer="992" w:gutter="0"/>
          <w:cols w:space="720" w:num="1"/>
          <w:docGrid w:type="linesAndChars" w:linePitch="312" w:charSpace="0"/>
        </w:sectPr>
      </w:pPr>
    </w:p>
    <w:p w14:paraId="48C13044">
      <w:pPr>
        <w:jc w:val="center"/>
        <w:rPr>
          <w:rFonts w:ascii="微软雅黑" w:hAnsi="微软雅黑" w:eastAsia="微软雅黑" w:cs="微软雅黑"/>
          <w:sz w:val="72"/>
          <w:szCs w:val="72"/>
        </w:rPr>
      </w:pPr>
    </w:p>
    <w:p w14:paraId="08DBD5F2">
      <w:pPr>
        <w:jc w:val="center"/>
        <w:rPr>
          <w:rFonts w:ascii="微软雅黑" w:hAnsi="微软雅黑" w:eastAsia="微软雅黑" w:cs="微软雅黑"/>
          <w:sz w:val="72"/>
          <w:szCs w:val="72"/>
        </w:rPr>
      </w:pPr>
    </w:p>
    <w:p w14:paraId="7467CDCD">
      <w:pPr>
        <w:jc w:val="center"/>
        <w:rPr>
          <w:rFonts w:ascii="微软雅黑" w:hAnsi="微软雅黑" w:eastAsia="微软雅黑" w:cs="微软雅黑"/>
          <w:sz w:val="72"/>
          <w:szCs w:val="72"/>
        </w:rPr>
      </w:pPr>
    </w:p>
    <w:p w14:paraId="6F323D63">
      <w:pPr>
        <w:pStyle w:val="14"/>
        <w:jc w:val="center"/>
        <w:rPr>
          <w:rFonts w:ascii="微软雅黑" w:hAnsi="微软雅黑" w:eastAsia="微软雅黑" w:cs="微软雅黑"/>
          <w:sz w:val="84"/>
          <w:szCs w:val="84"/>
        </w:rPr>
      </w:pPr>
    </w:p>
    <w:p w14:paraId="07E45353">
      <w:pPr>
        <w:pStyle w:val="14"/>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54A77619">
      <w:pPr>
        <w:pStyle w:val="14"/>
        <w:jc w:val="center"/>
        <w:rPr>
          <w:rFonts w:ascii="方正小标宋_GBK" w:hAnsi="方正小标宋_GBK" w:eastAsia="方正小标宋_GBK" w:cs="方正小标宋_GBK"/>
          <w:sz w:val="84"/>
          <w:szCs w:val="84"/>
        </w:rPr>
      </w:pPr>
    </w:p>
    <w:p w14:paraId="0B477216">
      <w:pPr>
        <w:pStyle w:val="14"/>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2A0AF756">
      <w:pPr>
        <w:pStyle w:val="14"/>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（见附件）</w:t>
      </w:r>
    </w:p>
    <w:p w14:paraId="74CB46A7">
      <w:pPr>
        <w:pStyle w:val="14"/>
        <w:jc w:val="center"/>
        <w:rPr>
          <w:rFonts w:ascii="方正小标宋_GBK" w:hAnsi="方正小标宋_GBK" w:eastAsia="方正小标宋_GBK" w:cs="方正小标宋_GBK"/>
          <w:sz w:val="84"/>
          <w:szCs w:val="84"/>
        </w:rPr>
      </w:pPr>
    </w:p>
    <w:p w14:paraId="0D80527E">
      <w:pPr>
        <w:pStyle w:val="14"/>
        <w:jc w:val="center"/>
        <w:rPr>
          <w:rFonts w:ascii="微软雅黑" w:hAnsi="微软雅黑" w:eastAsia="微软雅黑" w:cs="微软雅黑"/>
          <w:b/>
          <w:bCs/>
          <w:sz w:val="72"/>
          <w:szCs w:val="72"/>
        </w:rPr>
        <w:sectPr>
          <w:pgSz w:w="11906" w:h="16838"/>
          <w:pgMar w:top="720" w:right="720" w:bottom="720" w:left="720" w:header="851" w:footer="992" w:gutter="0"/>
          <w:cols w:space="720" w:num="1"/>
          <w:docGrid w:type="linesAndChars" w:linePitch="312" w:charSpace="0"/>
        </w:sectPr>
      </w:pPr>
    </w:p>
    <w:p w14:paraId="55F11011">
      <w:pPr>
        <w:pStyle w:val="14"/>
        <w:jc w:val="center"/>
        <w:rPr>
          <w:rFonts w:ascii="微软雅黑" w:hAnsi="微软雅黑" w:eastAsia="微软雅黑" w:cs="微软雅黑"/>
          <w:sz w:val="72"/>
          <w:szCs w:val="72"/>
        </w:rPr>
      </w:pPr>
    </w:p>
    <w:p w14:paraId="1A9B2944">
      <w:pPr>
        <w:pStyle w:val="14"/>
        <w:jc w:val="center"/>
        <w:rPr>
          <w:rFonts w:ascii="微软雅黑" w:hAnsi="微软雅黑" w:eastAsia="微软雅黑" w:cs="微软雅黑"/>
          <w:sz w:val="72"/>
          <w:szCs w:val="72"/>
        </w:rPr>
      </w:pPr>
    </w:p>
    <w:p w14:paraId="6F4A0E83">
      <w:pPr>
        <w:pStyle w:val="14"/>
        <w:jc w:val="center"/>
        <w:rPr>
          <w:rFonts w:ascii="微软雅黑" w:hAnsi="微软雅黑" w:eastAsia="微软雅黑" w:cs="微软雅黑"/>
          <w:sz w:val="72"/>
          <w:szCs w:val="72"/>
        </w:rPr>
      </w:pPr>
    </w:p>
    <w:p w14:paraId="47A527CB">
      <w:pPr>
        <w:pStyle w:val="14"/>
        <w:jc w:val="center"/>
        <w:rPr>
          <w:rFonts w:ascii="微软雅黑" w:hAnsi="微软雅黑" w:eastAsia="微软雅黑" w:cs="微软雅黑"/>
          <w:sz w:val="72"/>
          <w:szCs w:val="72"/>
        </w:rPr>
      </w:pPr>
    </w:p>
    <w:p w14:paraId="7E5774E6">
      <w:pPr>
        <w:pStyle w:val="14"/>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第三部分</w:t>
      </w:r>
    </w:p>
    <w:p w14:paraId="606F695C">
      <w:pPr>
        <w:pStyle w:val="14"/>
        <w:jc w:val="center"/>
        <w:rPr>
          <w:rFonts w:ascii="方正小标宋_GBK" w:hAnsi="方正小标宋_GBK" w:eastAsia="方正小标宋_GBK" w:cs="方正小标宋_GBK"/>
          <w:sz w:val="84"/>
          <w:szCs w:val="84"/>
        </w:rPr>
      </w:pPr>
    </w:p>
    <w:p w14:paraId="2EAE822F">
      <w:pPr>
        <w:pStyle w:val="14"/>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2023年度部门决算情况说明</w:t>
      </w:r>
    </w:p>
    <w:p w14:paraId="75094F5F">
      <w:pPr>
        <w:pStyle w:val="14"/>
        <w:jc w:val="center"/>
        <w:rPr>
          <w:rFonts w:ascii="微软雅黑" w:hAnsi="微软雅黑" w:eastAsia="微软雅黑" w:cs="微软雅黑"/>
          <w:sz w:val="70"/>
          <w:szCs w:val="70"/>
        </w:rPr>
      </w:pPr>
    </w:p>
    <w:p w14:paraId="5A911C58">
      <w:pPr>
        <w:pStyle w:val="14"/>
        <w:jc w:val="center"/>
        <w:rPr>
          <w:rFonts w:ascii="微软雅黑" w:hAnsi="微软雅黑" w:eastAsia="微软雅黑" w:cs="微软雅黑"/>
          <w:sz w:val="70"/>
          <w:szCs w:val="70"/>
        </w:rPr>
      </w:pPr>
    </w:p>
    <w:p w14:paraId="29A751ED">
      <w:pPr>
        <w:pStyle w:val="14"/>
        <w:jc w:val="center"/>
        <w:rPr>
          <w:rFonts w:ascii="微软雅黑" w:hAnsi="微软雅黑" w:eastAsia="微软雅黑" w:cs="微软雅黑"/>
          <w:sz w:val="70"/>
          <w:szCs w:val="70"/>
        </w:rPr>
      </w:pPr>
    </w:p>
    <w:p w14:paraId="76FDD84A">
      <w:pPr>
        <w:pStyle w:val="14"/>
        <w:jc w:val="center"/>
        <w:rPr>
          <w:rFonts w:ascii="微软雅黑" w:hAnsi="微软雅黑" w:eastAsia="微软雅黑" w:cs="微软雅黑"/>
          <w:sz w:val="70"/>
          <w:szCs w:val="70"/>
        </w:rPr>
      </w:pPr>
    </w:p>
    <w:p w14:paraId="0DA0BB11">
      <w:pPr>
        <w:pStyle w:val="14"/>
        <w:rPr>
          <w:rFonts w:ascii="微软雅黑" w:hAnsi="微软雅黑" w:eastAsia="微软雅黑" w:cs="微软雅黑"/>
          <w:sz w:val="70"/>
          <w:szCs w:val="70"/>
        </w:rPr>
      </w:pPr>
    </w:p>
    <w:p w14:paraId="57EE82D4">
      <w:pPr>
        <w:pStyle w:val="15"/>
        <w:ind w:firstLine="0" w:firstLineChars="0"/>
        <w:jc w:val="left"/>
        <w:rPr>
          <w:rFonts w:ascii="黑体" w:hAnsi="黑体" w:eastAsia="黑体" w:cs="黑体"/>
          <w:sz w:val="32"/>
          <w:szCs w:val="32"/>
        </w:rPr>
      </w:pPr>
    </w:p>
    <w:p w14:paraId="2B4C18CA">
      <w:pPr>
        <w:pStyle w:val="15"/>
        <w:ind w:firstLine="640"/>
        <w:jc w:val="left"/>
        <w:rPr>
          <w:rFonts w:ascii="黑体" w:hAnsi="黑体" w:eastAsia="黑体" w:cs="黑体"/>
          <w:sz w:val="32"/>
          <w:szCs w:val="32"/>
        </w:rPr>
      </w:pPr>
      <w:r>
        <w:rPr>
          <w:rFonts w:hint="eastAsia" w:ascii="黑体" w:hAnsi="黑体" w:eastAsia="黑体" w:cs="黑体"/>
          <w:sz w:val="32"/>
          <w:szCs w:val="32"/>
        </w:rPr>
        <w:t>一、收入支出决算总体情况说明</w:t>
      </w:r>
    </w:p>
    <w:p w14:paraId="38801CB5">
      <w:pPr>
        <w:widowControl/>
        <w:spacing w:line="600" w:lineRule="exact"/>
        <w:ind w:firstLine="640" w:firstLineChars="200"/>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2023年度收、支总计</w:t>
      </w:r>
      <w:r>
        <w:rPr>
          <w:rFonts w:ascii="Times New Roman" w:hAnsi="Times New Roman" w:eastAsia="仿宋_GB2312" w:cs="黑体"/>
          <w:color w:val="000000"/>
          <w:kern w:val="0"/>
          <w:sz w:val="32"/>
          <w:szCs w:val="32"/>
        </w:rPr>
        <w:t>2744.12万元。与上年</w:t>
      </w:r>
      <w:r>
        <w:rPr>
          <w:rFonts w:hint="eastAsia" w:ascii="Times New Roman" w:hAnsi="Times New Roman" w:eastAsia="仿宋_GB2312" w:cs="黑体"/>
          <w:color w:val="000000"/>
          <w:kern w:val="0"/>
          <w:sz w:val="32"/>
          <w:szCs w:val="32"/>
        </w:rPr>
        <w:t>相比，增长255.12</w:t>
      </w:r>
      <w:r>
        <w:rPr>
          <w:rFonts w:ascii="Times New Roman" w:hAnsi="Times New Roman" w:eastAsia="仿宋_GB2312" w:cs="黑体"/>
          <w:color w:val="000000"/>
          <w:kern w:val="0"/>
          <w:sz w:val="32"/>
          <w:szCs w:val="32"/>
        </w:rPr>
        <w:t>万元，增长10.25%，主要是因为</w:t>
      </w:r>
      <w:r>
        <w:rPr>
          <w:rFonts w:hint="eastAsia" w:ascii="Times New Roman" w:hAnsi="Times New Roman" w:eastAsia="仿宋_GB2312" w:cs="黑体"/>
          <w:color w:val="000000"/>
          <w:kern w:val="0"/>
          <w:sz w:val="32"/>
          <w:szCs w:val="32"/>
        </w:rPr>
        <w:t>政策性调资和对企业和个人政策性补贴增加。</w:t>
      </w:r>
    </w:p>
    <w:p w14:paraId="2FCB524F">
      <w:pPr>
        <w:pStyle w:val="15"/>
        <w:ind w:firstLine="640"/>
        <w:jc w:val="left"/>
        <w:rPr>
          <w:rFonts w:ascii="黑体" w:hAnsi="黑体" w:eastAsia="黑体" w:cs="黑体"/>
          <w:sz w:val="32"/>
          <w:szCs w:val="32"/>
        </w:rPr>
      </w:pPr>
      <w:r>
        <w:rPr>
          <w:rFonts w:hint="eastAsia" w:ascii="黑体" w:hAnsi="黑体" w:eastAsia="黑体" w:cs="黑体"/>
          <w:sz w:val="32"/>
          <w:szCs w:val="32"/>
        </w:rPr>
        <w:t>二、收入决算情况说明</w:t>
      </w:r>
    </w:p>
    <w:p w14:paraId="7E2D4B3A">
      <w:pPr>
        <w:pStyle w:val="14"/>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2023</w:t>
      </w:r>
      <w:r>
        <w:rPr>
          <w:rFonts w:ascii="Times New Roman" w:hAnsi="Times New Roman" w:eastAsia="仿宋_GB2312"/>
          <w:sz w:val="32"/>
          <w:szCs w:val="32"/>
        </w:rPr>
        <w:t>年度收入合计</w:t>
      </w:r>
      <w:r>
        <w:rPr>
          <w:rFonts w:hint="eastAsia" w:ascii="Times New Roman" w:hAnsi="Times New Roman" w:eastAsia="仿宋_GB2312"/>
          <w:sz w:val="32"/>
          <w:szCs w:val="32"/>
        </w:rPr>
        <w:t>2744.12万元，其中：财政拨款收入</w:t>
      </w:r>
      <w:r>
        <w:rPr>
          <w:rFonts w:ascii="Times New Roman" w:hAnsi="Times New Roman" w:eastAsia="仿宋_GB2312"/>
          <w:sz w:val="32"/>
          <w:szCs w:val="32"/>
        </w:rPr>
        <w:t>2744.12万元，占100</w:t>
      </w:r>
      <w:r>
        <w:rPr>
          <w:rFonts w:hint="eastAsia" w:ascii="Times New Roman" w:hAnsi="Times New Roman" w:eastAsia="仿宋_GB2312"/>
          <w:sz w:val="32"/>
          <w:szCs w:val="32"/>
        </w:rPr>
        <w:t>%；上级补助收入</w:t>
      </w:r>
      <w:r>
        <w:rPr>
          <w:rFonts w:ascii="Times New Roman" w:hAnsi="Times New Roman" w:eastAsia="仿宋_GB2312"/>
          <w:sz w:val="32"/>
          <w:szCs w:val="32"/>
        </w:rPr>
        <w:t>0万元，占0</w:t>
      </w:r>
      <w:r>
        <w:rPr>
          <w:rFonts w:hint="eastAsia" w:ascii="Times New Roman" w:hAnsi="Times New Roman" w:eastAsia="仿宋_GB2312"/>
          <w:sz w:val="32"/>
          <w:szCs w:val="32"/>
        </w:rPr>
        <w:t>%；事业收入</w:t>
      </w:r>
      <w:r>
        <w:rPr>
          <w:rFonts w:ascii="Times New Roman" w:hAnsi="Times New Roman" w:eastAsia="仿宋_GB2312"/>
          <w:sz w:val="32"/>
          <w:szCs w:val="32"/>
        </w:rPr>
        <w:t>0万元，占0</w:t>
      </w:r>
      <w:r>
        <w:rPr>
          <w:rFonts w:hint="eastAsia" w:ascii="Times New Roman" w:hAnsi="Times New Roman" w:eastAsia="仿宋_GB2312"/>
          <w:sz w:val="32"/>
          <w:szCs w:val="32"/>
        </w:rPr>
        <w:t>%；经营收入</w:t>
      </w:r>
      <w:r>
        <w:rPr>
          <w:rFonts w:ascii="Times New Roman" w:hAnsi="Times New Roman" w:eastAsia="仿宋_GB2312"/>
          <w:sz w:val="32"/>
          <w:szCs w:val="32"/>
        </w:rPr>
        <w:t>0万元，占0</w:t>
      </w:r>
      <w:r>
        <w:rPr>
          <w:rFonts w:hint="eastAsia" w:ascii="Times New Roman" w:hAnsi="Times New Roman" w:eastAsia="仿宋_GB2312"/>
          <w:sz w:val="32"/>
          <w:szCs w:val="32"/>
        </w:rPr>
        <w:t>%；附属单位上缴收入</w:t>
      </w:r>
      <w:r>
        <w:rPr>
          <w:rFonts w:ascii="Times New Roman" w:hAnsi="Times New Roman" w:eastAsia="仿宋_GB2312"/>
          <w:sz w:val="32"/>
          <w:szCs w:val="32"/>
        </w:rPr>
        <w:t>0万元，占0</w:t>
      </w:r>
      <w:r>
        <w:rPr>
          <w:rFonts w:hint="eastAsia" w:ascii="Times New Roman" w:hAnsi="Times New Roman" w:eastAsia="仿宋_GB2312"/>
          <w:sz w:val="32"/>
          <w:szCs w:val="32"/>
        </w:rPr>
        <w:t>%；其他收入</w:t>
      </w:r>
      <w:r>
        <w:rPr>
          <w:rFonts w:ascii="Times New Roman" w:hAnsi="Times New Roman" w:eastAsia="仿宋_GB2312"/>
          <w:sz w:val="32"/>
          <w:szCs w:val="32"/>
        </w:rPr>
        <w:t>0万元，占</w:t>
      </w:r>
      <w:r>
        <w:rPr>
          <w:rFonts w:hint="eastAsia" w:ascii="Times New Roman" w:hAnsi="Times New Roman" w:eastAsia="仿宋_GB2312"/>
          <w:sz w:val="32"/>
          <w:szCs w:val="32"/>
        </w:rPr>
        <w:t>0%。</w:t>
      </w:r>
    </w:p>
    <w:p w14:paraId="7AA19E62">
      <w:pPr>
        <w:pStyle w:val="15"/>
        <w:ind w:firstLine="640"/>
        <w:jc w:val="left"/>
        <w:rPr>
          <w:rFonts w:ascii="黑体" w:hAnsi="黑体" w:eastAsia="黑体" w:cs="黑体"/>
          <w:sz w:val="32"/>
          <w:szCs w:val="32"/>
        </w:rPr>
      </w:pPr>
      <w:r>
        <w:rPr>
          <w:rFonts w:hint="eastAsia" w:ascii="黑体" w:hAnsi="黑体" w:eastAsia="黑体" w:cs="黑体"/>
          <w:sz w:val="32"/>
          <w:szCs w:val="32"/>
        </w:rPr>
        <w:t>三、支出决算情况说明</w:t>
      </w:r>
    </w:p>
    <w:p w14:paraId="35C4F3E2">
      <w:pPr>
        <w:pStyle w:val="14"/>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2023</w:t>
      </w:r>
      <w:r>
        <w:rPr>
          <w:rFonts w:ascii="Times New Roman" w:hAnsi="Times New Roman" w:eastAsia="仿宋_GB2312"/>
          <w:sz w:val="32"/>
          <w:szCs w:val="32"/>
        </w:rPr>
        <w:t>年度支出合计2744.12万元，其中：基本支出482.28万元，占17.58%；项目支出2261.84万元，占82.42%；上缴上级支出0万元，占0%；经营支出0万元，占0%；对附属单位补助支出0万元，占0%。</w:t>
      </w:r>
    </w:p>
    <w:p w14:paraId="06C7FCAD">
      <w:pPr>
        <w:pStyle w:val="15"/>
        <w:ind w:firstLine="640"/>
        <w:jc w:val="left"/>
        <w:rPr>
          <w:rFonts w:ascii="黑体" w:hAnsi="黑体" w:eastAsia="黑体" w:cs="黑体"/>
          <w:sz w:val="32"/>
          <w:szCs w:val="32"/>
        </w:rPr>
      </w:pPr>
      <w:r>
        <w:rPr>
          <w:rFonts w:hint="eastAsia" w:ascii="黑体" w:hAnsi="黑体" w:eastAsia="黑体" w:cs="黑体"/>
          <w:sz w:val="32"/>
          <w:szCs w:val="32"/>
        </w:rPr>
        <w:t>四、财政拨款收入支出决算总体情况说明</w:t>
      </w:r>
    </w:p>
    <w:p w14:paraId="001A4532">
      <w:pPr>
        <w:pStyle w:val="14"/>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2023</w:t>
      </w:r>
      <w:r>
        <w:rPr>
          <w:rFonts w:ascii="Times New Roman" w:hAnsi="Times New Roman" w:eastAsia="仿宋_GB2312"/>
          <w:sz w:val="32"/>
          <w:szCs w:val="32"/>
        </w:rPr>
        <w:t>年度财政拨款收、支总计2744.12万元，与上年相比，增长255.12万元,增长10.25%，主要是因为</w:t>
      </w:r>
      <w:r>
        <w:rPr>
          <w:rFonts w:hint="eastAsia" w:ascii="Times New Roman" w:hAnsi="Times New Roman" w:eastAsia="仿宋_GB2312"/>
          <w:sz w:val="32"/>
          <w:szCs w:val="32"/>
        </w:rPr>
        <w:t>政策性调资和对企业和个人政策性补贴增加。</w:t>
      </w:r>
    </w:p>
    <w:p w14:paraId="5184046B">
      <w:pPr>
        <w:pStyle w:val="15"/>
        <w:ind w:firstLine="640"/>
        <w:jc w:val="left"/>
        <w:rPr>
          <w:rFonts w:ascii="黑体" w:hAnsi="黑体" w:eastAsia="黑体" w:cs="黑体"/>
          <w:sz w:val="32"/>
          <w:szCs w:val="32"/>
        </w:rPr>
      </w:pPr>
      <w:r>
        <w:rPr>
          <w:rFonts w:hint="eastAsia" w:ascii="黑体" w:hAnsi="黑体" w:eastAsia="黑体" w:cs="黑体"/>
          <w:sz w:val="32"/>
          <w:szCs w:val="32"/>
        </w:rPr>
        <w:t>五、一般公共预算财政拨款支出决算情况说明</w:t>
      </w:r>
    </w:p>
    <w:p w14:paraId="33CE4CF0">
      <w:pPr>
        <w:pStyle w:val="14"/>
        <w:spacing w:line="360" w:lineRule="auto"/>
        <w:ind w:firstLine="640" w:firstLineChars="200"/>
        <w:rPr>
          <w:rFonts w:ascii="楷体" w:hAnsi="楷体" w:eastAsia="楷体" w:cs="楷体"/>
          <w:bCs/>
          <w:sz w:val="32"/>
          <w:szCs w:val="32"/>
        </w:rPr>
      </w:pPr>
      <w:r>
        <w:rPr>
          <w:rFonts w:hint="eastAsia" w:ascii="楷体" w:hAnsi="楷体" w:eastAsia="楷体" w:cs="楷体"/>
          <w:bCs/>
          <w:sz w:val="32"/>
          <w:szCs w:val="32"/>
        </w:rPr>
        <w:t>（一）财政拨款支出决算总体情况</w:t>
      </w:r>
    </w:p>
    <w:p w14:paraId="05ACBB56">
      <w:pPr>
        <w:pStyle w:val="14"/>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2023</w:t>
      </w:r>
      <w:r>
        <w:rPr>
          <w:rFonts w:ascii="Times New Roman" w:hAnsi="Times New Roman" w:eastAsia="仿宋_GB2312"/>
          <w:sz w:val="32"/>
          <w:szCs w:val="32"/>
        </w:rPr>
        <w:t>年度财政拨款支出2744.12万元，占本年支出合计的100</w:t>
      </w:r>
      <w:r>
        <w:rPr>
          <w:rFonts w:hint="eastAsia" w:ascii="Times New Roman" w:hAnsi="Times New Roman" w:eastAsia="仿宋_GB2312"/>
          <w:sz w:val="32"/>
          <w:szCs w:val="32"/>
        </w:rPr>
        <w:t>%，与上年相比，财政拨款支出</w:t>
      </w:r>
      <w:r>
        <w:rPr>
          <w:rFonts w:ascii="Times New Roman" w:hAnsi="Times New Roman" w:eastAsia="仿宋_GB2312"/>
          <w:sz w:val="32"/>
          <w:szCs w:val="32"/>
        </w:rPr>
        <w:t>增长255.12万元，增长10.25%，主要是因为</w:t>
      </w:r>
      <w:r>
        <w:rPr>
          <w:rFonts w:hint="eastAsia" w:ascii="Times New Roman" w:hAnsi="Times New Roman" w:eastAsia="仿宋_GB2312"/>
          <w:sz w:val="32"/>
          <w:szCs w:val="32"/>
        </w:rPr>
        <w:t>政策性调资和对企业和个人政策性补贴增加。</w:t>
      </w:r>
    </w:p>
    <w:p w14:paraId="1F61270F">
      <w:pPr>
        <w:pStyle w:val="14"/>
        <w:spacing w:line="360" w:lineRule="auto"/>
        <w:ind w:firstLine="640" w:firstLineChars="200"/>
        <w:rPr>
          <w:rFonts w:ascii="楷体" w:hAnsi="楷体" w:eastAsia="楷体" w:cs="楷体"/>
          <w:bCs/>
          <w:sz w:val="32"/>
          <w:szCs w:val="32"/>
        </w:rPr>
      </w:pPr>
      <w:r>
        <w:rPr>
          <w:rFonts w:hint="eastAsia" w:ascii="楷体" w:hAnsi="楷体" w:eastAsia="楷体" w:cs="楷体"/>
          <w:bCs/>
          <w:sz w:val="32"/>
          <w:szCs w:val="32"/>
        </w:rPr>
        <w:t>（二）财政拨款支出决算结构情况</w:t>
      </w:r>
    </w:p>
    <w:p w14:paraId="7D604F8E">
      <w:pPr>
        <w:pStyle w:val="14"/>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2023</w:t>
      </w:r>
      <w:r>
        <w:rPr>
          <w:rFonts w:ascii="Times New Roman" w:hAnsi="Times New Roman" w:eastAsia="仿宋_GB2312"/>
          <w:sz w:val="32"/>
          <w:szCs w:val="32"/>
        </w:rPr>
        <w:t>年度财政拨款支出2744.12万元，主要用于以下方面：</w:t>
      </w:r>
      <w:r>
        <w:rPr>
          <w:rFonts w:hint="eastAsia" w:ascii="Times New Roman" w:hAnsi="Times New Roman" w:eastAsia="仿宋_GB2312"/>
          <w:sz w:val="32"/>
          <w:szCs w:val="32"/>
        </w:rPr>
        <w:t>教育（类）支出</w:t>
      </w:r>
      <w:r>
        <w:rPr>
          <w:rFonts w:ascii="Times New Roman" w:hAnsi="Times New Roman" w:eastAsia="仿宋_GB2312"/>
          <w:sz w:val="32"/>
          <w:szCs w:val="32"/>
        </w:rPr>
        <w:t>14.60</w:t>
      </w:r>
      <w:r>
        <w:rPr>
          <w:rFonts w:hint="eastAsia" w:ascii="Times New Roman" w:hAnsi="Times New Roman" w:eastAsia="仿宋_GB2312"/>
          <w:sz w:val="32"/>
          <w:szCs w:val="32"/>
        </w:rPr>
        <w:t>万元，占</w:t>
      </w:r>
      <w:r>
        <w:rPr>
          <w:rFonts w:ascii="Times New Roman" w:hAnsi="Times New Roman" w:eastAsia="仿宋_GB2312"/>
          <w:sz w:val="32"/>
          <w:szCs w:val="32"/>
        </w:rPr>
        <w:t>0.53</w:t>
      </w:r>
      <w:r>
        <w:rPr>
          <w:rFonts w:hint="eastAsia" w:ascii="Times New Roman" w:hAnsi="Times New Roman" w:eastAsia="仿宋_GB2312"/>
          <w:sz w:val="32"/>
          <w:szCs w:val="32"/>
        </w:rPr>
        <w:t>%；社会保障和就业（类）支出</w:t>
      </w:r>
      <w:r>
        <w:rPr>
          <w:rFonts w:ascii="Times New Roman" w:hAnsi="Times New Roman" w:eastAsia="仿宋_GB2312"/>
          <w:sz w:val="32"/>
          <w:szCs w:val="32"/>
        </w:rPr>
        <w:t>46.64</w:t>
      </w:r>
      <w:r>
        <w:rPr>
          <w:rFonts w:hint="eastAsia" w:ascii="Times New Roman" w:hAnsi="Times New Roman" w:eastAsia="仿宋_GB2312"/>
          <w:sz w:val="32"/>
          <w:szCs w:val="32"/>
        </w:rPr>
        <w:t>万元，占</w:t>
      </w:r>
      <w:r>
        <w:rPr>
          <w:rFonts w:ascii="Times New Roman" w:hAnsi="Times New Roman" w:eastAsia="仿宋_GB2312"/>
          <w:sz w:val="32"/>
          <w:szCs w:val="32"/>
        </w:rPr>
        <w:t>1.7</w:t>
      </w:r>
      <w:r>
        <w:rPr>
          <w:rFonts w:hint="eastAsia" w:ascii="Times New Roman" w:hAnsi="Times New Roman" w:eastAsia="仿宋_GB2312"/>
          <w:sz w:val="32"/>
          <w:szCs w:val="32"/>
        </w:rPr>
        <w:t>%；卫生健康（类）支出</w:t>
      </w:r>
      <w:r>
        <w:rPr>
          <w:rFonts w:ascii="Times New Roman" w:hAnsi="Times New Roman" w:eastAsia="仿宋_GB2312"/>
          <w:sz w:val="32"/>
          <w:szCs w:val="32"/>
        </w:rPr>
        <w:t>18.78</w:t>
      </w:r>
      <w:r>
        <w:rPr>
          <w:rFonts w:hint="eastAsia" w:ascii="Times New Roman" w:hAnsi="Times New Roman" w:eastAsia="仿宋_GB2312"/>
          <w:sz w:val="32"/>
          <w:szCs w:val="32"/>
        </w:rPr>
        <w:t>万元，占</w:t>
      </w:r>
      <w:r>
        <w:rPr>
          <w:rFonts w:ascii="Times New Roman" w:hAnsi="Times New Roman" w:eastAsia="仿宋_GB2312"/>
          <w:sz w:val="32"/>
          <w:szCs w:val="32"/>
        </w:rPr>
        <w:t>0.69</w:t>
      </w:r>
      <w:r>
        <w:rPr>
          <w:rFonts w:hint="eastAsia" w:ascii="Times New Roman" w:hAnsi="Times New Roman" w:eastAsia="仿宋_GB2312"/>
          <w:sz w:val="32"/>
          <w:szCs w:val="32"/>
        </w:rPr>
        <w:t>%；农林水（类）支出</w:t>
      </w:r>
      <w:r>
        <w:rPr>
          <w:rFonts w:ascii="Times New Roman" w:hAnsi="Times New Roman" w:eastAsia="仿宋_GB2312"/>
          <w:sz w:val="32"/>
          <w:szCs w:val="32"/>
        </w:rPr>
        <w:t>2365.56</w:t>
      </w:r>
      <w:r>
        <w:rPr>
          <w:rFonts w:hint="eastAsia" w:ascii="Times New Roman" w:hAnsi="Times New Roman" w:eastAsia="仿宋_GB2312"/>
          <w:sz w:val="32"/>
          <w:szCs w:val="32"/>
        </w:rPr>
        <w:t>万元，占</w:t>
      </w:r>
      <w:r>
        <w:rPr>
          <w:rFonts w:ascii="Times New Roman" w:hAnsi="Times New Roman" w:eastAsia="仿宋_GB2312"/>
          <w:sz w:val="32"/>
          <w:szCs w:val="32"/>
        </w:rPr>
        <w:t>86.2</w:t>
      </w:r>
      <w:r>
        <w:rPr>
          <w:rFonts w:hint="eastAsia" w:ascii="Times New Roman" w:hAnsi="Times New Roman" w:eastAsia="仿宋_GB2312"/>
          <w:sz w:val="32"/>
          <w:szCs w:val="32"/>
        </w:rPr>
        <w:t>%；住房保障（类）支出</w:t>
      </w:r>
      <w:r>
        <w:rPr>
          <w:rFonts w:ascii="Times New Roman" w:hAnsi="Times New Roman" w:eastAsia="仿宋_GB2312"/>
          <w:sz w:val="32"/>
          <w:szCs w:val="32"/>
        </w:rPr>
        <w:t>11.56</w:t>
      </w:r>
      <w:r>
        <w:rPr>
          <w:rFonts w:hint="eastAsia" w:ascii="Times New Roman" w:hAnsi="Times New Roman" w:eastAsia="仿宋_GB2312"/>
          <w:sz w:val="32"/>
          <w:szCs w:val="32"/>
        </w:rPr>
        <w:t>万元，占</w:t>
      </w:r>
      <w:r>
        <w:rPr>
          <w:rFonts w:ascii="Times New Roman" w:hAnsi="Times New Roman" w:eastAsia="仿宋_GB2312"/>
          <w:sz w:val="32"/>
          <w:szCs w:val="32"/>
        </w:rPr>
        <w:t>0.42</w:t>
      </w:r>
      <w:r>
        <w:rPr>
          <w:rFonts w:hint="eastAsia" w:ascii="Times New Roman" w:hAnsi="Times New Roman" w:eastAsia="仿宋_GB2312"/>
          <w:sz w:val="32"/>
          <w:szCs w:val="32"/>
        </w:rPr>
        <w:t>%；其他（类）支出</w:t>
      </w:r>
      <w:r>
        <w:rPr>
          <w:rFonts w:ascii="Times New Roman" w:hAnsi="Times New Roman" w:eastAsia="仿宋_GB2312"/>
          <w:sz w:val="32"/>
          <w:szCs w:val="32"/>
        </w:rPr>
        <w:t>286.98</w:t>
      </w:r>
      <w:r>
        <w:rPr>
          <w:rFonts w:hint="eastAsia" w:ascii="Times New Roman" w:hAnsi="Times New Roman" w:eastAsia="仿宋_GB2312"/>
          <w:sz w:val="32"/>
          <w:szCs w:val="32"/>
        </w:rPr>
        <w:t>万元，占</w:t>
      </w:r>
      <w:r>
        <w:rPr>
          <w:rFonts w:ascii="Times New Roman" w:hAnsi="Times New Roman" w:eastAsia="仿宋_GB2312"/>
          <w:sz w:val="32"/>
          <w:szCs w:val="32"/>
        </w:rPr>
        <w:t>10.46</w:t>
      </w:r>
      <w:r>
        <w:rPr>
          <w:rFonts w:hint="eastAsia" w:ascii="Times New Roman" w:hAnsi="Times New Roman" w:eastAsia="仿宋_GB2312"/>
          <w:sz w:val="32"/>
          <w:szCs w:val="32"/>
        </w:rPr>
        <w:t>%。</w:t>
      </w:r>
    </w:p>
    <w:p w14:paraId="08C3136C">
      <w:pPr>
        <w:pStyle w:val="14"/>
        <w:spacing w:line="360" w:lineRule="auto"/>
        <w:ind w:firstLine="640" w:firstLineChars="200"/>
        <w:rPr>
          <w:rFonts w:ascii="楷体" w:hAnsi="楷体" w:eastAsia="楷体" w:cs="楷体"/>
          <w:bCs/>
          <w:sz w:val="32"/>
          <w:szCs w:val="32"/>
        </w:rPr>
      </w:pPr>
      <w:r>
        <w:rPr>
          <w:rFonts w:hint="eastAsia" w:ascii="楷体" w:hAnsi="楷体" w:eastAsia="楷体" w:cs="楷体"/>
          <w:bCs/>
          <w:sz w:val="32"/>
          <w:szCs w:val="32"/>
        </w:rPr>
        <w:t>（三）财政拨款支出决算具体情况</w:t>
      </w:r>
    </w:p>
    <w:p w14:paraId="0AA72270">
      <w:pPr>
        <w:pStyle w:val="14"/>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2023</w:t>
      </w:r>
      <w:r>
        <w:rPr>
          <w:rFonts w:ascii="Times New Roman" w:hAnsi="Times New Roman" w:eastAsia="仿宋_GB2312"/>
          <w:sz w:val="32"/>
          <w:szCs w:val="32"/>
        </w:rPr>
        <w:t>年度财政拨款支出年初预算数为369.88万元，支出决算数为2744.12</w:t>
      </w:r>
      <w:r>
        <w:rPr>
          <w:rFonts w:hint="eastAsia" w:ascii="Times New Roman" w:hAnsi="Times New Roman" w:eastAsia="仿宋_GB2312"/>
          <w:sz w:val="32"/>
          <w:szCs w:val="32"/>
        </w:rPr>
        <w:t>万元，完成年初预算的</w:t>
      </w:r>
      <w:r>
        <w:rPr>
          <w:rFonts w:ascii="Times New Roman" w:hAnsi="Times New Roman" w:eastAsia="仿宋_GB2312"/>
          <w:sz w:val="32"/>
          <w:szCs w:val="32"/>
        </w:rPr>
        <w:t>741.89</w:t>
      </w:r>
      <w:r>
        <w:rPr>
          <w:rFonts w:hint="eastAsia" w:ascii="Times New Roman" w:hAnsi="Times New Roman" w:eastAsia="仿宋_GB2312"/>
          <w:sz w:val="32"/>
          <w:szCs w:val="32"/>
        </w:rPr>
        <w:t>%，其中：</w:t>
      </w:r>
    </w:p>
    <w:p w14:paraId="011F74BA">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1、教育</w:t>
      </w:r>
      <w:r>
        <w:rPr>
          <w:rFonts w:ascii="Times New Roman" w:hAnsi="Times New Roman" w:eastAsia="仿宋_GB2312"/>
          <w:sz w:val="32"/>
          <w:szCs w:val="32"/>
        </w:rPr>
        <w:t>支出</w:t>
      </w:r>
      <w:r>
        <w:rPr>
          <w:rFonts w:hint="eastAsia" w:ascii="Times New Roman" w:hAnsi="Times New Roman" w:eastAsia="仿宋_GB2312"/>
          <w:sz w:val="32"/>
          <w:szCs w:val="32"/>
        </w:rPr>
        <w:t>-进修及</w:t>
      </w:r>
      <w:r>
        <w:rPr>
          <w:rFonts w:ascii="Times New Roman" w:hAnsi="Times New Roman" w:eastAsia="仿宋_GB2312"/>
          <w:sz w:val="32"/>
          <w:szCs w:val="32"/>
        </w:rPr>
        <w:t>培训</w:t>
      </w:r>
      <w:r>
        <w:rPr>
          <w:rFonts w:hint="eastAsia" w:ascii="Times New Roman" w:hAnsi="Times New Roman" w:eastAsia="仿宋_GB2312"/>
          <w:sz w:val="32"/>
          <w:szCs w:val="32"/>
        </w:rPr>
        <w:t>-培训</w:t>
      </w:r>
      <w:r>
        <w:rPr>
          <w:rFonts w:ascii="Times New Roman" w:hAnsi="Times New Roman" w:eastAsia="仿宋_GB2312"/>
          <w:sz w:val="32"/>
          <w:szCs w:val="32"/>
        </w:rPr>
        <w:t>支出</w:t>
      </w:r>
    </w:p>
    <w:p w14:paraId="58EA5D99">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w:t>
      </w:r>
      <w:r>
        <w:rPr>
          <w:rFonts w:ascii="Times New Roman" w:hAnsi="Times New Roman" w:eastAsia="仿宋_GB2312"/>
          <w:sz w:val="32"/>
          <w:szCs w:val="32"/>
        </w:rPr>
        <w:t>14.6</w:t>
      </w:r>
      <w:r>
        <w:rPr>
          <w:rFonts w:hint="eastAsia" w:ascii="Times New Roman" w:hAnsi="Times New Roman" w:eastAsia="仿宋_GB2312"/>
          <w:sz w:val="32"/>
          <w:szCs w:val="32"/>
        </w:rPr>
        <w:t>万元，决算数大于年初预算数的主要原因是：根据实际项目开展增加本年度培训支出。</w:t>
      </w:r>
    </w:p>
    <w:p w14:paraId="6E73F42A">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2、社会保障和就业支出-行政事业单位养老支出-机关事业单位基本养老保险缴费支出</w:t>
      </w:r>
    </w:p>
    <w:p w14:paraId="207C1C8E">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w:t>
      </w:r>
      <w:r>
        <w:rPr>
          <w:rFonts w:ascii="Times New Roman" w:hAnsi="Times New Roman" w:eastAsia="仿宋_GB2312"/>
          <w:sz w:val="32"/>
          <w:szCs w:val="32"/>
        </w:rPr>
        <w:t>30.98</w:t>
      </w:r>
      <w:r>
        <w:rPr>
          <w:rFonts w:hint="eastAsia" w:ascii="Times New Roman" w:hAnsi="Times New Roman" w:eastAsia="仿宋_GB2312"/>
          <w:sz w:val="32"/>
          <w:szCs w:val="32"/>
        </w:rPr>
        <w:t>万元，决算数大于年初预算数的主要原因是：财政根据我单位专项业务活动开展调整了支出的功能科目。</w:t>
      </w:r>
    </w:p>
    <w:p w14:paraId="2C8ACD9C">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3、社会保障和就业支出-就业补助-其他就业补助支出</w:t>
      </w:r>
    </w:p>
    <w:p w14:paraId="43A8342F">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w:t>
      </w:r>
      <w:r>
        <w:rPr>
          <w:rFonts w:ascii="Times New Roman" w:hAnsi="Times New Roman" w:eastAsia="仿宋_GB2312"/>
          <w:sz w:val="32"/>
          <w:szCs w:val="32"/>
        </w:rPr>
        <w:t>3</w:t>
      </w:r>
      <w:r>
        <w:rPr>
          <w:rFonts w:hint="eastAsia" w:ascii="Times New Roman" w:hAnsi="Times New Roman" w:eastAsia="仿宋_GB2312"/>
          <w:sz w:val="32"/>
          <w:szCs w:val="32"/>
        </w:rPr>
        <w:t>万元，决算数大于年初预算数的主要原因是：根据实际项目开展增加本年度其他就业补助支出。</w:t>
      </w:r>
    </w:p>
    <w:p w14:paraId="58C966E5">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4、社会保障和就业支出-抚恤-死亡抚恤</w:t>
      </w:r>
    </w:p>
    <w:p w14:paraId="69A6F0A9">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w:t>
      </w:r>
      <w:r>
        <w:rPr>
          <w:rFonts w:ascii="Times New Roman" w:hAnsi="Times New Roman" w:eastAsia="仿宋_GB2312"/>
          <w:sz w:val="32"/>
          <w:szCs w:val="32"/>
        </w:rPr>
        <w:t>10.81</w:t>
      </w:r>
      <w:r>
        <w:rPr>
          <w:rFonts w:hint="eastAsia" w:ascii="Times New Roman" w:hAnsi="Times New Roman" w:eastAsia="仿宋_GB2312"/>
          <w:sz w:val="32"/>
          <w:szCs w:val="32"/>
        </w:rPr>
        <w:t>万元，决算数大于年初预算数的主要原因是：财政根据我单位死亡抚恤人员追加了预算。</w:t>
      </w:r>
    </w:p>
    <w:p w14:paraId="55E48F16">
      <w:pPr>
        <w:pStyle w:val="14"/>
        <w:ind w:firstLine="640" w:firstLineChars="200"/>
        <w:rPr>
          <w:rFonts w:ascii="Times New Roman" w:hAnsi="Times New Roman" w:eastAsia="仿宋_GB2312"/>
          <w:sz w:val="32"/>
          <w:szCs w:val="32"/>
        </w:rPr>
      </w:pPr>
      <w:r>
        <w:rPr>
          <w:rFonts w:ascii="Times New Roman" w:hAnsi="Times New Roman" w:eastAsia="仿宋_GB2312"/>
          <w:sz w:val="32"/>
          <w:szCs w:val="32"/>
        </w:rPr>
        <w:t>5</w:t>
      </w:r>
      <w:r>
        <w:rPr>
          <w:rFonts w:hint="eastAsia" w:ascii="Times New Roman" w:hAnsi="Times New Roman" w:eastAsia="仿宋_GB2312"/>
          <w:sz w:val="32"/>
          <w:szCs w:val="32"/>
        </w:rPr>
        <w:t>、社会保障和就业支出-其他社会保障和就业支出-其他社会保障和就业支出</w:t>
      </w:r>
    </w:p>
    <w:p w14:paraId="116046A6">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w:t>
      </w:r>
      <w:r>
        <w:rPr>
          <w:rFonts w:ascii="Times New Roman" w:hAnsi="Times New Roman" w:eastAsia="仿宋_GB2312"/>
          <w:sz w:val="32"/>
          <w:szCs w:val="32"/>
        </w:rPr>
        <w:t>1.85</w:t>
      </w:r>
      <w:r>
        <w:rPr>
          <w:rFonts w:hint="eastAsia" w:ascii="Times New Roman" w:hAnsi="Times New Roman" w:eastAsia="仿宋_GB2312"/>
          <w:sz w:val="32"/>
          <w:szCs w:val="32"/>
        </w:rPr>
        <w:t>万元，决算数大于年初预算数的主要原因是：根据实际项目开展增加本年度其他社会保障和就业支出。</w:t>
      </w:r>
    </w:p>
    <w:p w14:paraId="7691BB1D">
      <w:pPr>
        <w:pStyle w:val="14"/>
        <w:ind w:firstLine="640" w:firstLineChars="200"/>
        <w:rPr>
          <w:rFonts w:ascii="Times New Roman" w:hAnsi="Times New Roman" w:eastAsia="仿宋_GB2312"/>
          <w:sz w:val="32"/>
          <w:szCs w:val="32"/>
        </w:rPr>
      </w:pPr>
      <w:r>
        <w:rPr>
          <w:rFonts w:ascii="Times New Roman" w:hAnsi="Times New Roman" w:eastAsia="仿宋_GB2312"/>
          <w:sz w:val="32"/>
          <w:szCs w:val="32"/>
        </w:rPr>
        <w:t>6</w:t>
      </w:r>
      <w:r>
        <w:rPr>
          <w:rFonts w:hint="eastAsia" w:ascii="Times New Roman" w:hAnsi="Times New Roman" w:eastAsia="仿宋_GB2312"/>
          <w:sz w:val="32"/>
          <w:szCs w:val="32"/>
        </w:rPr>
        <w:t>、卫生健康支出-行政事业单位医疗-事业单位医疗</w:t>
      </w:r>
    </w:p>
    <w:p w14:paraId="113852F6">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w:t>
      </w:r>
      <w:r>
        <w:rPr>
          <w:rFonts w:ascii="Times New Roman" w:hAnsi="Times New Roman" w:eastAsia="仿宋_GB2312"/>
          <w:sz w:val="32"/>
          <w:szCs w:val="32"/>
        </w:rPr>
        <w:t>18.78</w:t>
      </w:r>
      <w:r>
        <w:rPr>
          <w:rFonts w:hint="eastAsia" w:ascii="Times New Roman" w:hAnsi="Times New Roman" w:eastAsia="仿宋_GB2312"/>
          <w:sz w:val="32"/>
          <w:szCs w:val="32"/>
        </w:rPr>
        <w:t>万元，决算数大于年初预算数的主要原因是：财政根据我单位专项业务活动开展调整了支出的功能科目。</w:t>
      </w:r>
    </w:p>
    <w:p w14:paraId="0A8ED7BC">
      <w:pPr>
        <w:pStyle w:val="14"/>
        <w:ind w:firstLine="640" w:firstLineChars="200"/>
        <w:rPr>
          <w:rFonts w:ascii="Times New Roman" w:hAnsi="Times New Roman" w:eastAsia="仿宋_GB2312"/>
          <w:sz w:val="32"/>
          <w:szCs w:val="32"/>
        </w:rPr>
      </w:pPr>
      <w:r>
        <w:rPr>
          <w:rFonts w:ascii="Times New Roman" w:hAnsi="Times New Roman" w:eastAsia="仿宋_GB2312"/>
          <w:sz w:val="32"/>
          <w:szCs w:val="32"/>
        </w:rPr>
        <w:t>7</w:t>
      </w:r>
      <w:r>
        <w:rPr>
          <w:rFonts w:hint="eastAsia" w:ascii="Times New Roman" w:hAnsi="Times New Roman" w:eastAsia="仿宋_GB2312"/>
          <w:sz w:val="32"/>
          <w:szCs w:val="32"/>
        </w:rPr>
        <w:t>、农林水支出-农业农村-行政运行</w:t>
      </w:r>
    </w:p>
    <w:p w14:paraId="1950EE51">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w:t>
      </w:r>
      <w:r>
        <w:rPr>
          <w:rFonts w:ascii="Times New Roman" w:hAnsi="Times New Roman" w:eastAsia="仿宋_GB2312"/>
          <w:sz w:val="32"/>
          <w:szCs w:val="32"/>
        </w:rPr>
        <w:t>7.92</w:t>
      </w:r>
      <w:r>
        <w:rPr>
          <w:rFonts w:hint="eastAsia" w:ascii="Times New Roman" w:hAnsi="Times New Roman" w:eastAsia="仿宋_GB2312"/>
          <w:sz w:val="32"/>
          <w:szCs w:val="32"/>
        </w:rPr>
        <w:t>万元，决算数大于年初预算数的主要原因是：财政根据我单位人员增减变动，以及实际工作开展需要调整了支出的功能科目。</w:t>
      </w:r>
    </w:p>
    <w:p w14:paraId="20CCD022">
      <w:pPr>
        <w:pStyle w:val="14"/>
        <w:ind w:firstLine="640" w:firstLineChars="200"/>
        <w:rPr>
          <w:rFonts w:ascii="Times New Roman" w:hAnsi="Times New Roman" w:eastAsia="仿宋_GB2312"/>
          <w:sz w:val="32"/>
          <w:szCs w:val="32"/>
        </w:rPr>
      </w:pPr>
      <w:r>
        <w:rPr>
          <w:rFonts w:ascii="Times New Roman" w:hAnsi="Times New Roman" w:eastAsia="仿宋_GB2312"/>
          <w:sz w:val="32"/>
          <w:szCs w:val="32"/>
        </w:rPr>
        <w:t>8</w:t>
      </w:r>
      <w:r>
        <w:rPr>
          <w:rFonts w:hint="eastAsia" w:ascii="Times New Roman" w:hAnsi="Times New Roman" w:eastAsia="仿宋_GB2312"/>
          <w:sz w:val="32"/>
          <w:szCs w:val="32"/>
        </w:rPr>
        <w:t>、农林水支出-农业农村-科技转化与推广服务</w:t>
      </w:r>
    </w:p>
    <w:p w14:paraId="61FEB69E">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w:t>
      </w:r>
      <w:r>
        <w:rPr>
          <w:rFonts w:ascii="Times New Roman" w:hAnsi="Times New Roman" w:eastAsia="仿宋_GB2312"/>
          <w:sz w:val="32"/>
          <w:szCs w:val="32"/>
        </w:rPr>
        <w:t>20</w:t>
      </w:r>
      <w:r>
        <w:rPr>
          <w:rFonts w:hint="eastAsia" w:ascii="Times New Roman" w:hAnsi="Times New Roman" w:eastAsia="仿宋_GB2312"/>
          <w:sz w:val="32"/>
          <w:szCs w:val="32"/>
        </w:rPr>
        <w:t>万元，决算数大于年初预算数的主要原因是：财政根据我单位专项业务活动开展调整了支出的功能科目。</w:t>
      </w:r>
    </w:p>
    <w:p w14:paraId="69C4E66C">
      <w:pPr>
        <w:pStyle w:val="14"/>
        <w:ind w:firstLine="640" w:firstLineChars="200"/>
        <w:rPr>
          <w:rFonts w:ascii="Times New Roman" w:hAnsi="Times New Roman" w:eastAsia="仿宋_GB2312"/>
          <w:sz w:val="32"/>
          <w:szCs w:val="32"/>
        </w:rPr>
      </w:pPr>
      <w:r>
        <w:rPr>
          <w:rFonts w:ascii="Times New Roman" w:hAnsi="Times New Roman" w:eastAsia="仿宋_GB2312"/>
          <w:sz w:val="32"/>
          <w:szCs w:val="32"/>
        </w:rPr>
        <w:t>9</w:t>
      </w:r>
      <w:r>
        <w:rPr>
          <w:rFonts w:hint="eastAsia" w:ascii="Times New Roman" w:hAnsi="Times New Roman" w:eastAsia="仿宋_GB2312"/>
          <w:sz w:val="32"/>
          <w:szCs w:val="32"/>
        </w:rPr>
        <w:t>、农林水支出-农业农村-行业业务管理</w:t>
      </w:r>
    </w:p>
    <w:p w14:paraId="77834237">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年初预算为36</w:t>
      </w:r>
      <w:r>
        <w:rPr>
          <w:rFonts w:ascii="Times New Roman" w:hAnsi="Times New Roman" w:eastAsia="仿宋_GB2312"/>
          <w:sz w:val="32"/>
          <w:szCs w:val="32"/>
        </w:rPr>
        <w:t>9.88</w:t>
      </w:r>
      <w:r>
        <w:rPr>
          <w:rFonts w:hint="eastAsia" w:ascii="Times New Roman" w:hAnsi="Times New Roman" w:eastAsia="仿宋_GB2312"/>
          <w:sz w:val="32"/>
          <w:szCs w:val="32"/>
        </w:rPr>
        <w:t>万元，支出决算为</w:t>
      </w:r>
      <w:r>
        <w:rPr>
          <w:rFonts w:ascii="Times New Roman" w:hAnsi="Times New Roman" w:eastAsia="仿宋_GB2312"/>
          <w:sz w:val="32"/>
          <w:szCs w:val="32"/>
        </w:rPr>
        <w:t>299.8</w:t>
      </w:r>
      <w:r>
        <w:rPr>
          <w:rFonts w:hint="eastAsia" w:ascii="Times New Roman" w:hAnsi="Times New Roman" w:eastAsia="仿宋_GB2312"/>
          <w:sz w:val="32"/>
          <w:szCs w:val="32"/>
        </w:rPr>
        <w:t>万元，完成年初预算的8</w:t>
      </w:r>
      <w:r>
        <w:rPr>
          <w:rFonts w:ascii="Times New Roman" w:hAnsi="Times New Roman" w:eastAsia="仿宋_GB2312"/>
          <w:sz w:val="32"/>
          <w:szCs w:val="32"/>
        </w:rPr>
        <w:t>1.05</w:t>
      </w:r>
      <w:r>
        <w:rPr>
          <w:rFonts w:hint="eastAsia" w:ascii="Times New Roman" w:hAnsi="Times New Roman" w:eastAsia="仿宋_GB2312"/>
          <w:sz w:val="32"/>
          <w:szCs w:val="32"/>
        </w:rPr>
        <w:t>%，决算数小于年初预算数的主要原因是：财政根据我单位专项业务活动开展调整了支出的功能科目。</w:t>
      </w:r>
    </w:p>
    <w:p w14:paraId="435E7E5E">
      <w:pPr>
        <w:pStyle w:val="14"/>
        <w:ind w:firstLine="640" w:firstLineChars="200"/>
        <w:rPr>
          <w:rFonts w:ascii="Times New Roman" w:hAnsi="Times New Roman" w:eastAsia="仿宋_GB2312"/>
          <w:sz w:val="32"/>
          <w:szCs w:val="32"/>
        </w:rPr>
      </w:pPr>
      <w:r>
        <w:rPr>
          <w:rFonts w:ascii="Times New Roman" w:hAnsi="Times New Roman" w:eastAsia="仿宋_GB2312"/>
          <w:sz w:val="32"/>
          <w:szCs w:val="32"/>
        </w:rPr>
        <w:t>10</w:t>
      </w:r>
      <w:r>
        <w:rPr>
          <w:rFonts w:hint="eastAsia" w:ascii="Times New Roman" w:hAnsi="Times New Roman" w:eastAsia="仿宋_GB2312"/>
          <w:sz w:val="32"/>
          <w:szCs w:val="32"/>
        </w:rPr>
        <w:t>、农林水支出-农业农村-农业生产发展</w:t>
      </w:r>
    </w:p>
    <w:p w14:paraId="1A5E7191">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w:t>
      </w:r>
      <w:r>
        <w:rPr>
          <w:rFonts w:ascii="Times New Roman" w:hAnsi="Times New Roman" w:eastAsia="仿宋_GB2312"/>
          <w:sz w:val="32"/>
          <w:szCs w:val="32"/>
        </w:rPr>
        <w:t>2037.84</w:t>
      </w:r>
      <w:r>
        <w:rPr>
          <w:rFonts w:hint="eastAsia" w:ascii="Times New Roman" w:hAnsi="Times New Roman" w:eastAsia="仿宋_GB2312"/>
          <w:sz w:val="32"/>
          <w:szCs w:val="32"/>
        </w:rPr>
        <w:t>万元，决算数大于年初预算数的主要原因是：财政根据我单位专项业务活动开展调整了支出的功能科目。</w:t>
      </w:r>
    </w:p>
    <w:p w14:paraId="4DCE5368">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w:t>
      </w:r>
      <w:r>
        <w:rPr>
          <w:rFonts w:ascii="Times New Roman" w:hAnsi="Times New Roman" w:eastAsia="仿宋_GB2312"/>
          <w:sz w:val="32"/>
          <w:szCs w:val="32"/>
        </w:rPr>
        <w:t>1</w:t>
      </w:r>
      <w:r>
        <w:rPr>
          <w:rFonts w:hint="eastAsia" w:ascii="Times New Roman" w:hAnsi="Times New Roman" w:eastAsia="仿宋_GB2312"/>
          <w:sz w:val="32"/>
          <w:szCs w:val="32"/>
        </w:rPr>
        <w:t>、住房保障支出-住房改革支出-住房公积金</w:t>
      </w:r>
    </w:p>
    <w:p w14:paraId="3123513B">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w:t>
      </w:r>
      <w:r>
        <w:rPr>
          <w:rFonts w:ascii="Times New Roman" w:hAnsi="Times New Roman" w:eastAsia="仿宋_GB2312"/>
          <w:sz w:val="32"/>
          <w:szCs w:val="32"/>
        </w:rPr>
        <w:t>11.56</w:t>
      </w:r>
      <w:r>
        <w:rPr>
          <w:rFonts w:hint="eastAsia" w:ascii="Times New Roman" w:hAnsi="Times New Roman" w:eastAsia="仿宋_GB2312"/>
          <w:sz w:val="32"/>
          <w:szCs w:val="32"/>
        </w:rPr>
        <w:t>万元，决算数大于年初预算数的主要原因是：财政根据我单位专项业务活动开展调整了支出的功能科目。</w:t>
      </w:r>
    </w:p>
    <w:p w14:paraId="620A9D48">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1</w:t>
      </w:r>
      <w:r>
        <w:rPr>
          <w:rFonts w:ascii="Times New Roman" w:hAnsi="Times New Roman" w:eastAsia="仿宋_GB2312"/>
          <w:sz w:val="32"/>
          <w:szCs w:val="32"/>
        </w:rPr>
        <w:t>2</w:t>
      </w:r>
      <w:r>
        <w:rPr>
          <w:rFonts w:hint="eastAsia" w:ascii="Times New Roman" w:hAnsi="Times New Roman" w:eastAsia="仿宋_GB2312"/>
          <w:sz w:val="32"/>
          <w:szCs w:val="32"/>
        </w:rPr>
        <w:t>、其他支出-其他支出-其他支出</w:t>
      </w:r>
    </w:p>
    <w:p w14:paraId="2F499DED">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年初预算为0万元，支出决算为</w:t>
      </w:r>
      <w:r>
        <w:rPr>
          <w:rFonts w:ascii="Times New Roman" w:hAnsi="Times New Roman" w:eastAsia="仿宋_GB2312"/>
          <w:sz w:val="32"/>
          <w:szCs w:val="32"/>
        </w:rPr>
        <w:t>286.98</w:t>
      </w:r>
      <w:r>
        <w:rPr>
          <w:rFonts w:hint="eastAsia" w:ascii="Times New Roman" w:hAnsi="Times New Roman" w:eastAsia="仿宋_GB2312"/>
          <w:sz w:val="32"/>
          <w:szCs w:val="32"/>
        </w:rPr>
        <w:t>万元，决算数大于年初预算数的主要原因是：财政根据我单位专项业务活动开展调整了支出的功能科目。</w:t>
      </w:r>
    </w:p>
    <w:p w14:paraId="2EB5BD5C">
      <w:pPr>
        <w:pStyle w:val="15"/>
        <w:ind w:firstLine="640"/>
        <w:jc w:val="left"/>
        <w:rPr>
          <w:rFonts w:ascii="黑体" w:hAnsi="黑体" w:eastAsia="黑体" w:cs="黑体"/>
          <w:sz w:val="32"/>
          <w:szCs w:val="32"/>
        </w:rPr>
      </w:pPr>
      <w:r>
        <w:rPr>
          <w:rFonts w:hint="eastAsia" w:ascii="黑体" w:hAnsi="黑体" w:eastAsia="黑体" w:cs="黑体"/>
          <w:sz w:val="32"/>
          <w:szCs w:val="32"/>
        </w:rPr>
        <w:t>六、一般公共预算财政拨款基本支出决算情况说明</w:t>
      </w:r>
    </w:p>
    <w:p w14:paraId="01BFC31A">
      <w:pPr>
        <w:pStyle w:val="14"/>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2023</w:t>
      </w:r>
      <w:r>
        <w:rPr>
          <w:rFonts w:ascii="Times New Roman" w:hAnsi="Times New Roman" w:eastAsia="仿宋_GB2312"/>
          <w:sz w:val="32"/>
          <w:szCs w:val="32"/>
        </w:rPr>
        <w:t>年度财政拨款基本支出482.28万元，其中：</w:t>
      </w:r>
    </w:p>
    <w:p w14:paraId="0C86BF82">
      <w:pPr>
        <w:pStyle w:val="14"/>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人员经费</w:t>
      </w:r>
      <w:r>
        <w:rPr>
          <w:rFonts w:ascii="Times New Roman" w:hAnsi="Times New Roman" w:eastAsia="仿宋_GB2312"/>
          <w:sz w:val="32"/>
          <w:szCs w:val="32"/>
        </w:rPr>
        <w:t>335.48万元，占基本支出的69.56%,主要包括基本工资、津贴补贴、</w:t>
      </w:r>
      <w:r>
        <w:rPr>
          <w:rFonts w:hint="eastAsia" w:ascii="Times New Roman" w:hAnsi="Times New Roman" w:eastAsia="仿宋_GB2312"/>
          <w:sz w:val="32"/>
          <w:szCs w:val="32"/>
        </w:rPr>
        <w:t>其他社会保障缴费、绩效工资、机关事业单位基本养老保险缴费、职业年金缴费、其他工资福利支出、退休费、抚恤金、医疗费、住房公积金、其他对个人和家庭的补助等。</w:t>
      </w:r>
    </w:p>
    <w:p w14:paraId="5C3B7A54">
      <w:pPr>
        <w:pStyle w:val="14"/>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公用经费</w:t>
      </w:r>
      <w:r>
        <w:rPr>
          <w:rFonts w:ascii="Times New Roman" w:hAnsi="Times New Roman" w:eastAsia="仿宋_GB2312"/>
          <w:sz w:val="32"/>
          <w:szCs w:val="32"/>
        </w:rPr>
        <w:t>146.8万元，占基本支出的</w:t>
      </w:r>
      <w:r>
        <w:rPr>
          <w:rFonts w:hint="eastAsia" w:ascii="Times New Roman" w:hAnsi="Times New Roman" w:eastAsia="仿宋_GB2312"/>
          <w:sz w:val="32"/>
          <w:szCs w:val="32"/>
        </w:rPr>
        <w:t>30.44%，主要包括办公费、印刷费、水费、电费、邮电费、物业管理费、差旅费、维修（护）费、会议费、培训费、公务接待费、专用材料费、劳务费、工会经费、福利费、公务用车运行维护费、其他交通费用、其他商品和服务支出等。</w:t>
      </w:r>
    </w:p>
    <w:p w14:paraId="1016C56F">
      <w:pPr>
        <w:pStyle w:val="14"/>
        <w:spacing w:line="600" w:lineRule="exact"/>
        <w:ind w:firstLine="640" w:firstLineChars="200"/>
        <w:rPr>
          <w:rFonts w:hAnsi="黑体"/>
          <w:color w:val="auto"/>
          <w:kern w:val="2"/>
          <w:sz w:val="32"/>
          <w:szCs w:val="32"/>
        </w:rPr>
      </w:pPr>
      <w:r>
        <w:rPr>
          <w:rFonts w:hint="eastAsia" w:hAnsi="黑体"/>
          <w:color w:val="auto"/>
          <w:kern w:val="2"/>
          <w:sz w:val="32"/>
          <w:szCs w:val="32"/>
        </w:rPr>
        <w:t>七、政府性基金预算收入支出决算情况</w:t>
      </w:r>
    </w:p>
    <w:p w14:paraId="79CEDDF9">
      <w:pPr>
        <w:widowControl/>
        <w:spacing w:line="600" w:lineRule="exact"/>
        <w:ind w:firstLine="640"/>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202</w:t>
      </w:r>
      <w:r>
        <w:rPr>
          <w:rFonts w:ascii="Times New Roman" w:hAnsi="Times New Roman" w:eastAsia="仿宋_GB2312" w:cs="黑体"/>
          <w:color w:val="000000"/>
          <w:kern w:val="0"/>
          <w:sz w:val="32"/>
          <w:szCs w:val="32"/>
        </w:rPr>
        <w:t>3</w:t>
      </w:r>
      <w:r>
        <w:rPr>
          <w:rFonts w:hint="eastAsia" w:ascii="Times New Roman" w:hAnsi="Times New Roman" w:eastAsia="仿宋_GB2312" w:cs="黑体"/>
          <w:color w:val="000000"/>
          <w:kern w:val="0"/>
          <w:sz w:val="32"/>
          <w:szCs w:val="32"/>
        </w:rPr>
        <w:t>年度本单位无政府性基金预算收入支出。</w:t>
      </w:r>
    </w:p>
    <w:p w14:paraId="7D79D53E">
      <w:pPr>
        <w:pStyle w:val="14"/>
        <w:spacing w:line="600" w:lineRule="exact"/>
        <w:ind w:firstLine="640" w:firstLineChars="200"/>
        <w:rPr>
          <w:rFonts w:hAnsi="黑体"/>
          <w:color w:val="auto"/>
          <w:kern w:val="2"/>
          <w:sz w:val="32"/>
          <w:szCs w:val="32"/>
        </w:rPr>
      </w:pPr>
      <w:r>
        <w:rPr>
          <w:rFonts w:hint="eastAsia" w:hAnsi="黑体"/>
          <w:color w:val="auto"/>
          <w:kern w:val="2"/>
          <w:sz w:val="32"/>
          <w:szCs w:val="32"/>
        </w:rPr>
        <w:t>八、国有资本经营预算财政拨款支出决算情况</w:t>
      </w:r>
    </w:p>
    <w:p w14:paraId="28FF72A9">
      <w:pPr>
        <w:widowControl/>
        <w:spacing w:line="600" w:lineRule="exact"/>
        <w:ind w:firstLine="640"/>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202</w:t>
      </w:r>
      <w:r>
        <w:rPr>
          <w:rFonts w:ascii="Times New Roman" w:hAnsi="Times New Roman" w:eastAsia="仿宋_GB2312" w:cs="黑体"/>
          <w:color w:val="000000"/>
          <w:kern w:val="0"/>
          <w:sz w:val="32"/>
          <w:szCs w:val="32"/>
        </w:rPr>
        <w:t>3</w:t>
      </w:r>
      <w:r>
        <w:rPr>
          <w:rFonts w:hint="eastAsia" w:ascii="Times New Roman" w:hAnsi="Times New Roman" w:eastAsia="仿宋_GB2312" w:cs="黑体"/>
          <w:color w:val="000000"/>
          <w:kern w:val="0"/>
          <w:sz w:val="32"/>
          <w:szCs w:val="32"/>
        </w:rPr>
        <w:t>年度本单位无国有资本经营预算财政拨款支出。</w:t>
      </w:r>
    </w:p>
    <w:p w14:paraId="10FB5A28">
      <w:pPr>
        <w:pStyle w:val="14"/>
        <w:spacing w:line="600" w:lineRule="exact"/>
        <w:ind w:firstLine="640" w:firstLineChars="200"/>
        <w:rPr>
          <w:rFonts w:hAnsi="黑体"/>
          <w:color w:val="auto"/>
          <w:kern w:val="2"/>
          <w:sz w:val="32"/>
          <w:szCs w:val="32"/>
        </w:rPr>
      </w:pPr>
      <w:r>
        <w:rPr>
          <w:rFonts w:hint="eastAsia" w:hAnsi="黑体"/>
          <w:color w:val="auto"/>
          <w:kern w:val="2"/>
          <w:sz w:val="32"/>
          <w:szCs w:val="32"/>
        </w:rPr>
        <w:t>九、财政拨款三公经费支出决算情况说明</w:t>
      </w:r>
    </w:p>
    <w:p w14:paraId="15A6216C">
      <w:pPr>
        <w:pStyle w:val="14"/>
        <w:spacing w:line="360" w:lineRule="auto"/>
        <w:ind w:firstLine="640" w:firstLineChars="200"/>
        <w:rPr>
          <w:rFonts w:ascii="楷体" w:hAnsi="楷体" w:eastAsia="楷体" w:cs="楷体"/>
          <w:bCs/>
          <w:sz w:val="32"/>
          <w:szCs w:val="32"/>
        </w:rPr>
      </w:pPr>
      <w:r>
        <w:rPr>
          <w:rFonts w:hint="eastAsia" w:ascii="楷体" w:hAnsi="楷体" w:eastAsia="楷体" w:cs="楷体"/>
          <w:bCs/>
          <w:sz w:val="32"/>
          <w:szCs w:val="32"/>
        </w:rPr>
        <w:t>（一）“三公”经费财政拨款支出决算总体情况说明</w:t>
      </w:r>
    </w:p>
    <w:p w14:paraId="45B085B6">
      <w:pPr>
        <w:widowControl/>
        <w:spacing w:line="600" w:lineRule="exact"/>
        <w:ind w:firstLine="640"/>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“三公”经费财政拨款支出预算为</w:t>
      </w:r>
      <w:r>
        <w:rPr>
          <w:rFonts w:ascii="Times New Roman" w:hAnsi="Times New Roman" w:eastAsia="仿宋_GB2312" w:cs="黑体"/>
          <w:color w:val="000000"/>
          <w:kern w:val="0"/>
          <w:sz w:val="32"/>
          <w:szCs w:val="32"/>
        </w:rPr>
        <w:t>7.6</w:t>
      </w:r>
      <w:r>
        <w:rPr>
          <w:rFonts w:hint="eastAsia" w:ascii="Times New Roman" w:hAnsi="Times New Roman" w:eastAsia="仿宋_GB2312" w:cs="黑体"/>
          <w:color w:val="000000"/>
          <w:kern w:val="0"/>
          <w:sz w:val="32"/>
          <w:szCs w:val="32"/>
        </w:rPr>
        <w:t>万元，支出决算为</w:t>
      </w:r>
      <w:r>
        <w:rPr>
          <w:rFonts w:ascii="Times New Roman" w:hAnsi="Times New Roman" w:eastAsia="仿宋_GB2312" w:cs="黑体"/>
          <w:color w:val="000000"/>
          <w:kern w:val="0"/>
          <w:sz w:val="32"/>
          <w:szCs w:val="32"/>
        </w:rPr>
        <w:t>7.11</w:t>
      </w:r>
      <w:r>
        <w:rPr>
          <w:rFonts w:hint="eastAsia" w:ascii="Times New Roman" w:hAnsi="Times New Roman" w:eastAsia="仿宋_GB2312" w:cs="黑体"/>
          <w:color w:val="000000"/>
          <w:kern w:val="0"/>
          <w:sz w:val="32"/>
          <w:szCs w:val="32"/>
        </w:rPr>
        <w:t>万元，完成预算的</w:t>
      </w:r>
      <w:r>
        <w:rPr>
          <w:rFonts w:ascii="Times New Roman" w:hAnsi="Times New Roman" w:eastAsia="仿宋_GB2312" w:cs="黑体"/>
          <w:color w:val="000000"/>
          <w:kern w:val="0"/>
          <w:sz w:val="32"/>
          <w:szCs w:val="32"/>
        </w:rPr>
        <w:t>93.55</w:t>
      </w:r>
      <w:r>
        <w:rPr>
          <w:rFonts w:hint="eastAsia" w:ascii="Times New Roman" w:hAnsi="Times New Roman" w:eastAsia="仿宋_GB2312" w:cs="黑体"/>
          <w:color w:val="000000"/>
          <w:kern w:val="0"/>
          <w:sz w:val="32"/>
          <w:szCs w:val="32"/>
        </w:rPr>
        <w:t>%，其中：</w:t>
      </w:r>
    </w:p>
    <w:p w14:paraId="5D58E459">
      <w:pPr>
        <w:widowControl/>
        <w:spacing w:line="600" w:lineRule="exact"/>
        <w:ind w:firstLine="640"/>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因公出国（境）费支出预算为</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万元，支出决算为</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万元，完成预算的</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%，决算数等于预算数的主要原因是本年度无因公出国（境）费用，与上年相比</w:t>
      </w:r>
      <w:r>
        <w:rPr>
          <w:rFonts w:ascii="Times New Roman" w:hAnsi="Times New Roman" w:eastAsia="仿宋_GB2312" w:cs="黑体"/>
          <w:color w:val="000000"/>
          <w:kern w:val="0"/>
          <w:sz w:val="32"/>
          <w:szCs w:val="32"/>
        </w:rPr>
        <w:t>增长0</w:t>
      </w:r>
      <w:r>
        <w:rPr>
          <w:rFonts w:hint="eastAsia" w:ascii="Times New Roman" w:hAnsi="Times New Roman" w:eastAsia="仿宋_GB2312" w:cs="黑体"/>
          <w:color w:val="000000"/>
          <w:kern w:val="0"/>
          <w:sz w:val="32"/>
          <w:szCs w:val="32"/>
        </w:rPr>
        <w:t>万元，</w:t>
      </w:r>
      <w:r>
        <w:rPr>
          <w:rFonts w:ascii="Times New Roman" w:hAnsi="Times New Roman" w:eastAsia="仿宋_GB2312" w:cs="黑体"/>
          <w:color w:val="000000"/>
          <w:kern w:val="0"/>
          <w:sz w:val="32"/>
          <w:szCs w:val="32"/>
        </w:rPr>
        <w:t>增长0</w:t>
      </w:r>
      <w:r>
        <w:rPr>
          <w:rFonts w:hint="eastAsia" w:ascii="Times New Roman" w:hAnsi="Times New Roman" w:eastAsia="仿宋_GB2312" w:cs="黑体"/>
          <w:color w:val="000000"/>
          <w:kern w:val="0"/>
          <w:sz w:val="32"/>
          <w:szCs w:val="32"/>
        </w:rPr>
        <w:t>%,主要原因是</w:t>
      </w:r>
      <w:r>
        <w:rPr>
          <w:rFonts w:hint="eastAsia" w:ascii="Times New Roman" w:hAnsi="Times New Roman" w:eastAsia="仿宋_GB2312" w:cs="黑体"/>
          <w:color w:val="000000"/>
          <w:kern w:val="0"/>
          <w:sz w:val="32"/>
          <w:szCs w:val="32"/>
          <w:lang w:eastAsia="zh-CN"/>
        </w:rPr>
        <w:t>本年度</w:t>
      </w:r>
      <w:r>
        <w:rPr>
          <w:rFonts w:hint="eastAsia" w:ascii="Times New Roman" w:hAnsi="Times New Roman" w:eastAsia="仿宋_GB2312" w:cs="黑体"/>
          <w:color w:val="000000"/>
          <w:kern w:val="0"/>
          <w:sz w:val="32"/>
          <w:szCs w:val="32"/>
        </w:rPr>
        <w:t>无因公出国（境）费用。</w:t>
      </w:r>
    </w:p>
    <w:p w14:paraId="6146AE70">
      <w:pPr>
        <w:widowControl/>
        <w:spacing w:line="600" w:lineRule="exact"/>
        <w:ind w:firstLine="640"/>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公务接待费支出预算为</w:t>
      </w:r>
      <w:r>
        <w:rPr>
          <w:rFonts w:ascii="Times New Roman" w:hAnsi="Times New Roman" w:eastAsia="仿宋_GB2312" w:cs="黑体"/>
          <w:color w:val="000000"/>
          <w:kern w:val="0"/>
          <w:sz w:val="32"/>
          <w:szCs w:val="32"/>
        </w:rPr>
        <w:t>7.6</w:t>
      </w:r>
      <w:r>
        <w:rPr>
          <w:rFonts w:hint="eastAsia" w:ascii="Times New Roman" w:hAnsi="Times New Roman" w:eastAsia="仿宋_GB2312" w:cs="黑体"/>
          <w:color w:val="000000"/>
          <w:kern w:val="0"/>
          <w:sz w:val="32"/>
          <w:szCs w:val="32"/>
        </w:rPr>
        <w:t>万元，支出决算为</w:t>
      </w:r>
      <w:r>
        <w:rPr>
          <w:rFonts w:ascii="Times New Roman" w:hAnsi="Times New Roman" w:eastAsia="仿宋_GB2312" w:cs="黑体"/>
          <w:color w:val="000000"/>
          <w:kern w:val="0"/>
          <w:sz w:val="32"/>
          <w:szCs w:val="32"/>
        </w:rPr>
        <w:t>7.11</w:t>
      </w:r>
      <w:r>
        <w:rPr>
          <w:rFonts w:hint="eastAsia" w:ascii="Times New Roman" w:hAnsi="Times New Roman" w:eastAsia="仿宋_GB2312" w:cs="黑体"/>
          <w:color w:val="000000"/>
          <w:kern w:val="0"/>
          <w:sz w:val="32"/>
          <w:szCs w:val="32"/>
        </w:rPr>
        <w:t>万元，完成预算的</w:t>
      </w:r>
      <w:r>
        <w:rPr>
          <w:rFonts w:ascii="Times New Roman" w:hAnsi="Times New Roman" w:eastAsia="仿宋_GB2312" w:cs="黑体"/>
          <w:color w:val="000000"/>
          <w:kern w:val="0"/>
          <w:sz w:val="32"/>
          <w:szCs w:val="32"/>
        </w:rPr>
        <w:t>93.55</w:t>
      </w:r>
      <w:r>
        <w:rPr>
          <w:rFonts w:hint="eastAsia" w:ascii="Times New Roman" w:hAnsi="Times New Roman" w:eastAsia="仿宋_GB2312" w:cs="黑体"/>
          <w:color w:val="000000"/>
          <w:kern w:val="0"/>
          <w:sz w:val="32"/>
          <w:szCs w:val="32"/>
        </w:rPr>
        <w:t>%，决算数小于预算数的主要原因是认真贯彻落实中央八项规定精神和厉行节约要求，从严控制“三公”经费开支，与上年相比</w:t>
      </w:r>
      <w:r>
        <w:rPr>
          <w:rFonts w:ascii="Times New Roman" w:hAnsi="Times New Roman" w:eastAsia="仿宋_GB2312" w:cs="黑体"/>
          <w:color w:val="000000"/>
          <w:kern w:val="0"/>
          <w:sz w:val="32"/>
          <w:szCs w:val="32"/>
        </w:rPr>
        <w:t>减少0.63</w:t>
      </w:r>
      <w:r>
        <w:rPr>
          <w:rFonts w:hint="eastAsia" w:ascii="Times New Roman" w:hAnsi="Times New Roman" w:eastAsia="仿宋_GB2312" w:cs="黑体"/>
          <w:color w:val="000000"/>
          <w:kern w:val="0"/>
          <w:sz w:val="32"/>
          <w:szCs w:val="32"/>
        </w:rPr>
        <w:t>万元，减少8.14%,减少的主要原因是认真贯彻落实中央八项规定</w:t>
      </w:r>
      <w:bookmarkStart w:id="0" w:name="_GoBack"/>
      <w:bookmarkEnd w:id="0"/>
      <w:r>
        <w:rPr>
          <w:rFonts w:hint="eastAsia" w:ascii="Times New Roman" w:hAnsi="Times New Roman" w:eastAsia="仿宋_GB2312" w:cs="黑体"/>
          <w:color w:val="000000"/>
          <w:kern w:val="0"/>
          <w:sz w:val="32"/>
          <w:szCs w:val="32"/>
        </w:rPr>
        <w:t>精神和厉行节约要求，从严控制“三公”经费开支。</w:t>
      </w:r>
    </w:p>
    <w:p w14:paraId="48E7D86F">
      <w:pPr>
        <w:widowControl/>
        <w:spacing w:line="600" w:lineRule="exact"/>
        <w:ind w:firstLine="640"/>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公务用车购置费支出预算为</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万元，支出决算为</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万元，完成预算的</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%，决算数等于预算数的主要原因是本年度无公务用车购置费用，与上年相比</w:t>
      </w:r>
      <w:r>
        <w:rPr>
          <w:rFonts w:ascii="Times New Roman" w:hAnsi="Times New Roman" w:eastAsia="仿宋_GB2312" w:cs="黑体"/>
          <w:color w:val="000000"/>
          <w:kern w:val="0"/>
          <w:sz w:val="32"/>
          <w:szCs w:val="32"/>
        </w:rPr>
        <w:t>增长0</w:t>
      </w:r>
      <w:r>
        <w:rPr>
          <w:rFonts w:hint="eastAsia" w:ascii="Times New Roman" w:hAnsi="Times New Roman" w:eastAsia="仿宋_GB2312" w:cs="黑体"/>
          <w:color w:val="000000"/>
          <w:kern w:val="0"/>
          <w:sz w:val="32"/>
          <w:szCs w:val="32"/>
        </w:rPr>
        <w:t>万元，</w:t>
      </w:r>
      <w:r>
        <w:rPr>
          <w:rFonts w:ascii="Times New Roman" w:hAnsi="Times New Roman" w:eastAsia="仿宋_GB2312" w:cs="黑体"/>
          <w:color w:val="000000"/>
          <w:kern w:val="0"/>
          <w:sz w:val="32"/>
          <w:szCs w:val="32"/>
        </w:rPr>
        <w:t>增长0</w:t>
      </w:r>
      <w:r>
        <w:rPr>
          <w:rFonts w:hint="eastAsia" w:ascii="Times New Roman" w:hAnsi="Times New Roman" w:eastAsia="仿宋_GB2312" w:cs="黑体"/>
          <w:color w:val="000000"/>
          <w:kern w:val="0"/>
          <w:sz w:val="32"/>
          <w:szCs w:val="32"/>
        </w:rPr>
        <w:t>%,主要原因是本年度无公务用车购置费用。</w:t>
      </w:r>
    </w:p>
    <w:p w14:paraId="0E0FD739">
      <w:pPr>
        <w:widowControl/>
        <w:spacing w:line="600" w:lineRule="exact"/>
        <w:ind w:firstLine="640"/>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公务用车运行维护费支出预算为</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万元，支出决算为</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万元，完成预算的</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%，决算数等于预算数的主要原因是本年度无公务用车运行维护费用，与上年相比</w:t>
      </w:r>
      <w:r>
        <w:rPr>
          <w:rFonts w:ascii="Times New Roman" w:hAnsi="Times New Roman" w:eastAsia="仿宋_GB2312" w:cs="黑体"/>
          <w:color w:val="000000"/>
          <w:kern w:val="0"/>
          <w:sz w:val="32"/>
          <w:szCs w:val="32"/>
        </w:rPr>
        <w:t>增长0</w:t>
      </w:r>
      <w:r>
        <w:rPr>
          <w:rFonts w:hint="eastAsia" w:ascii="Times New Roman" w:hAnsi="Times New Roman" w:eastAsia="仿宋_GB2312" w:cs="黑体"/>
          <w:color w:val="000000"/>
          <w:kern w:val="0"/>
          <w:sz w:val="32"/>
          <w:szCs w:val="32"/>
        </w:rPr>
        <w:t>万元，</w:t>
      </w:r>
      <w:r>
        <w:rPr>
          <w:rFonts w:ascii="Times New Roman" w:hAnsi="Times New Roman" w:eastAsia="仿宋_GB2312" w:cs="黑体"/>
          <w:color w:val="000000"/>
          <w:kern w:val="0"/>
          <w:sz w:val="32"/>
          <w:szCs w:val="32"/>
        </w:rPr>
        <w:t>增长0</w:t>
      </w:r>
      <w:r>
        <w:rPr>
          <w:rFonts w:hint="eastAsia" w:ascii="Times New Roman" w:hAnsi="Times New Roman" w:eastAsia="仿宋_GB2312" w:cs="黑体"/>
          <w:color w:val="000000"/>
          <w:kern w:val="0"/>
          <w:sz w:val="32"/>
          <w:szCs w:val="32"/>
        </w:rPr>
        <w:t>%,主要原因是本年度无公务用车运行维护费用。</w:t>
      </w:r>
    </w:p>
    <w:p w14:paraId="2FB0B18C">
      <w:pPr>
        <w:pStyle w:val="14"/>
        <w:spacing w:line="360" w:lineRule="auto"/>
        <w:ind w:firstLine="640" w:firstLineChars="200"/>
        <w:rPr>
          <w:rFonts w:ascii="楷体" w:hAnsi="楷体" w:eastAsia="楷体" w:cs="楷体"/>
          <w:bCs/>
          <w:sz w:val="32"/>
          <w:szCs w:val="32"/>
        </w:rPr>
      </w:pPr>
      <w:r>
        <w:rPr>
          <w:rFonts w:hint="eastAsia" w:ascii="楷体" w:hAnsi="楷体" w:eastAsia="楷体" w:cs="楷体"/>
          <w:bCs/>
          <w:sz w:val="32"/>
          <w:szCs w:val="32"/>
        </w:rPr>
        <w:t>（二）“三公”经费财政拨款支出决算具体情况说明</w:t>
      </w:r>
    </w:p>
    <w:p w14:paraId="095CA508">
      <w:pPr>
        <w:widowControl/>
        <w:spacing w:line="600" w:lineRule="exact"/>
        <w:ind w:firstLine="640"/>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2023年度“三公”经费财政拨款支出决算中，公务接待费支出决算</w:t>
      </w:r>
      <w:r>
        <w:rPr>
          <w:rFonts w:ascii="Times New Roman" w:hAnsi="Times New Roman" w:eastAsia="仿宋_GB2312" w:cs="黑体"/>
          <w:color w:val="000000"/>
          <w:kern w:val="0"/>
          <w:sz w:val="32"/>
          <w:szCs w:val="32"/>
        </w:rPr>
        <w:t>7.11</w:t>
      </w:r>
      <w:r>
        <w:rPr>
          <w:rFonts w:hint="eastAsia" w:ascii="Times New Roman" w:hAnsi="Times New Roman" w:eastAsia="仿宋_GB2312" w:cs="黑体"/>
          <w:color w:val="000000"/>
          <w:kern w:val="0"/>
          <w:sz w:val="32"/>
          <w:szCs w:val="32"/>
        </w:rPr>
        <w:t>万元，占</w:t>
      </w:r>
      <w:r>
        <w:rPr>
          <w:rFonts w:ascii="Times New Roman" w:hAnsi="Times New Roman" w:eastAsia="仿宋_GB2312" w:cs="黑体"/>
          <w:color w:val="000000"/>
          <w:kern w:val="0"/>
          <w:sz w:val="32"/>
          <w:szCs w:val="32"/>
        </w:rPr>
        <w:t>100</w:t>
      </w:r>
      <w:r>
        <w:rPr>
          <w:rFonts w:hint="eastAsia" w:ascii="Times New Roman" w:hAnsi="Times New Roman" w:eastAsia="仿宋_GB2312" w:cs="黑体"/>
          <w:color w:val="000000"/>
          <w:kern w:val="0"/>
          <w:sz w:val="32"/>
          <w:szCs w:val="32"/>
        </w:rPr>
        <w:t>%,因公出国（境）费支出决算</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万元，占</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%,公务用车购置费及运行维护费支出决算</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万元，占</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%。其中：</w:t>
      </w:r>
    </w:p>
    <w:p w14:paraId="4ECC756B">
      <w:pPr>
        <w:widowControl/>
        <w:spacing w:line="600" w:lineRule="exact"/>
        <w:ind w:firstLine="640"/>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1、因公出国（境）费支出决算为</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万元，全年安排因公出国（境）团组</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个，累计</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人次,支出</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万元，主要是</w:t>
      </w:r>
      <w:r>
        <w:rPr>
          <w:rFonts w:ascii="Times New Roman" w:hAnsi="Times New Roman" w:eastAsia="仿宋_GB2312" w:cs="黑体"/>
          <w:color w:val="000000"/>
          <w:kern w:val="0"/>
          <w:sz w:val="32"/>
          <w:szCs w:val="32"/>
        </w:rPr>
        <w:t>因</w:t>
      </w:r>
      <w:r>
        <w:rPr>
          <w:rFonts w:hint="eastAsia" w:ascii="Times New Roman" w:hAnsi="Times New Roman" w:eastAsia="仿宋_GB2312" w:cs="黑体"/>
          <w:color w:val="000000"/>
          <w:kern w:val="0"/>
          <w:sz w:val="32"/>
          <w:szCs w:val="32"/>
        </w:rPr>
        <w:t>本年度无因公出国（境）费。</w:t>
      </w:r>
    </w:p>
    <w:p w14:paraId="0083217C">
      <w:pPr>
        <w:widowControl/>
        <w:spacing w:line="600" w:lineRule="exact"/>
        <w:ind w:firstLine="640"/>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2、公务接待费支出决算为</w:t>
      </w:r>
      <w:r>
        <w:rPr>
          <w:rFonts w:ascii="Times New Roman" w:hAnsi="Times New Roman" w:eastAsia="仿宋_GB2312" w:cs="黑体"/>
          <w:color w:val="000000"/>
          <w:kern w:val="0"/>
          <w:sz w:val="32"/>
          <w:szCs w:val="32"/>
        </w:rPr>
        <w:t>7.11</w:t>
      </w:r>
      <w:r>
        <w:rPr>
          <w:rFonts w:hint="eastAsia" w:ascii="Times New Roman" w:hAnsi="Times New Roman" w:eastAsia="仿宋_GB2312" w:cs="黑体"/>
          <w:color w:val="000000"/>
          <w:kern w:val="0"/>
          <w:sz w:val="32"/>
          <w:szCs w:val="32"/>
        </w:rPr>
        <w:t>万元，全年共接待来访团组</w:t>
      </w:r>
      <w:r>
        <w:rPr>
          <w:rFonts w:ascii="Times New Roman" w:hAnsi="Times New Roman" w:eastAsia="仿宋_GB2312" w:cs="黑体"/>
          <w:color w:val="000000"/>
          <w:kern w:val="0"/>
          <w:sz w:val="32"/>
          <w:szCs w:val="32"/>
        </w:rPr>
        <w:t>328</w:t>
      </w:r>
      <w:r>
        <w:rPr>
          <w:rFonts w:hint="eastAsia" w:ascii="Times New Roman" w:hAnsi="Times New Roman" w:eastAsia="仿宋_GB2312" w:cs="黑体"/>
          <w:color w:val="000000"/>
          <w:kern w:val="0"/>
          <w:sz w:val="32"/>
          <w:szCs w:val="32"/>
        </w:rPr>
        <w:t>个、来宾</w:t>
      </w:r>
      <w:r>
        <w:rPr>
          <w:rFonts w:ascii="Times New Roman" w:hAnsi="Times New Roman" w:eastAsia="仿宋_GB2312" w:cs="黑体"/>
          <w:color w:val="000000"/>
          <w:kern w:val="0"/>
          <w:sz w:val="32"/>
          <w:szCs w:val="32"/>
        </w:rPr>
        <w:t>1836</w:t>
      </w:r>
      <w:r>
        <w:rPr>
          <w:rFonts w:hint="eastAsia" w:ascii="Times New Roman" w:hAnsi="Times New Roman" w:eastAsia="仿宋_GB2312" w:cs="黑体"/>
          <w:color w:val="000000"/>
          <w:kern w:val="0"/>
          <w:sz w:val="32"/>
          <w:szCs w:val="32"/>
        </w:rPr>
        <w:t>人次，主要是</w:t>
      </w:r>
      <w:r>
        <w:rPr>
          <w:rFonts w:hint="eastAsia" w:ascii="Times New Roman" w:hAnsi="Times New Roman" w:eastAsia="仿宋_GB2312"/>
          <w:sz w:val="32"/>
          <w:szCs w:val="32"/>
        </w:rPr>
        <w:t>用于与有关单位交流工作情况及接受相关部门检查指导工作发生的接待支出。</w:t>
      </w:r>
    </w:p>
    <w:p w14:paraId="50679A91">
      <w:pPr>
        <w:widowControl/>
        <w:spacing w:line="600" w:lineRule="exact"/>
        <w:ind w:firstLine="640"/>
        <w:rPr>
          <w:rFonts w:ascii="微软雅黑" w:hAnsi="微软雅黑" w:eastAsia="微软雅黑" w:cs="微软雅黑"/>
          <w:b/>
          <w:bCs/>
          <w:i/>
          <w:kern w:val="0"/>
          <w:sz w:val="32"/>
          <w:szCs w:val="32"/>
        </w:rPr>
      </w:pPr>
      <w:r>
        <w:rPr>
          <w:rFonts w:hint="eastAsia" w:ascii="Times New Roman" w:hAnsi="Times New Roman" w:eastAsia="仿宋_GB2312" w:cs="黑体"/>
          <w:color w:val="000000"/>
          <w:kern w:val="0"/>
          <w:sz w:val="32"/>
          <w:szCs w:val="32"/>
        </w:rPr>
        <w:t>3、公务用车购置费及运行维护费支出决算为</w:t>
      </w:r>
      <w:r>
        <w:rPr>
          <w:rFonts w:ascii="Times New Roman" w:hAnsi="Times New Roman" w:eastAsia="仿宋_GB2312" w:cs="黑体"/>
          <w:color w:val="000000"/>
          <w:kern w:val="0"/>
          <w:sz w:val="32"/>
          <w:szCs w:val="32"/>
        </w:rPr>
        <w:t>0.00</w:t>
      </w:r>
      <w:r>
        <w:rPr>
          <w:rFonts w:hint="eastAsia" w:ascii="Times New Roman" w:hAnsi="Times New Roman" w:eastAsia="仿宋_GB2312" w:cs="黑体"/>
          <w:color w:val="000000"/>
          <w:kern w:val="0"/>
          <w:sz w:val="32"/>
          <w:szCs w:val="32"/>
        </w:rPr>
        <w:t>万元，其中：公务用车购置费</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万元，</w:t>
      </w:r>
      <w:r>
        <w:rPr>
          <w:rFonts w:ascii="Times New Roman" w:hAnsi="Times New Roman" w:eastAsia="仿宋_GB2312" w:cs="黑体"/>
          <w:color w:val="000000"/>
          <w:kern w:val="0"/>
          <w:sz w:val="32"/>
          <w:szCs w:val="32"/>
        </w:rPr>
        <w:t>岳阳县农业机械化服务中心本级更新公务用车0辆</w:t>
      </w:r>
      <w:r>
        <w:rPr>
          <w:rFonts w:hint="eastAsia" w:ascii="Times New Roman" w:hAnsi="Times New Roman" w:eastAsia="仿宋_GB2312" w:cs="黑体"/>
          <w:color w:val="000000"/>
          <w:kern w:val="0"/>
          <w:sz w:val="32"/>
          <w:szCs w:val="32"/>
        </w:rPr>
        <w:t>。公务用车运行维护费</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万元，主要是因本年度无公务用车运行维护费支出，截至2023年12月31日，我单位开支财政拨款的公务用车保有量为</w:t>
      </w:r>
      <w:r>
        <w:rPr>
          <w:rFonts w:ascii="Times New Roman" w:hAnsi="Times New Roman" w:eastAsia="仿宋_GB2312" w:cs="黑体"/>
          <w:color w:val="000000"/>
          <w:kern w:val="0"/>
          <w:sz w:val="32"/>
          <w:szCs w:val="32"/>
        </w:rPr>
        <w:t>0</w:t>
      </w:r>
      <w:r>
        <w:rPr>
          <w:rFonts w:hint="eastAsia" w:ascii="Times New Roman" w:hAnsi="Times New Roman" w:eastAsia="仿宋_GB2312" w:cs="黑体"/>
          <w:color w:val="000000"/>
          <w:kern w:val="0"/>
          <w:sz w:val="32"/>
          <w:szCs w:val="32"/>
        </w:rPr>
        <w:t>辆。</w:t>
      </w:r>
    </w:p>
    <w:p w14:paraId="30AD55BB">
      <w:pPr>
        <w:pStyle w:val="14"/>
        <w:spacing w:line="600" w:lineRule="exact"/>
        <w:ind w:firstLine="480" w:firstLineChars="150"/>
        <w:rPr>
          <w:rFonts w:hAnsi="黑体"/>
          <w:color w:val="auto"/>
          <w:kern w:val="2"/>
          <w:sz w:val="32"/>
          <w:szCs w:val="32"/>
        </w:rPr>
      </w:pPr>
      <w:r>
        <w:rPr>
          <w:rFonts w:hint="eastAsia" w:hAnsi="黑体"/>
          <w:color w:val="auto"/>
          <w:kern w:val="2"/>
          <w:sz w:val="32"/>
          <w:szCs w:val="32"/>
        </w:rPr>
        <w:t>十、关于机关运行经费支出说明</w:t>
      </w:r>
    </w:p>
    <w:p w14:paraId="481AE4E9">
      <w:pPr>
        <w:pStyle w:val="14"/>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本级和所属单位均为事业单位，按照机关运行经费的口径，本年度机关运行经费为0。</w:t>
      </w:r>
    </w:p>
    <w:p w14:paraId="0627061E">
      <w:pPr>
        <w:pStyle w:val="14"/>
        <w:spacing w:line="600" w:lineRule="exact"/>
        <w:ind w:firstLine="640" w:firstLineChars="200"/>
        <w:rPr>
          <w:rFonts w:hAnsi="黑体"/>
          <w:color w:val="auto"/>
          <w:kern w:val="2"/>
          <w:sz w:val="32"/>
          <w:szCs w:val="32"/>
        </w:rPr>
      </w:pPr>
      <w:r>
        <w:rPr>
          <w:rFonts w:hint="eastAsia" w:hAnsi="黑体"/>
          <w:color w:val="auto"/>
          <w:kern w:val="2"/>
          <w:sz w:val="32"/>
          <w:szCs w:val="32"/>
        </w:rPr>
        <w:t>十一、一般性支出情况说明</w:t>
      </w:r>
    </w:p>
    <w:p w14:paraId="058E66F6">
      <w:pPr>
        <w:pStyle w:val="14"/>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2023年本部门开支会议费</w:t>
      </w:r>
      <w:r>
        <w:rPr>
          <w:rFonts w:ascii="Times New Roman" w:hAnsi="Times New Roman" w:eastAsia="仿宋_GB2312"/>
          <w:sz w:val="32"/>
          <w:szCs w:val="32"/>
        </w:rPr>
        <w:t>12.74</w:t>
      </w:r>
      <w:r>
        <w:rPr>
          <w:rFonts w:hint="eastAsia" w:ascii="Times New Roman" w:hAnsi="Times New Roman" w:eastAsia="仿宋_GB2312"/>
          <w:sz w:val="32"/>
          <w:szCs w:val="32"/>
        </w:rPr>
        <w:t>万元，用于召开农机购置补贴、</w:t>
      </w:r>
      <w:r>
        <w:rPr>
          <w:rFonts w:ascii="Times New Roman" w:hAnsi="Times New Roman" w:eastAsia="仿宋_GB2312"/>
          <w:sz w:val="32"/>
          <w:szCs w:val="32"/>
        </w:rPr>
        <w:t>新机具推广演示</w:t>
      </w:r>
      <w:r>
        <w:rPr>
          <w:rFonts w:hint="eastAsia" w:ascii="Times New Roman" w:hAnsi="Times New Roman" w:eastAsia="仿宋_GB2312"/>
          <w:sz w:val="32"/>
          <w:szCs w:val="32"/>
        </w:rPr>
        <w:t>会</w:t>
      </w:r>
      <w:r>
        <w:rPr>
          <w:rFonts w:ascii="Times New Roman" w:hAnsi="Times New Roman" w:eastAsia="仿宋_GB2312"/>
          <w:sz w:val="32"/>
          <w:szCs w:val="32"/>
        </w:rPr>
        <w:t>、</w:t>
      </w:r>
      <w:r>
        <w:rPr>
          <w:rFonts w:hint="eastAsia" w:ascii="Times New Roman" w:hAnsi="Times New Roman" w:eastAsia="仿宋_GB2312"/>
          <w:sz w:val="32"/>
          <w:szCs w:val="32"/>
        </w:rPr>
        <w:t>农机安全生产、拖拉机年检和驾驶人年审会议，人数</w:t>
      </w:r>
      <w:r>
        <w:rPr>
          <w:rFonts w:ascii="Times New Roman" w:hAnsi="Times New Roman" w:eastAsia="仿宋_GB2312"/>
          <w:sz w:val="32"/>
          <w:szCs w:val="32"/>
        </w:rPr>
        <w:t>533</w:t>
      </w:r>
      <w:r>
        <w:rPr>
          <w:rFonts w:hint="eastAsia" w:ascii="Times New Roman" w:hAnsi="Times New Roman" w:eastAsia="仿宋_GB2312"/>
          <w:sz w:val="32"/>
          <w:szCs w:val="32"/>
        </w:rPr>
        <w:t>人，内容为农机购置补贴、</w:t>
      </w:r>
      <w:r>
        <w:rPr>
          <w:rFonts w:ascii="Times New Roman" w:hAnsi="Times New Roman" w:eastAsia="仿宋_GB2312"/>
          <w:sz w:val="32"/>
          <w:szCs w:val="32"/>
        </w:rPr>
        <w:t>新机具推广演示</w:t>
      </w:r>
      <w:r>
        <w:rPr>
          <w:rFonts w:hint="eastAsia" w:ascii="Times New Roman" w:hAnsi="Times New Roman" w:eastAsia="仿宋_GB2312"/>
          <w:sz w:val="32"/>
          <w:szCs w:val="32"/>
        </w:rPr>
        <w:t>会</w:t>
      </w:r>
      <w:r>
        <w:rPr>
          <w:rFonts w:ascii="Times New Roman" w:hAnsi="Times New Roman" w:eastAsia="仿宋_GB2312"/>
          <w:sz w:val="32"/>
          <w:szCs w:val="32"/>
        </w:rPr>
        <w:t>、</w:t>
      </w:r>
      <w:r>
        <w:rPr>
          <w:rFonts w:hint="eastAsia" w:ascii="Times New Roman" w:hAnsi="Times New Roman" w:eastAsia="仿宋_GB2312"/>
          <w:sz w:val="32"/>
          <w:szCs w:val="32"/>
        </w:rPr>
        <w:t>农机安全生产、拖拉机年检和驾驶人年审；开支培训费</w:t>
      </w:r>
      <w:r>
        <w:rPr>
          <w:rFonts w:ascii="Times New Roman" w:hAnsi="Times New Roman" w:eastAsia="仿宋_GB2312"/>
          <w:sz w:val="32"/>
          <w:szCs w:val="32"/>
        </w:rPr>
        <w:t>34.99万元，用于开展</w:t>
      </w:r>
      <w:r>
        <w:rPr>
          <w:rFonts w:hint="eastAsia" w:ascii="Times New Roman" w:hAnsi="Times New Roman" w:eastAsia="仿宋_GB2312"/>
          <w:sz w:val="32"/>
          <w:szCs w:val="32"/>
        </w:rPr>
        <w:t>机插</w:t>
      </w:r>
      <w:r>
        <w:rPr>
          <w:rFonts w:ascii="Times New Roman" w:hAnsi="Times New Roman" w:eastAsia="仿宋_GB2312"/>
          <w:sz w:val="32"/>
          <w:szCs w:val="32"/>
        </w:rPr>
        <w:t>机抛</w:t>
      </w:r>
      <w:r>
        <w:rPr>
          <w:rFonts w:hint="eastAsia" w:ascii="Times New Roman" w:hAnsi="Times New Roman" w:eastAsia="仿宋_GB2312"/>
          <w:sz w:val="32"/>
          <w:szCs w:val="32"/>
        </w:rPr>
        <w:t>培训和农机驾驶人培训</w:t>
      </w:r>
      <w:r>
        <w:rPr>
          <w:rFonts w:ascii="Times New Roman" w:hAnsi="Times New Roman" w:eastAsia="仿宋_GB2312"/>
          <w:sz w:val="32"/>
          <w:szCs w:val="32"/>
        </w:rPr>
        <w:t>，人数240人，内容为</w:t>
      </w:r>
      <w:r>
        <w:rPr>
          <w:rFonts w:hint="eastAsia" w:ascii="Times New Roman" w:hAnsi="Times New Roman" w:eastAsia="仿宋_GB2312"/>
          <w:sz w:val="32"/>
          <w:szCs w:val="32"/>
        </w:rPr>
        <w:t>机插</w:t>
      </w:r>
      <w:r>
        <w:rPr>
          <w:rFonts w:ascii="Times New Roman" w:hAnsi="Times New Roman" w:eastAsia="仿宋_GB2312"/>
          <w:sz w:val="32"/>
          <w:szCs w:val="32"/>
        </w:rPr>
        <w:t>机抛</w:t>
      </w:r>
      <w:r>
        <w:rPr>
          <w:rFonts w:hint="eastAsia" w:ascii="Times New Roman" w:hAnsi="Times New Roman" w:eastAsia="仿宋_GB2312"/>
          <w:sz w:val="32"/>
          <w:szCs w:val="32"/>
        </w:rPr>
        <w:t>培训和农机驾驶人培训</w:t>
      </w:r>
      <w:r>
        <w:rPr>
          <w:rFonts w:ascii="Times New Roman" w:hAnsi="Times New Roman" w:eastAsia="仿宋_GB2312"/>
          <w:sz w:val="32"/>
          <w:szCs w:val="32"/>
        </w:rPr>
        <w:t>；</w:t>
      </w:r>
      <w:r>
        <w:rPr>
          <w:rFonts w:hint="eastAsia" w:ascii="Times New Roman" w:hAnsi="Times New Roman" w:eastAsia="仿宋_GB2312"/>
          <w:sz w:val="32"/>
          <w:szCs w:val="32"/>
        </w:rPr>
        <w:t>未</w:t>
      </w:r>
      <w:r>
        <w:rPr>
          <w:rFonts w:ascii="Times New Roman" w:hAnsi="Times New Roman" w:eastAsia="仿宋_GB2312"/>
          <w:sz w:val="32"/>
          <w:szCs w:val="32"/>
        </w:rPr>
        <w:t>举办节庆、晚会、论坛、赛事活动，开支0万元，主要是</w:t>
      </w:r>
      <w:r>
        <w:rPr>
          <w:rFonts w:hint="eastAsia" w:ascii="Times New Roman" w:hAnsi="Times New Roman" w:eastAsia="仿宋_GB2312"/>
          <w:sz w:val="32"/>
          <w:szCs w:val="32"/>
        </w:rPr>
        <w:t>未计划举办节庆、晚会、论坛、赛事活动。</w:t>
      </w:r>
    </w:p>
    <w:p w14:paraId="2517992D">
      <w:pPr>
        <w:pStyle w:val="14"/>
        <w:spacing w:line="360" w:lineRule="auto"/>
        <w:ind w:firstLine="640" w:firstLineChars="200"/>
        <w:rPr>
          <w:rFonts w:hAnsi="黑体"/>
          <w:color w:val="auto"/>
          <w:kern w:val="2"/>
          <w:sz w:val="32"/>
          <w:szCs w:val="32"/>
        </w:rPr>
      </w:pPr>
      <w:r>
        <w:rPr>
          <w:rFonts w:hint="eastAsia" w:hAnsi="黑体"/>
          <w:color w:val="auto"/>
          <w:kern w:val="2"/>
          <w:sz w:val="32"/>
          <w:szCs w:val="32"/>
        </w:rPr>
        <w:t>十二、关于政府采购支出说明</w:t>
      </w:r>
    </w:p>
    <w:p w14:paraId="53DD23F8">
      <w:pPr>
        <w:pStyle w:val="14"/>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本部门2023年度政府采购支出总额</w:t>
      </w:r>
      <w:r>
        <w:rPr>
          <w:rFonts w:ascii="Times New Roman" w:hAnsi="Times New Roman" w:eastAsia="仿宋_GB2312"/>
          <w:sz w:val="32"/>
          <w:szCs w:val="32"/>
        </w:rPr>
        <w:t>9.89</w:t>
      </w:r>
      <w:r>
        <w:rPr>
          <w:rFonts w:hint="eastAsia" w:ascii="Times New Roman" w:hAnsi="Times New Roman" w:eastAsia="仿宋_GB2312"/>
          <w:sz w:val="32"/>
          <w:szCs w:val="32"/>
        </w:rPr>
        <w:t>万元，其中：政府采购货物支出</w:t>
      </w:r>
      <w:r>
        <w:rPr>
          <w:rFonts w:ascii="Times New Roman" w:hAnsi="Times New Roman" w:eastAsia="仿宋_GB2312"/>
          <w:sz w:val="32"/>
          <w:szCs w:val="32"/>
        </w:rPr>
        <w:t>6.76</w:t>
      </w:r>
      <w:r>
        <w:rPr>
          <w:rFonts w:hint="eastAsia" w:ascii="Times New Roman" w:hAnsi="Times New Roman" w:eastAsia="仿宋_GB2312"/>
          <w:sz w:val="32"/>
          <w:szCs w:val="32"/>
        </w:rPr>
        <w:t>万元、政府采购工程支出</w:t>
      </w:r>
      <w:r>
        <w:rPr>
          <w:rFonts w:ascii="Times New Roman" w:hAnsi="Times New Roman" w:eastAsia="仿宋_GB2312"/>
          <w:sz w:val="32"/>
          <w:szCs w:val="32"/>
        </w:rPr>
        <w:t>0</w:t>
      </w:r>
      <w:r>
        <w:rPr>
          <w:rFonts w:hint="eastAsia" w:ascii="Times New Roman" w:hAnsi="Times New Roman" w:eastAsia="仿宋_GB2312"/>
          <w:sz w:val="32"/>
          <w:szCs w:val="32"/>
        </w:rPr>
        <w:t>万元、政府采购服务支出</w:t>
      </w:r>
      <w:r>
        <w:rPr>
          <w:rFonts w:ascii="Times New Roman" w:hAnsi="Times New Roman" w:eastAsia="仿宋_GB2312"/>
          <w:sz w:val="32"/>
          <w:szCs w:val="32"/>
        </w:rPr>
        <w:t>3.13</w:t>
      </w:r>
      <w:r>
        <w:rPr>
          <w:rFonts w:hint="eastAsia" w:ascii="Times New Roman" w:hAnsi="Times New Roman" w:eastAsia="仿宋_GB2312"/>
          <w:sz w:val="32"/>
          <w:szCs w:val="32"/>
        </w:rPr>
        <w:t>万元。授予中小企业合同金额</w:t>
      </w:r>
      <w:r>
        <w:rPr>
          <w:rFonts w:ascii="Times New Roman" w:hAnsi="Times New Roman" w:eastAsia="仿宋_GB2312"/>
          <w:sz w:val="32"/>
          <w:szCs w:val="32"/>
        </w:rPr>
        <w:t>9.89</w:t>
      </w:r>
      <w:r>
        <w:rPr>
          <w:rFonts w:hint="eastAsia" w:ascii="Times New Roman" w:hAnsi="Times New Roman" w:eastAsia="仿宋_GB2312"/>
          <w:sz w:val="32"/>
          <w:szCs w:val="32"/>
        </w:rPr>
        <w:t>万元，占政府采购支出总额的</w:t>
      </w:r>
      <w:r>
        <w:rPr>
          <w:rFonts w:ascii="Times New Roman" w:hAnsi="Times New Roman" w:eastAsia="仿宋_GB2312"/>
          <w:sz w:val="32"/>
          <w:szCs w:val="32"/>
        </w:rPr>
        <w:t>100</w:t>
      </w:r>
      <w:r>
        <w:rPr>
          <w:rFonts w:hint="eastAsia" w:ascii="Times New Roman" w:hAnsi="Times New Roman" w:eastAsia="仿宋_GB2312"/>
          <w:sz w:val="32"/>
          <w:szCs w:val="32"/>
        </w:rPr>
        <w:t>%，其中：授予小微企业合同金额</w:t>
      </w:r>
      <w:r>
        <w:rPr>
          <w:rFonts w:ascii="Times New Roman" w:hAnsi="Times New Roman" w:eastAsia="仿宋_GB2312"/>
          <w:sz w:val="32"/>
          <w:szCs w:val="32"/>
        </w:rPr>
        <w:t>9.89</w:t>
      </w:r>
      <w:r>
        <w:rPr>
          <w:rFonts w:hint="eastAsia" w:ascii="Times New Roman" w:hAnsi="Times New Roman" w:eastAsia="仿宋_GB2312"/>
          <w:sz w:val="32"/>
          <w:szCs w:val="32"/>
        </w:rPr>
        <w:t>万元，占授予中小企业合同金额的</w:t>
      </w:r>
      <w:r>
        <w:rPr>
          <w:rFonts w:ascii="Times New Roman" w:hAnsi="Times New Roman" w:eastAsia="仿宋_GB2312"/>
          <w:sz w:val="32"/>
          <w:szCs w:val="32"/>
        </w:rPr>
        <w:t>100</w:t>
      </w:r>
      <w:r>
        <w:rPr>
          <w:rFonts w:hint="eastAsia" w:ascii="Times New Roman" w:hAnsi="Times New Roman" w:eastAsia="仿宋_GB2312"/>
          <w:sz w:val="32"/>
          <w:szCs w:val="32"/>
        </w:rPr>
        <w:t>%。货物采购授予中小企业合同金额占货物支出金额的</w:t>
      </w:r>
      <w:r>
        <w:rPr>
          <w:rFonts w:ascii="Times New Roman" w:hAnsi="Times New Roman" w:eastAsia="仿宋_GB2312"/>
          <w:sz w:val="32"/>
          <w:szCs w:val="32"/>
        </w:rPr>
        <w:t>68.35</w:t>
      </w:r>
      <w:r>
        <w:rPr>
          <w:rFonts w:hint="eastAsia" w:ascii="Times New Roman" w:hAnsi="Times New Roman" w:eastAsia="仿宋_GB2312"/>
          <w:sz w:val="32"/>
          <w:szCs w:val="32"/>
        </w:rPr>
        <w:t>%，工程采购授予中小企业合同金额占工程支出金额的</w:t>
      </w:r>
      <w:r>
        <w:rPr>
          <w:rFonts w:ascii="Times New Roman" w:hAnsi="Times New Roman" w:eastAsia="仿宋_GB2312"/>
          <w:sz w:val="32"/>
          <w:szCs w:val="32"/>
        </w:rPr>
        <w:t>0</w:t>
      </w:r>
      <w:r>
        <w:rPr>
          <w:rFonts w:hint="eastAsia" w:ascii="Times New Roman" w:hAnsi="Times New Roman" w:eastAsia="仿宋_GB2312"/>
          <w:sz w:val="32"/>
          <w:szCs w:val="32"/>
        </w:rPr>
        <w:t>%，服务采购授予中小企业合同金额占服务支出金额的</w:t>
      </w:r>
      <w:r>
        <w:rPr>
          <w:rFonts w:ascii="Times New Roman" w:hAnsi="Times New Roman" w:eastAsia="仿宋_GB2312"/>
          <w:sz w:val="32"/>
          <w:szCs w:val="32"/>
        </w:rPr>
        <w:t>31.</w:t>
      </w:r>
    </w:p>
    <w:p w14:paraId="0DF9EEEF">
      <w:pPr>
        <w:pStyle w:val="14"/>
        <w:spacing w:line="360" w:lineRule="auto"/>
        <w:rPr>
          <w:rFonts w:ascii="Times New Roman" w:hAnsi="Times New Roman" w:eastAsia="仿宋_GB2312"/>
          <w:sz w:val="32"/>
          <w:szCs w:val="32"/>
        </w:rPr>
      </w:pPr>
      <w:r>
        <w:rPr>
          <w:rFonts w:ascii="Times New Roman" w:hAnsi="Times New Roman" w:eastAsia="仿宋_GB2312"/>
          <w:sz w:val="32"/>
          <w:szCs w:val="32"/>
        </w:rPr>
        <w:t>65</w:t>
      </w:r>
      <w:r>
        <w:rPr>
          <w:rFonts w:hint="eastAsia" w:ascii="Times New Roman" w:hAnsi="Times New Roman" w:eastAsia="仿宋_GB2312"/>
          <w:sz w:val="32"/>
          <w:szCs w:val="32"/>
        </w:rPr>
        <w:t>%。</w:t>
      </w:r>
    </w:p>
    <w:p w14:paraId="2056CC36">
      <w:pPr>
        <w:pStyle w:val="14"/>
        <w:spacing w:line="600" w:lineRule="exact"/>
        <w:ind w:firstLine="640" w:firstLineChars="200"/>
        <w:rPr>
          <w:rFonts w:hAnsi="黑体"/>
          <w:color w:val="auto"/>
          <w:kern w:val="2"/>
          <w:sz w:val="32"/>
          <w:szCs w:val="32"/>
        </w:rPr>
      </w:pPr>
      <w:r>
        <w:rPr>
          <w:rFonts w:hint="eastAsia" w:hAnsi="黑体"/>
          <w:color w:val="auto"/>
          <w:kern w:val="2"/>
          <w:sz w:val="32"/>
          <w:szCs w:val="32"/>
        </w:rPr>
        <w:t>十三、关于国有资产占用情况说明</w:t>
      </w:r>
    </w:p>
    <w:p w14:paraId="4B4DC004">
      <w:pPr>
        <w:pStyle w:val="14"/>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截至2023年12月31日，本单位共有车辆</w:t>
      </w:r>
      <w:r>
        <w:rPr>
          <w:rFonts w:ascii="Times New Roman" w:hAnsi="Times New Roman" w:eastAsia="仿宋_GB2312"/>
          <w:sz w:val="32"/>
          <w:szCs w:val="32"/>
        </w:rPr>
        <w:t>0</w:t>
      </w:r>
      <w:r>
        <w:rPr>
          <w:rFonts w:hint="eastAsia" w:ascii="Times New Roman" w:hAnsi="Times New Roman" w:eastAsia="仿宋_GB2312"/>
          <w:sz w:val="32"/>
          <w:szCs w:val="32"/>
        </w:rPr>
        <w:t>辆，其中，主要领导干部用车</w:t>
      </w:r>
      <w:r>
        <w:rPr>
          <w:rFonts w:ascii="Times New Roman" w:hAnsi="Times New Roman" w:eastAsia="仿宋_GB2312"/>
          <w:sz w:val="32"/>
          <w:szCs w:val="32"/>
        </w:rPr>
        <w:t>0</w:t>
      </w:r>
      <w:r>
        <w:rPr>
          <w:rFonts w:hint="eastAsia" w:ascii="Times New Roman" w:hAnsi="Times New Roman" w:eastAsia="仿宋_GB2312"/>
          <w:sz w:val="32"/>
          <w:szCs w:val="32"/>
        </w:rPr>
        <w:t>辆，机要通信用车</w:t>
      </w:r>
      <w:r>
        <w:rPr>
          <w:rFonts w:ascii="Times New Roman" w:hAnsi="Times New Roman" w:eastAsia="仿宋_GB2312"/>
          <w:sz w:val="32"/>
          <w:szCs w:val="32"/>
        </w:rPr>
        <w:t>0</w:t>
      </w:r>
      <w:r>
        <w:rPr>
          <w:rFonts w:hint="eastAsia" w:ascii="Times New Roman" w:hAnsi="Times New Roman" w:eastAsia="仿宋_GB2312"/>
          <w:sz w:val="32"/>
          <w:szCs w:val="32"/>
        </w:rPr>
        <w:t>辆、应急保障用车</w:t>
      </w:r>
      <w:r>
        <w:rPr>
          <w:rFonts w:ascii="Times New Roman" w:hAnsi="Times New Roman" w:eastAsia="仿宋_GB2312"/>
          <w:sz w:val="32"/>
          <w:szCs w:val="32"/>
        </w:rPr>
        <w:t>0</w:t>
      </w:r>
      <w:r>
        <w:rPr>
          <w:rFonts w:hint="eastAsia" w:ascii="Times New Roman" w:hAnsi="Times New Roman" w:eastAsia="仿宋_GB2312"/>
          <w:sz w:val="32"/>
          <w:szCs w:val="32"/>
        </w:rPr>
        <w:t>辆、执法执勤用车</w:t>
      </w:r>
      <w:r>
        <w:rPr>
          <w:rFonts w:ascii="Times New Roman" w:hAnsi="Times New Roman" w:eastAsia="仿宋_GB2312"/>
          <w:sz w:val="32"/>
          <w:szCs w:val="32"/>
        </w:rPr>
        <w:t>0</w:t>
      </w:r>
      <w:r>
        <w:rPr>
          <w:rFonts w:hint="eastAsia" w:ascii="Times New Roman" w:hAnsi="Times New Roman" w:eastAsia="仿宋_GB2312"/>
          <w:sz w:val="32"/>
          <w:szCs w:val="32"/>
        </w:rPr>
        <w:t>辆、特种专业技术用车</w:t>
      </w:r>
      <w:r>
        <w:rPr>
          <w:rFonts w:ascii="Times New Roman" w:hAnsi="Times New Roman" w:eastAsia="仿宋_GB2312"/>
          <w:sz w:val="32"/>
          <w:szCs w:val="32"/>
        </w:rPr>
        <w:t>0</w:t>
      </w:r>
      <w:r>
        <w:rPr>
          <w:rFonts w:hint="eastAsia" w:ascii="Times New Roman" w:hAnsi="Times New Roman" w:eastAsia="仿宋_GB2312"/>
          <w:sz w:val="32"/>
          <w:szCs w:val="32"/>
        </w:rPr>
        <w:t>辆、其他用车</w:t>
      </w:r>
      <w:r>
        <w:rPr>
          <w:rFonts w:ascii="Times New Roman" w:hAnsi="Times New Roman" w:eastAsia="仿宋_GB2312"/>
          <w:sz w:val="32"/>
          <w:szCs w:val="32"/>
        </w:rPr>
        <w:t>0</w:t>
      </w:r>
      <w:r>
        <w:rPr>
          <w:rFonts w:hint="eastAsia" w:ascii="Times New Roman" w:hAnsi="Times New Roman" w:eastAsia="仿宋_GB2312"/>
          <w:sz w:val="32"/>
          <w:szCs w:val="32"/>
        </w:rPr>
        <w:t>辆；单位价值50万元以上通用设备</w:t>
      </w:r>
      <w:r>
        <w:rPr>
          <w:rFonts w:ascii="Times New Roman" w:hAnsi="Times New Roman" w:eastAsia="仿宋_GB2312"/>
          <w:sz w:val="32"/>
          <w:szCs w:val="32"/>
        </w:rPr>
        <w:t>0</w:t>
      </w:r>
      <w:r>
        <w:rPr>
          <w:rFonts w:hint="eastAsia" w:ascii="Times New Roman" w:hAnsi="Times New Roman" w:eastAsia="仿宋_GB2312"/>
          <w:sz w:val="32"/>
          <w:szCs w:val="32"/>
        </w:rPr>
        <w:t>台（套）；单位价值100万元以上专用设备</w:t>
      </w:r>
      <w:r>
        <w:rPr>
          <w:rFonts w:ascii="Times New Roman" w:hAnsi="Times New Roman" w:eastAsia="仿宋_GB2312"/>
          <w:sz w:val="32"/>
          <w:szCs w:val="32"/>
        </w:rPr>
        <w:t>0</w:t>
      </w:r>
      <w:r>
        <w:rPr>
          <w:rFonts w:hint="eastAsia" w:ascii="Times New Roman" w:hAnsi="Times New Roman" w:eastAsia="仿宋_GB2312"/>
          <w:sz w:val="32"/>
          <w:szCs w:val="32"/>
        </w:rPr>
        <w:t>台（套）。</w:t>
      </w:r>
    </w:p>
    <w:p w14:paraId="1BCDABF0">
      <w:pPr>
        <w:pStyle w:val="14"/>
        <w:spacing w:line="600" w:lineRule="exact"/>
        <w:ind w:firstLine="640" w:firstLineChars="200"/>
        <w:rPr>
          <w:rFonts w:hAnsi="黑体"/>
          <w:color w:val="auto"/>
          <w:kern w:val="2"/>
          <w:sz w:val="32"/>
          <w:szCs w:val="32"/>
        </w:rPr>
      </w:pPr>
      <w:r>
        <w:rPr>
          <w:rFonts w:hint="eastAsia" w:hAnsi="黑体"/>
          <w:color w:val="auto"/>
          <w:kern w:val="2"/>
          <w:sz w:val="32"/>
          <w:szCs w:val="32"/>
        </w:rPr>
        <w:t>十四、关于2023年度绩效评价情况的说明</w:t>
      </w:r>
    </w:p>
    <w:p w14:paraId="5D9E1670">
      <w:pPr>
        <w:pStyle w:val="14"/>
        <w:spacing w:line="360" w:lineRule="auto"/>
        <w:ind w:firstLine="640" w:firstLineChars="200"/>
        <w:rPr>
          <w:rFonts w:ascii="楷体" w:hAnsi="楷体" w:eastAsia="楷体" w:cs="楷体"/>
          <w:bCs/>
          <w:sz w:val="32"/>
          <w:szCs w:val="32"/>
        </w:rPr>
      </w:pPr>
      <w:r>
        <w:rPr>
          <w:rFonts w:hint="eastAsia" w:ascii="楷体" w:hAnsi="楷体" w:eastAsia="楷体" w:cs="楷体"/>
          <w:bCs/>
          <w:sz w:val="32"/>
          <w:szCs w:val="32"/>
        </w:rPr>
        <w:t>（1）绩效管理评价工作开展情况。</w:t>
      </w:r>
    </w:p>
    <w:p w14:paraId="7CF310F2">
      <w:pPr>
        <w:pStyle w:val="14"/>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根据预算绩效管理要求，我部门组织对</w:t>
      </w:r>
      <w:r>
        <w:rPr>
          <w:rFonts w:ascii="Times New Roman" w:hAnsi="Times New Roman" w:eastAsia="仿宋_GB2312"/>
          <w:sz w:val="32"/>
          <w:szCs w:val="32"/>
        </w:rPr>
        <w:t>2023年度一般公共预算项目支出全面开展绩效自评，其中，一级项目0个，二级项目1个，共涉及资金2031.84万元，占一般公共预算项目支出总额的89.83%。组织对2023年度0个政府性基金预算项目支出开展绩效自评，共涉及资金0万元，占政府性基金预算项目支出总额的0%。组织对2023年度0个国有资本经营预算项目支出开展绩效自评，共涉及资金0万元，占国有资本经营预算项目支出总额的0%。</w:t>
      </w:r>
    </w:p>
    <w:p w14:paraId="03AF810E">
      <w:pPr>
        <w:spacing w:line="560" w:lineRule="exact"/>
        <w:ind w:firstLine="640" w:firstLineChars="200"/>
        <w:rPr>
          <w:rFonts w:ascii="仿宋" w:hAnsi="仿宋" w:eastAsia="仿宋" w:cs="方正书宋_GBK"/>
          <w:bCs/>
          <w:sz w:val="32"/>
          <w:szCs w:val="32"/>
        </w:rPr>
      </w:pPr>
      <w:r>
        <w:rPr>
          <w:rFonts w:hint="eastAsia" w:ascii="Times New Roman" w:hAnsi="Times New Roman" w:eastAsia="仿宋_GB2312"/>
          <w:sz w:val="32"/>
          <w:szCs w:val="32"/>
        </w:rPr>
        <w:t>组织对农机购置补贴等</w:t>
      </w:r>
      <w:r>
        <w:rPr>
          <w:rFonts w:ascii="Times New Roman" w:hAnsi="Times New Roman" w:eastAsia="仿宋_GB2312"/>
          <w:sz w:val="32"/>
          <w:szCs w:val="32"/>
        </w:rPr>
        <w:t>1</w:t>
      </w:r>
      <w:r>
        <w:rPr>
          <w:rFonts w:hint="eastAsia" w:ascii="Times New Roman" w:hAnsi="Times New Roman" w:eastAsia="仿宋_GB2312"/>
          <w:sz w:val="32"/>
          <w:szCs w:val="32"/>
        </w:rPr>
        <w:t>个项目开展了部门评价，涉及一般公共预算支出</w:t>
      </w:r>
      <w:r>
        <w:rPr>
          <w:rFonts w:ascii="Times New Roman" w:hAnsi="Times New Roman" w:eastAsia="仿宋_GB2312"/>
          <w:sz w:val="32"/>
          <w:szCs w:val="32"/>
        </w:rPr>
        <w:t>2031.84</w:t>
      </w:r>
      <w:r>
        <w:rPr>
          <w:rFonts w:hint="eastAsia" w:ascii="Times New Roman" w:hAnsi="Times New Roman" w:eastAsia="仿宋_GB2312"/>
          <w:sz w:val="32"/>
          <w:szCs w:val="32"/>
        </w:rPr>
        <w:t>万元，政府性基金预算支出</w:t>
      </w:r>
      <w:r>
        <w:rPr>
          <w:rFonts w:ascii="Times New Roman" w:hAnsi="Times New Roman" w:eastAsia="仿宋_GB2312"/>
          <w:sz w:val="32"/>
          <w:szCs w:val="32"/>
        </w:rPr>
        <w:t>0</w:t>
      </w:r>
      <w:r>
        <w:rPr>
          <w:rFonts w:hint="eastAsia" w:ascii="Times New Roman" w:hAnsi="Times New Roman" w:eastAsia="仿宋_GB2312"/>
          <w:sz w:val="32"/>
          <w:szCs w:val="32"/>
        </w:rPr>
        <w:t>万元，国有资本经营预算支出</w:t>
      </w:r>
      <w:r>
        <w:rPr>
          <w:rFonts w:ascii="Times New Roman" w:hAnsi="Times New Roman" w:eastAsia="仿宋_GB2312"/>
          <w:sz w:val="32"/>
          <w:szCs w:val="32"/>
        </w:rPr>
        <w:t>0</w:t>
      </w:r>
      <w:r>
        <w:rPr>
          <w:rFonts w:hint="eastAsia" w:ascii="Times New Roman" w:hAnsi="Times New Roman" w:eastAsia="仿宋_GB2312"/>
          <w:sz w:val="32"/>
          <w:szCs w:val="32"/>
        </w:rPr>
        <w:t>万元。从评价情况来看，</w:t>
      </w:r>
      <w:r>
        <w:rPr>
          <w:rFonts w:hint="eastAsia" w:ascii="Times New Roman" w:hAnsi="Times New Roman" w:eastAsia="仿宋_GB2312" w:cs="黑体"/>
          <w:color w:val="000000"/>
          <w:kern w:val="0"/>
          <w:sz w:val="32"/>
          <w:szCs w:val="32"/>
        </w:rPr>
        <w:t>农机购置补贴政策的落实，促进了我县农业机械化水平的显著提高，充分发挥了农业机械在农业生产中主力军的作用，通过农机购置补贴，拉动全县农业</w:t>
      </w:r>
      <w:r>
        <w:rPr>
          <w:rFonts w:ascii="Times New Roman" w:hAnsi="Times New Roman" w:eastAsia="仿宋_GB2312" w:cs="黑体"/>
          <w:color w:val="000000"/>
          <w:kern w:val="0"/>
          <w:sz w:val="32"/>
          <w:szCs w:val="32"/>
        </w:rPr>
        <w:t>机械</w:t>
      </w:r>
      <w:r>
        <w:rPr>
          <w:rFonts w:hint="eastAsia" w:ascii="Times New Roman" w:hAnsi="Times New Roman" w:eastAsia="仿宋_GB2312" w:cs="黑体"/>
          <w:color w:val="000000"/>
          <w:kern w:val="0"/>
          <w:sz w:val="32"/>
          <w:szCs w:val="32"/>
        </w:rPr>
        <w:t>投入1000多万元以上，有力促进了我县经济的健康发展</w:t>
      </w:r>
      <w:r>
        <w:rPr>
          <w:rFonts w:hint="eastAsia" w:ascii="仿宋" w:hAnsi="仿宋" w:eastAsia="仿宋" w:cs="方正书宋_GBK"/>
          <w:bCs/>
          <w:sz w:val="32"/>
          <w:szCs w:val="32"/>
        </w:rPr>
        <w:t>。</w:t>
      </w:r>
    </w:p>
    <w:p w14:paraId="4CA683A5">
      <w:pPr>
        <w:spacing w:line="560" w:lineRule="exact"/>
        <w:ind w:firstLine="640" w:firstLineChars="200"/>
        <w:rPr>
          <w:rFonts w:ascii="Times New Roman" w:hAnsi="Times New Roman" w:eastAsia="仿宋_GB2312" w:cs="黑体"/>
          <w:color w:val="000000"/>
          <w:kern w:val="0"/>
          <w:sz w:val="32"/>
          <w:szCs w:val="32"/>
        </w:rPr>
      </w:pPr>
      <w:r>
        <w:rPr>
          <w:rFonts w:hint="eastAsia" w:ascii="Times New Roman" w:hAnsi="Times New Roman" w:eastAsia="仿宋_GB2312"/>
          <w:sz w:val="32"/>
          <w:szCs w:val="32"/>
        </w:rPr>
        <w:t>组织对岳阳县农业机械化</w:t>
      </w:r>
      <w:r>
        <w:rPr>
          <w:rFonts w:ascii="Times New Roman" w:hAnsi="Times New Roman" w:eastAsia="仿宋_GB2312"/>
          <w:sz w:val="32"/>
          <w:szCs w:val="32"/>
        </w:rPr>
        <w:t>服务中心</w:t>
      </w:r>
      <w:r>
        <w:rPr>
          <w:rFonts w:hint="eastAsia" w:ascii="Times New Roman" w:hAnsi="Times New Roman" w:eastAsia="仿宋_GB2312"/>
          <w:sz w:val="32"/>
          <w:szCs w:val="32"/>
        </w:rPr>
        <w:t>等</w:t>
      </w:r>
      <w:r>
        <w:rPr>
          <w:rFonts w:ascii="Times New Roman" w:hAnsi="Times New Roman" w:eastAsia="仿宋_GB2312"/>
          <w:sz w:val="32"/>
          <w:szCs w:val="32"/>
        </w:rPr>
        <w:t>1</w:t>
      </w:r>
      <w:r>
        <w:rPr>
          <w:rFonts w:hint="eastAsia" w:ascii="Times New Roman" w:hAnsi="Times New Roman" w:eastAsia="仿宋_GB2312"/>
          <w:sz w:val="32"/>
          <w:szCs w:val="32"/>
        </w:rPr>
        <w:t>个单位开展整体支出绩效评价，涉及一般公共预算支出</w:t>
      </w:r>
      <w:r>
        <w:rPr>
          <w:rFonts w:ascii="Times New Roman" w:hAnsi="Times New Roman" w:eastAsia="仿宋_GB2312"/>
          <w:sz w:val="32"/>
          <w:szCs w:val="32"/>
        </w:rPr>
        <w:t>2744.12</w:t>
      </w:r>
      <w:r>
        <w:rPr>
          <w:rFonts w:hint="eastAsia" w:ascii="Times New Roman" w:hAnsi="Times New Roman" w:eastAsia="仿宋_GB2312"/>
          <w:sz w:val="32"/>
          <w:szCs w:val="32"/>
        </w:rPr>
        <w:t>万元，政府性基金预算支出</w:t>
      </w:r>
      <w:r>
        <w:rPr>
          <w:rFonts w:ascii="Times New Roman" w:hAnsi="Times New Roman" w:eastAsia="仿宋_GB2312"/>
          <w:sz w:val="32"/>
          <w:szCs w:val="32"/>
        </w:rPr>
        <w:t>0</w:t>
      </w:r>
      <w:r>
        <w:rPr>
          <w:rFonts w:hint="eastAsia" w:ascii="Times New Roman" w:hAnsi="Times New Roman" w:eastAsia="仿宋_GB2312"/>
          <w:sz w:val="32"/>
          <w:szCs w:val="32"/>
        </w:rPr>
        <w:t>万元。从评价情况来看，</w:t>
      </w:r>
      <w:r>
        <w:rPr>
          <w:rFonts w:hint="eastAsia" w:ascii="Times New Roman" w:hAnsi="Times New Roman" w:eastAsia="仿宋_GB2312" w:cs="黑体"/>
          <w:color w:val="000000"/>
          <w:kern w:val="0"/>
          <w:sz w:val="32"/>
          <w:szCs w:val="32"/>
        </w:rPr>
        <w:t>2023年在县委、县政府及县农业农村局的正确领导下，全体农机干部职工认真履行工作职责，扎实工作，开拓创新，推进了农机化工作健康持续发展。</w:t>
      </w:r>
    </w:p>
    <w:p w14:paraId="4B1653DD">
      <w:pPr>
        <w:pStyle w:val="14"/>
        <w:spacing w:line="360" w:lineRule="auto"/>
        <w:ind w:firstLine="640" w:firstLineChars="200"/>
        <w:rPr>
          <w:rFonts w:ascii="楷体" w:hAnsi="楷体" w:eastAsia="楷体" w:cs="楷体"/>
          <w:bCs/>
          <w:sz w:val="32"/>
          <w:szCs w:val="32"/>
        </w:rPr>
      </w:pPr>
      <w:r>
        <w:rPr>
          <w:rFonts w:hint="eastAsia" w:ascii="楷体" w:hAnsi="楷体" w:eastAsia="楷体" w:cs="楷体"/>
          <w:bCs/>
          <w:sz w:val="32"/>
          <w:szCs w:val="32"/>
        </w:rPr>
        <w:t>（2）部门决算中项目绩效自评结果。</w:t>
      </w:r>
    </w:p>
    <w:p w14:paraId="4F3A6015">
      <w:pPr>
        <w:spacing w:line="560" w:lineRule="exact"/>
        <w:ind w:firstLine="640" w:firstLineChars="200"/>
        <w:rPr>
          <w:rFonts w:ascii="Times New Roman" w:hAnsi="Times New Roman" w:eastAsia="仿宋_GB2312" w:cs="黑体"/>
          <w:color w:val="000000"/>
          <w:kern w:val="0"/>
          <w:sz w:val="32"/>
          <w:szCs w:val="32"/>
        </w:rPr>
      </w:pPr>
      <w:r>
        <w:rPr>
          <w:rFonts w:hint="eastAsia" w:ascii="Times New Roman" w:hAnsi="Times New Roman" w:eastAsia="仿宋_GB2312"/>
          <w:sz w:val="32"/>
          <w:szCs w:val="32"/>
        </w:rPr>
        <w:t>农机购置补贴项目绩效自评综述：根据年初设定的绩效目标，项目绩效自评得分为</w:t>
      </w:r>
      <w:r>
        <w:rPr>
          <w:rFonts w:ascii="Times New Roman" w:hAnsi="Times New Roman" w:eastAsia="仿宋_GB2312"/>
          <w:sz w:val="32"/>
          <w:szCs w:val="32"/>
        </w:rPr>
        <w:t>98</w:t>
      </w:r>
      <w:r>
        <w:rPr>
          <w:rFonts w:hint="eastAsia" w:ascii="Times New Roman" w:hAnsi="Times New Roman" w:eastAsia="仿宋_GB2312"/>
          <w:sz w:val="32"/>
          <w:szCs w:val="32"/>
        </w:rPr>
        <w:t>分。项目全年预算数为</w:t>
      </w:r>
      <w:r>
        <w:rPr>
          <w:rFonts w:ascii="Times New Roman" w:hAnsi="Times New Roman" w:eastAsia="仿宋_GB2312"/>
          <w:sz w:val="32"/>
          <w:szCs w:val="32"/>
        </w:rPr>
        <w:t>0</w:t>
      </w:r>
      <w:r>
        <w:rPr>
          <w:rFonts w:hint="eastAsia" w:ascii="Times New Roman" w:hAnsi="Times New Roman" w:eastAsia="仿宋_GB2312"/>
          <w:sz w:val="32"/>
          <w:szCs w:val="32"/>
        </w:rPr>
        <w:t>万元，执行数为</w:t>
      </w:r>
      <w:r>
        <w:rPr>
          <w:rFonts w:ascii="Times New Roman" w:hAnsi="Times New Roman" w:eastAsia="仿宋_GB2312"/>
          <w:sz w:val="32"/>
          <w:szCs w:val="32"/>
        </w:rPr>
        <w:t>2031.84</w:t>
      </w:r>
      <w:r>
        <w:rPr>
          <w:rFonts w:hint="eastAsia" w:ascii="Times New Roman" w:hAnsi="Times New Roman" w:eastAsia="仿宋_GB2312"/>
          <w:sz w:val="32"/>
          <w:szCs w:val="32"/>
        </w:rPr>
        <w:t>万元，完成预算的</w:t>
      </w:r>
      <w:r>
        <w:rPr>
          <w:rFonts w:ascii="Times New Roman" w:hAnsi="Times New Roman" w:eastAsia="仿宋_GB2312"/>
          <w:sz w:val="32"/>
          <w:szCs w:val="32"/>
        </w:rPr>
        <w:t>0</w:t>
      </w:r>
      <w:r>
        <w:rPr>
          <w:rFonts w:hint="eastAsia" w:ascii="Times New Roman" w:hAnsi="Times New Roman" w:eastAsia="仿宋_GB2312"/>
          <w:sz w:val="32"/>
          <w:szCs w:val="32"/>
        </w:rPr>
        <w:t>%。项目绩效目标完成情况：</w:t>
      </w:r>
      <w:r>
        <w:rPr>
          <w:rFonts w:hint="eastAsia" w:ascii="Times New Roman" w:hAnsi="Times New Roman" w:eastAsia="仿宋_GB2312" w:cs="黑体"/>
          <w:color w:val="000000"/>
          <w:kern w:val="0"/>
          <w:sz w:val="32"/>
          <w:szCs w:val="32"/>
        </w:rPr>
        <w:t>2023年争取农机购置补贴资金1445多万元，补贴农机具1379台/套,受益农户近852户，新增大型拖拉机125台/套、收割机185台/套、高速插秧机216台/套、有序抛秧机29台/套、烘干机10组、</w:t>
      </w:r>
      <w:r>
        <w:rPr>
          <w:rFonts w:ascii="Times New Roman" w:hAnsi="Times New Roman" w:eastAsia="仿宋_GB2312" w:cs="黑体"/>
          <w:color w:val="000000"/>
          <w:kern w:val="0"/>
          <w:sz w:val="32"/>
          <w:szCs w:val="32"/>
        </w:rPr>
        <w:t>新增简易育秧钢架大棚面积</w:t>
      </w:r>
      <w:r>
        <w:rPr>
          <w:rFonts w:hint="eastAsia" w:ascii="Times New Roman" w:hAnsi="Times New Roman" w:eastAsia="仿宋_GB2312" w:cs="黑体"/>
          <w:color w:val="000000"/>
          <w:kern w:val="0"/>
          <w:sz w:val="32"/>
          <w:szCs w:val="32"/>
        </w:rPr>
        <w:t>64350</w:t>
      </w:r>
      <w:r>
        <w:rPr>
          <w:rFonts w:ascii="Times New Roman" w:hAnsi="Times New Roman" w:eastAsia="仿宋_GB2312" w:cs="黑体"/>
          <w:color w:val="000000"/>
          <w:kern w:val="0"/>
          <w:sz w:val="32"/>
          <w:szCs w:val="32"/>
        </w:rPr>
        <w:t>m²，标准育秧钢架大棚面积</w:t>
      </w:r>
      <w:r>
        <w:rPr>
          <w:rFonts w:hint="eastAsia" w:ascii="Times New Roman" w:hAnsi="Times New Roman" w:eastAsia="仿宋_GB2312" w:cs="黑体"/>
          <w:color w:val="000000"/>
          <w:kern w:val="0"/>
          <w:sz w:val="32"/>
          <w:szCs w:val="32"/>
        </w:rPr>
        <w:t>25000</w:t>
      </w:r>
      <w:r>
        <w:rPr>
          <w:rFonts w:ascii="Times New Roman" w:hAnsi="Times New Roman" w:eastAsia="仿宋_GB2312" w:cs="黑体"/>
          <w:color w:val="000000"/>
          <w:kern w:val="0"/>
          <w:sz w:val="32"/>
          <w:szCs w:val="32"/>
        </w:rPr>
        <w:t>m²，完成机插（抛）秧作业面积</w:t>
      </w:r>
      <w:r>
        <w:rPr>
          <w:rFonts w:hint="eastAsia" w:ascii="Times New Roman" w:hAnsi="Times New Roman" w:eastAsia="仿宋_GB2312" w:cs="黑体"/>
          <w:color w:val="000000"/>
          <w:kern w:val="0"/>
          <w:sz w:val="32"/>
          <w:szCs w:val="32"/>
        </w:rPr>
        <w:t>131207.25</w:t>
      </w:r>
      <w:r>
        <w:rPr>
          <w:rFonts w:ascii="Times New Roman" w:hAnsi="Times New Roman" w:eastAsia="仿宋_GB2312" w:cs="黑体"/>
          <w:color w:val="000000"/>
          <w:kern w:val="0"/>
          <w:sz w:val="32"/>
          <w:szCs w:val="32"/>
        </w:rPr>
        <w:t>亩，其中机插秧作业面积</w:t>
      </w:r>
      <w:r>
        <w:rPr>
          <w:rFonts w:hint="eastAsia" w:ascii="Times New Roman" w:hAnsi="Times New Roman" w:eastAsia="仿宋_GB2312" w:cs="黑体"/>
          <w:color w:val="000000"/>
          <w:kern w:val="0"/>
          <w:sz w:val="32"/>
          <w:szCs w:val="32"/>
        </w:rPr>
        <w:t>89428.64</w:t>
      </w:r>
      <w:r>
        <w:rPr>
          <w:rFonts w:ascii="Times New Roman" w:hAnsi="Times New Roman" w:eastAsia="仿宋_GB2312" w:cs="黑体"/>
          <w:color w:val="000000"/>
          <w:kern w:val="0"/>
          <w:sz w:val="32"/>
          <w:szCs w:val="32"/>
        </w:rPr>
        <w:t>亩</w:t>
      </w:r>
      <w:r>
        <w:rPr>
          <w:rFonts w:hint="eastAsia" w:ascii="Times New Roman" w:hAnsi="Times New Roman" w:eastAsia="仿宋_GB2312" w:cs="黑体"/>
          <w:color w:val="000000"/>
          <w:kern w:val="0"/>
          <w:sz w:val="32"/>
          <w:szCs w:val="32"/>
        </w:rPr>
        <w:t>，</w:t>
      </w:r>
      <w:r>
        <w:rPr>
          <w:rFonts w:ascii="Times New Roman" w:hAnsi="Times New Roman" w:eastAsia="仿宋_GB2312" w:cs="黑体"/>
          <w:color w:val="000000"/>
          <w:kern w:val="0"/>
          <w:sz w:val="32"/>
          <w:szCs w:val="32"/>
        </w:rPr>
        <w:t>机抛秧作业面积</w:t>
      </w:r>
      <w:r>
        <w:rPr>
          <w:rFonts w:hint="eastAsia" w:ascii="Times New Roman" w:hAnsi="Times New Roman" w:eastAsia="仿宋_GB2312" w:cs="黑体"/>
          <w:color w:val="000000"/>
          <w:kern w:val="0"/>
          <w:sz w:val="32"/>
          <w:szCs w:val="32"/>
        </w:rPr>
        <w:t>41777.41</w:t>
      </w:r>
      <w:r>
        <w:rPr>
          <w:rFonts w:ascii="Times New Roman" w:hAnsi="Times New Roman" w:eastAsia="仿宋_GB2312" w:cs="黑体"/>
          <w:color w:val="000000"/>
          <w:kern w:val="0"/>
          <w:sz w:val="32"/>
          <w:szCs w:val="32"/>
        </w:rPr>
        <w:t>亩</w:t>
      </w:r>
      <w:r>
        <w:rPr>
          <w:rFonts w:hint="eastAsia" w:ascii="Times New Roman" w:hAnsi="Times New Roman" w:eastAsia="仿宋_GB2312" w:cs="黑体"/>
          <w:color w:val="000000"/>
          <w:kern w:val="0"/>
          <w:sz w:val="32"/>
          <w:szCs w:val="32"/>
        </w:rPr>
        <w:t>，机耕率达99.8%，机收率达99.5%，机插水平提高10%，全县水稻综合机械化率达85.9%。继续实施报废补贴项目，淘汰报废机具236台/套，报废补贴资金153多万元。</w:t>
      </w:r>
      <w:r>
        <w:rPr>
          <w:rFonts w:hint="eastAsia" w:ascii="Times New Roman" w:hAnsi="Times New Roman" w:eastAsia="仿宋_GB2312"/>
          <w:sz w:val="32"/>
          <w:szCs w:val="32"/>
        </w:rPr>
        <w:t>发现的主要问题及原因：</w:t>
      </w:r>
      <w:r>
        <w:rPr>
          <w:rFonts w:hint="eastAsia" w:ascii="Times New Roman" w:hAnsi="Times New Roman" w:eastAsia="仿宋_GB2312"/>
          <w:color w:val="000000"/>
          <w:sz w:val="32"/>
          <w:szCs w:val="32"/>
        </w:rPr>
        <w:t>一是没有充分发挥好农机购置补贴在农机推广中的重要作用；二是农机工作人员业务能力不强。下一步改进措施：一是加强对市场调研，将一些急需的机具纳入补贴，</w:t>
      </w:r>
      <w:r>
        <w:rPr>
          <w:rFonts w:hint="eastAsia" w:ascii="Times New Roman" w:hAnsi="Times New Roman" w:eastAsia="仿宋_GB2312"/>
          <w:color w:val="000000"/>
          <w:sz w:val="32"/>
          <w:szCs w:val="32"/>
          <w:lang w:eastAsia="zh-CN"/>
        </w:rPr>
        <w:t>更好地服务</w:t>
      </w:r>
      <w:r>
        <w:rPr>
          <w:rFonts w:hint="eastAsia" w:ascii="Times New Roman" w:hAnsi="Times New Roman" w:eastAsia="仿宋_GB2312"/>
          <w:color w:val="000000"/>
          <w:sz w:val="32"/>
          <w:szCs w:val="32"/>
        </w:rPr>
        <w:t>生产需要；二是在今后工作中，要加强农机队伍建设，打造一支生力军。</w:t>
      </w:r>
    </w:p>
    <w:p w14:paraId="67C078A6">
      <w:pPr>
        <w:pStyle w:val="14"/>
        <w:spacing w:line="360" w:lineRule="auto"/>
        <w:ind w:firstLine="640" w:firstLineChars="200"/>
        <w:rPr>
          <w:rFonts w:ascii="楷体" w:hAnsi="楷体" w:eastAsia="楷体" w:cs="楷体"/>
          <w:bCs/>
          <w:sz w:val="32"/>
          <w:szCs w:val="32"/>
        </w:rPr>
      </w:pPr>
      <w:r>
        <w:rPr>
          <w:rFonts w:hint="eastAsia" w:ascii="楷体" w:hAnsi="楷体" w:eastAsia="楷体" w:cs="楷体"/>
          <w:bCs/>
          <w:sz w:val="32"/>
          <w:szCs w:val="32"/>
        </w:rPr>
        <w:t>（3）部门评价项目绩效评价结果。</w:t>
      </w:r>
    </w:p>
    <w:p w14:paraId="3A24CAEB">
      <w:pPr>
        <w:autoSpaceDE w:val="0"/>
        <w:autoSpaceDN w:val="0"/>
        <w:adjustRightInd w:val="0"/>
        <w:ind w:firstLine="640" w:firstLineChars="200"/>
        <w:jc w:val="left"/>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部门整体支出绩效自评得分99，评价等级为“优”；</w:t>
      </w:r>
    </w:p>
    <w:p w14:paraId="06B58122">
      <w:pPr>
        <w:tabs>
          <w:tab w:val="left" w:pos="621"/>
        </w:tabs>
        <w:autoSpaceDE w:val="0"/>
        <w:autoSpaceDN w:val="0"/>
        <w:adjustRightInd w:val="0"/>
        <w:ind w:firstLine="640" w:firstLineChars="200"/>
        <w:jc w:val="left"/>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农机购置补贴项目支出绩效自评得分98，评价等级为“优”。</w:t>
      </w:r>
    </w:p>
    <w:p w14:paraId="49F9FFED">
      <w:pPr>
        <w:autoSpaceDE w:val="0"/>
        <w:autoSpaceDN w:val="0"/>
        <w:adjustRightInd w:val="0"/>
        <w:ind w:firstLine="640" w:firstLineChars="200"/>
        <w:jc w:val="left"/>
        <w:rPr>
          <w:rFonts w:ascii="Times New Roman" w:hAnsi="Times New Roman" w:eastAsia="仿宋_GB2312" w:cs="黑体"/>
          <w:color w:val="000000"/>
          <w:kern w:val="0"/>
          <w:sz w:val="32"/>
          <w:szCs w:val="32"/>
        </w:rPr>
      </w:pPr>
      <w:r>
        <w:rPr>
          <w:rFonts w:hint="eastAsia" w:ascii="Times New Roman" w:hAnsi="Times New Roman" w:eastAsia="仿宋_GB2312" w:cs="黑体"/>
          <w:color w:val="000000"/>
          <w:kern w:val="0"/>
          <w:sz w:val="32"/>
          <w:szCs w:val="32"/>
        </w:rPr>
        <w:t>已按县财政局统一要求随同部门决算作为附件公开。</w:t>
      </w:r>
    </w:p>
    <w:p w14:paraId="6AE6B130">
      <w:pPr>
        <w:rPr>
          <w:rFonts w:ascii="微软雅黑" w:hAnsi="微软雅黑" w:eastAsia="微软雅黑" w:cs="微软雅黑"/>
          <w:i/>
          <w:iCs/>
          <w:color w:val="FF0000"/>
          <w:sz w:val="32"/>
          <w:szCs w:val="32"/>
        </w:rPr>
      </w:pPr>
      <w:r>
        <w:rPr>
          <w:rFonts w:hint="eastAsia" w:ascii="微软雅黑" w:hAnsi="微软雅黑" w:eastAsia="微软雅黑" w:cs="微软雅黑"/>
          <w:i/>
          <w:iCs/>
          <w:color w:val="FF0000"/>
          <w:sz w:val="32"/>
          <w:szCs w:val="32"/>
        </w:rPr>
        <w:br w:type="page"/>
      </w:r>
    </w:p>
    <w:p w14:paraId="1C6417AB">
      <w:pPr>
        <w:pStyle w:val="14"/>
        <w:spacing w:line="360" w:lineRule="auto"/>
        <w:ind w:firstLine="640" w:firstLineChars="200"/>
        <w:rPr>
          <w:rFonts w:ascii="微软雅黑" w:hAnsi="微软雅黑" w:eastAsia="微软雅黑" w:cs="微软雅黑"/>
          <w:i/>
          <w:iCs/>
          <w:color w:val="FF0000"/>
          <w:sz w:val="32"/>
          <w:szCs w:val="32"/>
        </w:rPr>
      </w:pPr>
    </w:p>
    <w:p w14:paraId="619A2104">
      <w:pPr>
        <w:pStyle w:val="14"/>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3E9E68B9">
      <w:pPr>
        <w:jc w:val="center"/>
        <w:rPr>
          <w:rFonts w:ascii="方正小标宋_GBK" w:hAnsi="方正小标宋_GBK" w:eastAsia="方正小标宋_GBK" w:cs="方正小标宋_GBK"/>
          <w:color w:val="000000"/>
          <w:kern w:val="0"/>
          <w:sz w:val="72"/>
          <w:szCs w:val="72"/>
        </w:rPr>
      </w:pPr>
    </w:p>
    <w:p w14:paraId="58551510">
      <w:pPr>
        <w:jc w:val="center"/>
        <w:rPr>
          <w:rFonts w:ascii="方正小标宋_GBK" w:hAnsi="方正小标宋_GBK" w:eastAsia="方正小标宋_GBK" w:cs="方正小标宋_GBK"/>
          <w:color w:val="000000"/>
          <w:kern w:val="0"/>
          <w:sz w:val="72"/>
          <w:szCs w:val="72"/>
        </w:rPr>
      </w:pPr>
      <w:r>
        <w:rPr>
          <w:rFonts w:hint="eastAsia" w:ascii="方正小标宋_GBK" w:hAnsi="方正小标宋_GBK" w:eastAsia="方正小标宋_GBK" w:cs="方正小标宋_GBK"/>
          <w:color w:val="000000"/>
          <w:kern w:val="0"/>
          <w:sz w:val="72"/>
          <w:szCs w:val="72"/>
        </w:rPr>
        <w:t>名词解释</w:t>
      </w:r>
    </w:p>
    <w:p w14:paraId="3C48C7E9">
      <w:pPr>
        <w:widowControl/>
        <w:jc w:val="left"/>
        <w:rPr>
          <w:rFonts w:ascii="微软雅黑" w:hAnsi="微软雅黑" w:eastAsia="微软雅黑" w:cs="微软雅黑"/>
          <w:color w:val="000000"/>
          <w:kern w:val="0"/>
          <w:sz w:val="32"/>
          <w:szCs w:val="32"/>
        </w:rPr>
      </w:pPr>
    </w:p>
    <w:p w14:paraId="1EEA8596">
      <w:pPr>
        <w:spacing w:line="360" w:lineRule="auto"/>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2D6ED12">
      <w:pPr>
        <w:spacing w:line="360" w:lineRule="auto"/>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二、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14:paraId="40DE68E9">
      <w:pPr>
        <w:rPr>
          <w:rFonts w:ascii="微软雅黑" w:hAnsi="微软雅黑" w:eastAsia="微软雅黑" w:cs="微软雅黑"/>
          <w:sz w:val="72"/>
          <w:szCs w:val="72"/>
        </w:rPr>
      </w:pPr>
      <w:r>
        <w:rPr>
          <w:rFonts w:hint="eastAsia" w:ascii="微软雅黑" w:hAnsi="微软雅黑" w:eastAsia="微软雅黑" w:cs="微软雅黑"/>
          <w:sz w:val="72"/>
          <w:szCs w:val="72"/>
        </w:rPr>
        <w:br w:type="page"/>
      </w:r>
    </w:p>
    <w:p w14:paraId="3C493134">
      <w:pPr>
        <w:pStyle w:val="14"/>
        <w:jc w:val="center"/>
        <w:rPr>
          <w:rFonts w:ascii="微软雅黑" w:hAnsi="微软雅黑" w:eastAsia="微软雅黑" w:cs="微软雅黑"/>
          <w:sz w:val="72"/>
          <w:szCs w:val="72"/>
        </w:rPr>
      </w:pPr>
    </w:p>
    <w:p w14:paraId="2585654F">
      <w:pPr>
        <w:pStyle w:val="14"/>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第五部分</w:t>
      </w:r>
    </w:p>
    <w:p w14:paraId="74336B2E">
      <w:pPr>
        <w:jc w:val="center"/>
        <w:rPr>
          <w:rFonts w:ascii="方正小标宋_GBK" w:hAnsi="方正小标宋_GBK" w:eastAsia="方正小标宋_GBK" w:cs="方正小标宋_GBK"/>
          <w:color w:val="000000"/>
          <w:kern w:val="0"/>
          <w:sz w:val="72"/>
          <w:szCs w:val="72"/>
        </w:rPr>
      </w:pPr>
    </w:p>
    <w:p w14:paraId="3632BE85">
      <w:pPr>
        <w:pStyle w:val="14"/>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附件</w:t>
      </w:r>
    </w:p>
    <w:p w14:paraId="62163FA0">
      <w:pPr>
        <w:ind w:firstLine="640" w:firstLineChars="200"/>
        <w:jc w:val="left"/>
        <w:rPr>
          <w:rFonts w:ascii="微软雅黑" w:hAnsi="微软雅黑" w:eastAsia="微软雅黑" w:cs="微软雅黑"/>
          <w:b/>
          <w:bCs/>
          <w:color w:val="000000"/>
          <w:kern w:val="0"/>
          <w:sz w:val="32"/>
          <w:szCs w:val="32"/>
        </w:rPr>
      </w:pPr>
    </w:p>
    <w:p w14:paraId="53CD8BEC">
      <w:pPr>
        <w:spacing w:line="360" w:lineRule="auto"/>
        <w:ind w:firstLine="640" w:firstLineChars="200"/>
        <w:jc w:val="left"/>
        <w:rPr>
          <w:rFonts w:ascii="宋体" w:hAnsi="宋体" w:cs="黑体"/>
          <w:b/>
          <w:color w:val="000000"/>
          <w:kern w:val="0"/>
          <w:sz w:val="32"/>
          <w:szCs w:val="32"/>
        </w:rPr>
      </w:pPr>
      <w:r>
        <w:rPr>
          <w:rFonts w:hint="eastAsia" w:ascii="宋体" w:hAnsi="宋体" w:cs="黑体"/>
          <w:b/>
          <w:color w:val="000000"/>
          <w:kern w:val="0"/>
          <w:sz w:val="32"/>
          <w:szCs w:val="32"/>
        </w:rPr>
        <w:t>1、</w:t>
      </w:r>
      <w:r>
        <w:rPr>
          <w:rFonts w:ascii="宋体" w:hAnsi="宋体" w:cs="黑体"/>
          <w:b/>
          <w:color w:val="000000"/>
          <w:kern w:val="0"/>
          <w:sz w:val="32"/>
          <w:szCs w:val="32"/>
        </w:rPr>
        <w:t>2023年部门决算公开表格</w:t>
      </w:r>
    </w:p>
    <w:p w14:paraId="4584F042">
      <w:pPr>
        <w:spacing w:line="360" w:lineRule="auto"/>
        <w:ind w:firstLine="640" w:firstLineChars="200"/>
        <w:jc w:val="left"/>
        <w:rPr>
          <w:rFonts w:ascii="宋体" w:hAnsi="宋体" w:cs="黑体"/>
          <w:b/>
          <w:color w:val="000000"/>
          <w:kern w:val="0"/>
          <w:sz w:val="32"/>
          <w:szCs w:val="32"/>
        </w:rPr>
      </w:pPr>
      <w:r>
        <w:rPr>
          <w:rFonts w:hint="eastAsia" w:ascii="宋体" w:hAnsi="宋体" w:cs="黑体"/>
          <w:b/>
          <w:color w:val="000000"/>
          <w:kern w:val="0"/>
          <w:sz w:val="32"/>
          <w:szCs w:val="32"/>
        </w:rPr>
        <w:t>2、2023年度部门整体支出绩效评价报告</w:t>
      </w:r>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Courier New"/>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微软雅黑">
    <w:panose1 w:val="020B0503020204020204"/>
    <w:charset w:val="86"/>
    <w:family w:val="swiss"/>
    <w:pitch w:val="default"/>
    <w:sig w:usb0="80000287" w:usb1="280F3C52" w:usb2="00000016" w:usb3="00000000" w:csb0="0004001F" w:csb1="00000000"/>
  </w:font>
  <w:font w:name="方正小标宋_GBK">
    <w:altName w:val="宋体"/>
    <w:panose1 w:val="00000000000000000000"/>
    <w:charset w:val="86"/>
    <w:family w:val="script"/>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书宋_GBK">
    <w:altName w:val="微软雅黑"/>
    <w:panose1 w:val="00000000000000000000"/>
    <w:charset w:val="86"/>
    <w:family w:val="script"/>
    <w:pitch w:val="default"/>
    <w:sig w:usb0="00000000" w:usb1="00000000" w:usb2="00000000" w:usb3="00000000" w:csb0="00040000"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hNDUwNzRkNjE1MmRjZmExZGY2MWIyMWNkMWI1ZWIifQ=="/>
    <w:docVar w:name="KSO_WPS_MARK_KEY" w:val="aeeac8e3-f466-426f-889f-364d7213eb81"/>
  </w:docVars>
  <w:rsids>
    <w:rsidRoot w:val="004506F9"/>
    <w:rsid w:val="0002229B"/>
    <w:rsid w:val="000273BD"/>
    <w:rsid w:val="00040190"/>
    <w:rsid w:val="00040CBC"/>
    <w:rsid w:val="000415B7"/>
    <w:rsid w:val="00041E3F"/>
    <w:rsid w:val="00055DAA"/>
    <w:rsid w:val="00061F7B"/>
    <w:rsid w:val="000658A3"/>
    <w:rsid w:val="00074155"/>
    <w:rsid w:val="000A3F69"/>
    <w:rsid w:val="000B4E6B"/>
    <w:rsid w:val="000C59AD"/>
    <w:rsid w:val="00103957"/>
    <w:rsid w:val="00151946"/>
    <w:rsid w:val="00152C6D"/>
    <w:rsid w:val="00162D39"/>
    <w:rsid w:val="00163F96"/>
    <w:rsid w:val="001678BD"/>
    <w:rsid w:val="001814D4"/>
    <w:rsid w:val="00182373"/>
    <w:rsid w:val="001932D1"/>
    <w:rsid w:val="001A67DB"/>
    <w:rsid w:val="001C3C29"/>
    <w:rsid w:val="001D51E5"/>
    <w:rsid w:val="001E080D"/>
    <w:rsid w:val="001E53D0"/>
    <w:rsid w:val="001F0C3B"/>
    <w:rsid w:val="00202C82"/>
    <w:rsid w:val="00214427"/>
    <w:rsid w:val="00226CB7"/>
    <w:rsid w:val="00246078"/>
    <w:rsid w:val="002462BA"/>
    <w:rsid w:val="00264552"/>
    <w:rsid w:val="00264EF9"/>
    <w:rsid w:val="00265724"/>
    <w:rsid w:val="0027426B"/>
    <w:rsid w:val="002B44AF"/>
    <w:rsid w:val="002E0A30"/>
    <w:rsid w:val="003130C4"/>
    <w:rsid w:val="00313A22"/>
    <w:rsid w:val="00316C4B"/>
    <w:rsid w:val="0032192B"/>
    <w:rsid w:val="003479BD"/>
    <w:rsid w:val="0037197D"/>
    <w:rsid w:val="003768D5"/>
    <w:rsid w:val="003926B9"/>
    <w:rsid w:val="003C47E6"/>
    <w:rsid w:val="003C4FC2"/>
    <w:rsid w:val="003F71BC"/>
    <w:rsid w:val="004004C7"/>
    <w:rsid w:val="00410185"/>
    <w:rsid w:val="00416E61"/>
    <w:rsid w:val="0042790C"/>
    <w:rsid w:val="00446AC6"/>
    <w:rsid w:val="004506F9"/>
    <w:rsid w:val="004717A2"/>
    <w:rsid w:val="00473DF3"/>
    <w:rsid w:val="00487911"/>
    <w:rsid w:val="00491741"/>
    <w:rsid w:val="004B0CEE"/>
    <w:rsid w:val="00500E5F"/>
    <w:rsid w:val="005122EF"/>
    <w:rsid w:val="0051441A"/>
    <w:rsid w:val="00517C33"/>
    <w:rsid w:val="00517D5F"/>
    <w:rsid w:val="00523644"/>
    <w:rsid w:val="00535659"/>
    <w:rsid w:val="0054069E"/>
    <w:rsid w:val="00544866"/>
    <w:rsid w:val="00545299"/>
    <w:rsid w:val="005767CC"/>
    <w:rsid w:val="00590D9F"/>
    <w:rsid w:val="00595D26"/>
    <w:rsid w:val="005A74E6"/>
    <w:rsid w:val="005B404E"/>
    <w:rsid w:val="005C3CF7"/>
    <w:rsid w:val="005D4D55"/>
    <w:rsid w:val="005D7A03"/>
    <w:rsid w:val="005E2CFB"/>
    <w:rsid w:val="005F2103"/>
    <w:rsid w:val="005F3D1C"/>
    <w:rsid w:val="00604A02"/>
    <w:rsid w:val="0062378F"/>
    <w:rsid w:val="00641842"/>
    <w:rsid w:val="00651EEC"/>
    <w:rsid w:val="00654EE1"/>
    <w:rsid w:val="00686673"/>
    <w:rsid w:val="00691E8C"/>
    <w:rsid w:val="006A22C4"/>
    <w:rsid w:val="006A351B"/>
    <w:rsid w:val="006B0422"/>
    <w:rsid w:val="006B4484"/>
    <w:rsid w:val="006C1B53"/>
    <w:rsid w:val="006D4AF9"/>
    <w:rsid w:val="006D7730"/>
    <w:rsid w:val="006E5284"/>
    <w:rsid w:val="006F3EB5"/>
    <w:rsid w:val="00702E34"/>
    <w:rsid w:val="00704395"/>
    <w:rsid w:val="00710FE7"/>
    <w:rsid w:val="00717621"/>
    <w:rsid w:val="00720FF1"/>
    <w:rsid w:val="00726F28"/>
    <w:rsid w:val="00727A53"/>
    <w:rsid w:val="0073661E"/>
    <w:rsid w:val="00787B42"/>
    <w:rsid w:val="007C4539"/>
    <w:rsid w:val="007E047C"/>
    <w:rsid w:val="007F3657"/>
    <w:rsid w:val="00812ED5"/>
    <w:rsid w:val="008277D9"/>
    <w:rsid w:val="00830191"/>
    <w:rsid w:val="0084478C"/>
    <w:rsid w:val="00851FDE"/>
    <w:rsid w:val="0086638C"/>
    <w:rsid w:val="008A3E8D"/>
    <w:rsid w:val="008B0418"/>
    <w:rsid w:val="008B16A3"/>
    <w:rsid w:val="008E4030"/>
    <w:rsid w:val="009150C6"/>
    <w:rsid w:val="009237C4"/>
    <w:rsid w:val="009304C4"/>
    <w:rsid w:val="00944C48"/>
    <w:rsid w:val="00950252"/>
    <w:rsid w:val="00967F5D"/>
    <w:rsid w:val="009802D2"/>
    <w:rsid w:val="00981F52"/>
    <w:rsid w:val="009A0F95"/>
    <w:rsid w:val="009B3ADF"/>
    <w:rsid w:val="009C3B52"/>
    <w:rsid w:val="009C5953"/>
    <w:rsid w:val="009E6817"/>
    <w:rsid w:val="009E6E9A"/>
    <w:rsid w:val="00A01D2B"/>
    <w:rsid w:val="00A42218"/>
    <w:rsid w:val="00A70249"/>
    <w:rsid w:val="00A70B02"/>
    <w:rsid w:val="00A71D9F"/>
    <w:rsid w:val="00A87CD3"/>
    <w:rsid w:val="00A90B07"/>
    <w:rsid w:val="00A92E9F"/>
    <w:rsid w:val="00AB18FF"/>
    <w:rsid w:val="00AB4290"/>
    <w:rsid w:val="00B014C2"/>
    <w:rsid w:val="00B32234"/>
    <w:rsid w:val="00B33BEA"/>
    <w:rsid w:val="00B57C9F"/>
    <w:rsid w:val="00B63572"/>
    <w:rsid w:val="00B845B3"/>
    <w:rsid w:val="00B85D8B"/>
    <w:rsid w:val="00BA53C0"/>
    <w:rsid w:val="00BB4A40"/>
    <w:rsid w:val="00BC640D"/>
    <w:rsid w:val="00BD6C3E"/>
    <w:rsid w:val="00BE3674"/>
    <w:rsid w:val="00C06188"/>
    <w:rsid w:val="00C10681"/>
    <w:rsid w:val="00C3049A"/>
    <w:rsid w:val="00C31B1E"/>
    <w:rsid w:val="00C77645"/>
    <w:rsid w:val="00CB6CC5"/>
    <w:rsid w:val="00CC2050"/>
    <w:rsid w:val="00CC56EF"/>
    <w:rsid w:val="00CE04C3"/>
    <w:rsid w:val="00CE76A0"/>
    <w:rsid w:val="00D148C6"/>
    <w:rsid w:val="00D17A8A"/>
    <w:rsid w:val="00D415BA"/>
    <w:rsid w:val="00D63780"/>
    <w:rsid w:val="00D644EE"/>
    <w:rsid w:val="00DA4619"/>
    <w:rsid w:val="00DC498F"/>
    <w:rsid w:val="00DD06FF"/>
    <w:rsid w:val="00DD5FE9"/>
    <w:rsid w:val="00E00C7A"/>
    <w:rsid w:val="00E33A68"/>
    <w:rsid w:val="00E37D6C"/>
    <w:rsid w:val="00E55B68"/>
    <w:rsid w:val="00E561AE"/>
    <w:rsid w:val="00E67BE6"/>
    <w:rsid w:val="00E8683C"/>
    <w:rsid w:val="00EA2B72"/>
    <w:rsid w:val="00F224ED"/>
    <w:rsid w:val="00F255D8"/>
    <w:rsid w:val="00F3428C"/>
    <w:rsid w:val="00F372B1"/>
    <w:rsid w:val="00F74360"/>
    <w:rsid w:val="00FB462F"/>
    <w:rsid w:val="00FE16FA"/>
    <w:rsid w:val="00FE328A"/>
    <w:rsid w:val="00FE6269"/>
    <w:rsid w:val="00FF5CD6"/>
    <w:rsid w:val="05482261"/>
    <w:rsid w:val="074309F6"/>
    <w:rsid w:val="07966D78"/>
    <w:rsid w:val="07E04F3D"/>
    <w:rsid w:val="096227F5"/>
    <w:rsid w:val="0AC57974"/>
    <w:rsid w:val="0F9016DB"/>
    <w:rsid w:val="0FE268D2"/>
    <w:rsid w:val="10A73DA4"/>
    <w:rsid w:val="11A63AC3"/>
    <w:rsid w:val="13135140"/>
    <w:rsid w:val="134641EF"/>
    <w:rsid w:val="15986B0A"/>
    <w:rsid w:val="15A64981"/>
    <w:rsid w:val="17D85E72"/>
    <w:rsid w:val="191A1185"/>
    <w:rsid w:val="1A4B623A"/>
    <w:rsid w:val="21680401"/>
    <w:rsid w:val="24DB324C"/>
    <w:rsid w:val="27B766F6"/>
    <w:rsid w:val="29701875"/>
    <w:rsid w:val="2F026361"/>
    <w:rsid w:val="2F5729E1"/>
    <w:rsid w:val="306F0E15"/>
    <w:rsid w:val="31B77767"/>
    <w:rsid w:val="33E12879"/>
    <w:rsid w:val="34095384"/>
    <w:rsid w:val="34E24AFB"/>
    <w:rsid w:val="36E96615"/>
    <w:rsid w:val="3BC62A80"/>
    <w:rsid w:val="3FD348C7"/>
    <w:rsid w:val="40C80669"/>
    <w:rsid w:val="41940D6D"/>
    <w:rsid w:val="42415557"/>
    <w:rsid w:val="42FC322C"/>
    <w:rsid w:val="44AC435F"/>
    <w:rsid w:val="487D493C"/>
    <w:rsid w:val="493A4AAE"/>
    <w:rsid w:val="4C76404F"/>
    <w:rsid w:val="4D542DAB"/>
    <w:rsid w:val="4EC70B92"/>
    <w:rsid w:val="512C2F2E"/>
    <w:rsid w:val="52E579D6"/>
    <w:rsid w:val="55C63EE6"/>
    <w:rsid w:val="570F5142"/>
    <w:rsid w:val="5777D4F5"/>
    <w:rsid w:val="57D94F90"/>
    <w:rsid w:val="59743537"/>
    <w:rsid w:val="5B4F3FC2"/>
    <w:rsid w:val="5D2E44D2"/>
    <w:rsid w:val="5DA84284"/>
    <w:rsid w:val="5DB1138B"/>
    <w:rsid w:val="5E026FEC"/>
    <w:rsid w:val="5FC6BB1E"/>
    <w:rsid w:val="5FF720F1"/>
    <w:rsid w:val="63930AB7"/>
    <w:rsid w:val="643C1282"/>
    <w:rsid w:val="645753D4"/>
    <w:rsid w:val="65B05FE0"/>
    <w:rsid w:val="660109D5"/>
    <w:rsid w:val="6720463D"/>
    <w:rsid w:val="6BD30F4C"/>
    <w:rsid w:val="6D15603E"/>
    <w:rsid w:val="6D1D2BA3"/>
    <w:rsid w:val="6D340BE9"/>
    <w:rsid w:val="6E4E0530"/>
    <w:rsid w:val="71B615C9"/>
    <w:rsid w:val="72853156"/>
    <w:rsid w:val="72D57472"/>
    <w:rsid w:val="73653335"/>
    <w:rsid w:val="737D59BA"/>
    <w:rsid w:val="73D15FE7"/>
    <w:rsid w:val="743957DE"/>
    <w:rsid w:val="75063912"/>
    <w:rsid w:val="772C33D8"/>
    <w:rsid w:val="776B5ABC"/>
    <w:rsid w:val="776D2CE2"/>
    <w:rsid w:val="77C37683"/>
    <w:rsid w:val="79FF515B"/>
    <w:rsid w:val="7C4D3A17"/>
    <w:rsid w:val="7E9F11B4"/>
    <w:rsid w:val="7FC69637"/>
    <w:rsid w:val="7FFDB408"/>
    <w:rsid w:val="CBFF70E0"/>
    <w:rsid w:val="EEABED75"/>
    <w:rsid w:val="FB36E1A6"/>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6"/>
    <w:unhideWhenUsed/>
    <w:qFormat/>
    <w:uiPriority w:val="99"/>
    <w:pPr>
      <w:spacing w:after="120"/>
    </w:pPr>
    <w:rPr>
      <w:rFonts w:cs="黑体"/>
    </w:rPr>
  </w:style>
  <w:style w:type="paragraph" w:styleId="3">
    <w:name w:val="Balloon Text"/>
    <w:basedOn w:val="1"/>
    <w:link w:val="8"/>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批注框文本 字符"/>
    <w:basedOn w:val="7"/>
    <w:link w:val="3"/>
    <w:semiHidden/>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页眉 字符"/>
    <w:basedOn w:val="7"/>
    <w:link w:val="5"/>
    <w:qFormat/>
    <w:uiPriority w:val="99"/>
    <w:rPr>
      <w:sz w:val="18"/>
      <w:szCs w:val="18"/>
    </w:rPr>
  </w:style>
  <w:style w:type="character" w:customStyle="1" w:styleId="11">
    <w:name w:val="font11"/>
    <w:basedOn w:val="7"/>
    <w:qFormat/>
    <w:uiPriority w:val="0"/>
    <w:rPr>
      <w:rFonts w:hint="eastAsia" w:ascii="宋体" w:hAnsi="宋体" w:eastAsia="宋体" w:cs="宋体"/>
      <w:color w:val="000000"/>
      <w:sz w:val="24"/>
      <w:szCs w:val="24"/>
      <w:u w:val="none"/>
    </w:rPr>
  </w:style>
  <w:style w:type="character" w:customStyle="1" w:styleId="12">
    <w:name w:val="font21"/>
    <w:basedOn w:val="7"/>
    <w:qFormat/>
    <w:uiPriority w:val="0"/>
    <w:rPr>
      <w:rFonts w:hint="eastAsia" w:ascii="宋体" w:hAnsi="宋体" w:eastAsia="宋体" w:cs="宋体"/>
      <w:color w:val="000000"/>
      <w:sz w:val="24"/>
      <w:szCs w:val="24"/>
      <w:u w:val="none"/>
    </w:rPr>
  </w:style>
  <w:style w:type="character" w:customStyle="1" w:styleId="13">
    <w:name w:val="font01"/>
    <w:basedOn w:val="7"/>
    <w:qFormat/>
    <w:uiPriority w:val="0"/>
    <w:rPr>
      <w:rFonts w:hint="eastAsia" w:ascii="宋体" w:hAnsi="宋体" w:eastAsia="宋体" w:cs="宋体"/>
      <w:color w:val="000000"/>
      <w:sz w:val="22"/>
      <w:szCs w:val="22"/>
      <w:u w:val="none"/>
    </w:rPr>
  </w:style>
  <w:style w:type="paragraph" w:customStyle="1" w:styleId="14">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正文文本 字符"/>
    <w:basedOn w:val="7"/>
    <w:link w:val="2"/>
    <w:qFormat/>
    <w:uiPriority w:val="99"/>
    <w:rPr>
      <w:rFonts w:ascii="Calibri" w:hAnsi="Calibri" w:cs="黑体"/>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17</Pages>
  <Words>5598</Words>
  <Characters>6156</Characters>
  <Lines>45</Lines>
  <Paragraphs>12</Paragraphs>
  <TotalTime>216</TotalTime>
  <ScaleCrop>false</ScaleCrop>
  <LinksUpToDate>false</LinksUpToDate>
  <CharactersWithSpaces>6162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红梅</cp:lastModifiedBy>
  <cp:lastPrinted>2023-08-15T09:28:00Z</cp:lastPrinted>
  <dcterms:modified xsi:type="dcterms:W3CDTF">2024-10-11T02:29:19Z</dcterms:modified>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661ABA64067A42B98A18CBAF8FC9F9FC_13</vt:lpwstr>
  </property>
</Properties>
</file>