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B975F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岳阳县住房和城乡建设局</w:t>
      </w:r>
      <w:r>
        <w:rPr>
          <w:rFonts w:hint="eastAsia" w:eastAsia="方正小标宋简体"/>
          <w:bCs/>
          <w:sz w:val="46"/>
          <w:szCs w:val="46"/>
          <w:lang w:eastAsia="zh-CN"/>
        </w:rPr>
        <w:t>（汇总）</w:t>
      </w:r>
      <w:r>
        <w:rPr>
          <w:rFonts w:hint="eastAsia" w:eastAsia="方正小标宋简体"/>
          <w:bCs/>
          <w:sz w:val="46"/>
          <w:szCs w:val="46"/>
        </w:rPr>
        <w:t>2023年度整体支出绩效自评报告</w:t>
      </w:r>
    </w:p>
    <w:p w14:paraId="1B471D7B">
      <w:pPr>
        <w:rPr>
          <w:rFonts w:eastAsia="仿宋_GB2312"/>
          <w:b/>
          <w:sz w:val="32"/>
        </w:rPr>
      </w:pPr>
    </w:p>
    <w:p w14:paraId="1829EB5C">
      <w:pPr>
        <w:numPr>
          <w:ilvl w:val="0"/>
          <w:numId w:val="1"/>
        </w:numPr>
        <w:spacing w:line="560" w:lineRule="exact"/>
        <w:ind w:firstLine="560" w:firstLineChars="2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部门（单位）基本情况</w:t>
      </w:r>
    </w:p>
    <w:p w14:paraId="16AB2983">
      <w:pPr>
        <w:spacing w:line="56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1、机构设置</w:t>
      </w:r>
    </w:p>
    <w:p w14:paraId="14547FCE">
      <w:pPr>
        <w:widowControl/>
        <w:ind w:firstLine="560" w:firstLineChars="200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岳阳县住房和城乡建设局是县政府工作部门，为正科级。岳阳县人民防空办公室作为县国防动员委员会的常设办事机构，与县住房和城乡建设局合署办公，实行一套机构、两个机关名称。</w:t>
      </w:r>
    </w:p>
    <w:p w14:paraId="630930DA">
      <w:pPr>
        <w:widowControl/>
        <w:ind w:firstLine="560" w:firstLineChars="200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本部门现有在职人员</w:t>
      </w:r>
      <w:r>
        <w:rPr>
          <w:rFonts w:hint="eastAsia" w:ascii="仿宋" w:hAnsi="仿宋" w:eastAsia="仿宋"/>
          <w:sz w:val="28"/>
          <w:szCs w:val="28"/>
        </w:rPr>
        <w:t>72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内设股室21个：办公室、人事股、计划财务股、行政审批股、政策法规股、人防工程管理股、人防指挥通信股、城市建设管理股、勘察设计管理股、建设工程招标投标管理办公室、建设工程质量安全管理股、建设工程消防监管股、村镇建设管理股、房地产市场监管股、房地产市场开发管理股、建筑节能与科技股、供排水管理股、物业管理办公室、岳阳县国有土地房屋征收管理办公室（岳阳县房屋安全鉴定办公室）、住房保障股、历史文化名城保护股。</w:t>
      </w:r>
    </w:p>
    <w:p w14:paraId="15CCEB0A">
      <w:pPr>
        <w:widowControl/>
        <w:ind w:firstLine="560" w:firstLineChars="200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岳阳县住房和城乡建设局下设副科级事业机构5个：县房地产开发服务中心、县住房保障服务中心、县公用工程维护中心、县住房和城乡建设项目服务中心、县建筑市场服务中心。</w:t>
      </w:r>
    </w:p>
    <w:p w14:paraId="34F9ABDF">
      <w:pPr>
        <w:pStyle w:val="10"/>
        <w:ind w:firstLine="560" w:firstLineChars="200"/>
        <w:rPr>
          <w:rFonts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ascii="仿宋" w:hAnsi="仿宋" w:eastAsia="仿宋" w:cs="Times New Roman"/>
          <w:color w:val="auto"/>
          <w:kern w:val="2"/>
          <w:sz w:val="28"/>
          <w:szCs w:val="28"/>
        </w:rPr>
        <w:t>岳阳县住房和城乡建设局下设正股级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二级</w:t>
      </w:r>
      <w:r>
        <w:rPr>
          <w:rFonts w:ascii="仿宋" w:hAnsi="仿宋" w:eastAsia="仿宋" w:cs="Times New Roman"/>
          <w:color w:val="auto"/>
          <w:kern w:val="2"/>
          <w:sz w:val="28"/>
          <w:szCs w:val="28"/>
        </w:rPr>
        <w:t>事业机构4个：县城建档案馆、县建设执法大队、县房地产监察大队（与建设执法大队合署办公）、县建设工程质量监督站。</w:t>
      </w:r>
    </w:p>
    <w:p w14:paraId="3BD08C8A">
      <w:pPr>
        <w:pStyle w:val="10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2、主要职责</w:t>
      </w:r>
    </w:p>
    <w:p w14:paraId="5AEBE375">
      <w:pPr>
        <w:widowControl/>
        <w:ind w:firstLine="560" w:firstLineChars="200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负责贯彻落实有关住房和城乡建设、人民防空的方针、政策、法律、法规、规章、制度；拟订全县住房和城乡建设、人民防空的发展战略、产业政策、改革方案、中长期规划及年度计划并组织实施，牵头组织行业诚信体系建设；负责人民防空监督管理；负责房地产市场监督管理；负责住房保障监督管理；负责城建计划编制和监督管理；承担城市设计和建筑设计管理责任；承担城市给排水、污水处理、城市供水的监督管理，承担市政街道、地下通道、桥梁等有关市政公用设施的建设维护责任；承担全县建筑市场的管理责任；承担全县建设工程质量、安全生产的监督管理责任；承担城市科学研究和建设科技应用推广责任；承担全县村镇建设指导管理责任；负责历史文化名城（镇、村）的保护及监督管理；负责制定全县行业人才发展规划，加强人才队伍和人事管理；完成县委和县政府交办的其他任务；与县城市管理和综合执法局在我城市管理、城市综合执法的职责分工。</w:t>
      </w:r>
    </w:p>
    <w:p w14:paraId="471BCB36">
      <w:pPr>
        <w:pStyle w:val="10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二、一般公共预算支出情况</w:t>
      </w:r>
    </w:p>
    <w:p w14:paraId="3A4935DD">
      <w:pPr>
        <w:spacing w:line="560" w:lineRule="exact"/>
        <w:ind w:firstLine="560" w:firstLineChars="200"/>
        <w:rPr>
          <w:rFonts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>（一）基本支出情况</w:t>
      </w:r>
    </w:p>
    <w:p w14:paraId="168E4767">
      <w:pPr>
        <w:pStyle w:val="10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2023年度基本支出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3538.82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万元，其中：人员经费1794.83元，主要包括基本工资、津贴补贴、奖金、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绩效工资、机关事业单位基本养老保险缴费、</w:t>
      </w:r>
      <w:r>
        <w:rPr>
          <w:rFonts w:hint="default" w:ascii="仿宋" w:hAnsi="仿宋" w:eastAsia="仿宋" w:cs="Times New Roman"/>
          <w:color w:val="auto"/>
          <w:kern w:val="2"/>
          <w:sz w:val="28"/>
          <w:szCs w:val="28"/>
        </w:rPr>
        <w:t>职业年金缴费、职工基本医疗保险缴费、公务员医疗补助缴费、其他社会保障缴费、住房公积金、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医疗费、</w:t>
      </w:r>
      <w:r>
        <w:rPr>
          <w:rFonts w:hint="default" w:ascii="仿宋" w:hAnsi="仿宋" w:eastAsia="仿宋" w:cs="Times New Roman"/>
          <w:color w:val="auto"/>
          <w:kern w:val="2"/>
          <w:sz w:val="28"/>
          <w:szCs w:val="28"/>
        </w:rPr>
        <w:t>其他工资福利支出、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退休费、生活补助</w:t>
      </w:r>
      <w:r>
        <w:rPr>
          <w:rFonts w:hint="default" w:ascii="仿宋" w:hAnsi="仿宋" w:eastAsia="仿宋" w:cs="Times New Roman"/>
          <w:color w:val="auto"/>
          <w:kern w:val="2"/>
          <w:sz w:val="28"/>
          <w:szCs w:val="28"/>
        </w:rPr>
        <w:t>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奖励金、其他对个人和家庭的补助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；公用经费1743.99万元，主要包括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办公费、印刷费、咨询费、手续费、水费、电费、邮电费、物业管理费、差旅费、维修（护）费、租赁费、会议费、培训费、公务接待费、专业材料费、劳务费、委托业务费、工会经费、福利费、其他交通费用、其他商品和服务支出、办公设备购置。</w:t>
      </w:r>
    </w:p>
    <w:p w14:paraId="7AD8FB4A">
      <w:pPr>
        <w:numPr>
          <w:ilvl w:val="0"/>
          <w:numId w:val="2"/>
        </w:numPr>
        <w:spacing w:line="560" w:lineRule="exact"/>
        <w:ind w:firstLine="560" w:firstLineChars="200"/>
        <w:rPr>
          <w:rFonts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>项目支出情况</w:t>
      </w:r>
    </w:p>
    <w:p w14:paraId="60005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Times New Roman" w:eastAsia="仿宋_GB2312" w:cs="仿宋_GB2312"/>
          <w:bCs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sz w:val="28"/>
          <w:szCs w:val="28"/>
        </w:rPr>
        <w:t>1、项目资金安排落实、总投入等情况分析</w:t>
      </w:r>
    </w:p>
    <w:p w14:paraId="6DF68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28"/>
          <w:szCs w:val="28"/>
          <w:lang w:val="en-US" w:eastAsia="zh-CN" w:bidi="ar-SA"/>
        </w:rPr>
        <w:t>2023年财政安排我单位实施业务工作经费、运行维护经费、本级专项资金、棚户区改造、公共租赁住房、保障性租赁住房项目共12126.41万元，我单位实际发生项目支出12126.41万元。</w:t>
      </w:r>
    </w:p>
    <w:p w14:paraId="5610A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eastAsia="仿宋_GB2312" w:cs="仿宋_GB2312"/>
          <w:bCs/>
          <w:sz w:val="28"/>
          <w:szCs w:val="28"/>
        </w:rPr>
        <w:t>项目资金实际使用情况分析</w:t>
      </w:r>
    </w:p>
    <w:p w14:paraId="0DE911EE">
      <w:pPr>
        <w:pStyle w:val="10"/>
        <w:ind w:firstLine="560" w:firstLineChars="200"/>
        <w:rPr>
          <w:rFonts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2023年度中央财政支持业务工作经费方面，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按照省、市要求的建设、改造节点如期完成3个公租房、10个保租房和7个棚户区项目。</w:t>
      </w:r>
    </w:p>
    <w:p w14:paraId="396DB1B1">
      <w:pPr>
        <w:pStyle w:val="10"/>
        <w:ind w:firstLine="560" w:firstLineChars="200"/>
        <w:rPr>
          <w:rFonts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完成县城、乡镇污水管网改造、新建任务。常态开展例行检查，确保城乡污水处理稳定达标运行。加大对各在建项目的扬尘防治监管力度，全县各在建项目基本实现扬尘治理“6个100%”。</w:t>
      </w:r>
    </w:p>
    <w:p w14:paraId="7E351C50">
      <w:pPr>
        <w:pStyle w:val="10"/>
        <w:ind w:firstLine="560" w:firstLineChars="200"/>
        <w:rPr>
          <w:rFonts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加强居民自建房安全专项整治。对照居民自建房安全专项整治工作要点，如质、如量、如期完成确定的“四性”整治工作任务。指导督促乡镇定期开展重点区域风险隐患排查，实现自建房由专项整治向长效管理过渡。加大建筑行业安全生产监管。深入推进隐患排查整治，排查出的安全隐患现已全部整改到位，整改率100%。加强建设工程消防安全监管。组织开展了消防设计审查验收专项整治行动，开展了住房和城乡建设领域中消防安全培训，进一步增强从业人员安全防范能力。</w:t>
      </w:r>
    </w:p>
    <w:p w14:paraId="56892155">
      <w:pPr>
        <w:pStyle w:val="10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2023年度中央财政支持运行维护经费方面，推进老旧小区改造，开工改造17个老旧小区，老百姓的居住条件得到有效改善。有序推进既有的住宅加装电梯工作，已完工验收21台，超额完成了省市目标任务。</w:t>
      </w:r>
    </w:p>
    <w:p w14:paraId="2FE0B942">
      <w:pPr>
        <w:pStyle w:val="10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2023年度中央财政支持本级专项资金方面，完成贺坪路（长风路-滨水东路）西延、荣湾湖周边岸线生态修复工程；完成富荣西路（长风路-虎形山桥）、青山路（东方路-贺坪路）、天鹅北路（富荣路-城北路）的提质改造工程；推动岳黄公路、小游园、生态停车场和背街小巷建设。完成城西片区（五路交叉口）、文艺片区、大园岭市场周边区域、卫农粮库北边区域雨污分流工程；完成新屋塘路雨污管网建设、天鹅南路（文艺路—东方路）管网改造工程；完成城南河（友爱路-京广铁路）治污、城区雨污管网节点改造、白洋水库污水管网改造、县城主涵（原片石涵）管网检查井新建及修复。完成2023年中央财政支持业务工作经费、运行维护经费和本级专项资金工作任务。</w:t>
      </w:r>
    </w:p>
    <w:p w14:paraId="3A31DF0B">
      <w:pPr>
        <w:pStyle w:val="4"/>
        <w:spacing w:before="0" w:beforeAutospacing="0" w:after="0" w:afterAutospacing="0" w:line="520" w:lineRule="exact"/>
        <w:ind w:firstLine="560" w:firstLineChars="200"/>
        <w:jc w:val="both"/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2023年度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棚户区改造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776万元</w:t>
      </w:r>
      <w:r>
        <w:rPr>
          <w:rFonts w:hint="eastAsia" w:ascii="仿宋" w:hAnsi="仿宋" w:eastAsia="仿宋" w:cs="仿宋_GB2312"/>
          <w:bCs/>
          <w:sz w:val="28"/>
          <w:szCs w:val="28"/>
        </w:rPr>
        <w:t>，主要用于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棚户区</w:t>
      </w:r>
      <w:r>
        <w:rPr>
          <w:rFonts w:hint="eastAsia" w:ascii="仿宋" w:hAnsi="仿宋" w:eastAsia="仿宋" w:cs="仿宋_GB2312"/>
          <w:bCs/>
          <w:sz w:val="28"/>
          <w:szCs w:val="28"/>
        </w:rPr>
        <w:t>建设；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公共租赁住房324.83万元</w:t>
      </w:r>
      <w:r>
        <w:rPr>
          <w:rFonts w:hint="eastAsia" w:ascii="仿宋" w:hAnsi="仿宋" w:eastAsia="仿宋" w:cs="仿宋_GB2312"/>
          <w:bCs/>
          <w:sz w:val="28"/>
          <w:szCs w:val="28"/>
        </w:rPr>
        <w:t>，主要用于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公共租赁住房的建设开支；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保障性租赁住房2563万元，</w:t>
      </w:r>
      <w:r>
        <w:rPr>
          <w:rFonts w:hint="eastAsia" w:ascii="仿宋" w:hAnsi="仿宋" w:eastAsia="仿宋" w:cs="仿宋_GB2312"/>
          <w:bCs/>
          <w:sz w:val="28"/>
          <w:szCs w:val="28"/>
        </w:rPr>
        <w:t>主要用于城镇保障性安居工程建设；具体为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10个项目723套。</w:t>
      </w:r>
    </w:p>
    <w:p w14:paraId="1DB07C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eastAsia="仿宋_GB2312" w:cs="仿宋_GB2312"/>
          <w:bCs/>
          <w:sz w:val="28"/>
          <w:szCs w:val="28"/>
        </w:rPr>
        <w:t>项目资金管理情况分析</w:t>
      </w:r>
    </w:p>
    <w:p w14:paraId="4028F993">
      <w:pPr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本单位项目资金严格按照资金用途开支，实行专账专户管理，项目实施资金发放进行公开公示，项目验收，完工结算等邀请专业部门进行专项审计，开展项目绩效评价，确保资金充分发挥效益。</w:t>
      </w:r>
    </w:p>
    <w:p w14:paraId="7A0004D4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三、政府性基金预算支出情况</w:t>
      </w:r>
    </w:p>
    <w:p w14:paraId="7371016A">
      <w:pPr>
        <w:pStyle w:val="10"/>
        <w:ind w:firstLine="560" w:firstLineChars="200"/>
        <w:rPr>
          <w:rFonts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2023年度政府性基金预算支出5065.07万元，其中业务工作经费200万元，运行维护经费1543.7万元，本级专项资金3321.37万元。</w:t>
      </w:r>
    </w:p>
    <w:p w14:paraId="18AC220F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四、国有资本经营预算支出情况</w:t>
      </w:r>
    </w:p>
    <w:p w14:paraId="7F5754CA">
      <w:pPr>
        <w:pStyle w:val="10"/>
        <w:ind w:firstLine="560" w:firstLineChars="200"/>
        <w:rPr>
          <w:rFonts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2023年度国有资本经营预算17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5.88万元，用于项目支出本级专项资金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1775.88万元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。</w:t>
      </w:r>
    </w:p>
    <w:p w14:paraId="6DE114B5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 xml:space="preserve">五、社会保险基金预算支出情况 </w:t>
      </w:r>
    </w:p>
    <w:p w14:paraId="7CBFD4F2">
      <w:pPr>
        <w:spacing w:line="560" w:lineRule="exact"/>
        <w:ind w:left="420" w:leftChars="200"/>
        <w:rPr>
          <w:rFonts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>无</w:t>
      </w:r>
    </w:p>
    <w:p w14:paraId="0CA6FAA7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六、部门（单位）整体支出绩效情况</w:t>
      </w:r>
    </w:p>
    <w:p w14:paraId="343BD167">
      <w:pPr>
        <w:pStyle w:val="10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2023年度支出总计24240.51万元，其中基本支出4394.07万元，主要用于人员工资、福利、社会保障缴费及办公室公用支出等，项目支出19846.44万元，主要为2023年中央财政支持业务工作经费、运行维护经费、本级专项资金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城镇保障性安居工程城市棚户区改造项目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等开支。</w:t>
      </w:r>
      <w:r>
        <w:rPr>
          <w:rFonts w:hint="eastAsia" w:ascii="仿宋" w:hAnsi="仿宋" w:eastAsia="仿宋" w:cs="仿宋_GB2312"/>
          <w:bCs/>
          <w:sz w:val="28"/>
          <w:szCs w:val="28"/>
        </w:rPr>
        <w:t>我们对整个资金支出情况和工作成果进行了认真分析，部门整体支出达到了预期工作成果，实现了预期工作目标，通过部门整体评价，特别是专项项目的实施，完善民生保障体系，加强社会环境治理，加强建筑行业安全生产监管，加强建设工程消防安全监管，推进老旧小区改造，全力提升市政基础设施水平，改善了群众居住环境，降低了安全事故风险，为群众提供了安全便利的居住体验。</w:t>
      </w:r>
    </w:p>
    <w:p w14:paraId="0285C758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七、存在的主要问题及原因分析</w:t>
      </w:r>
    </w:p>
    <w:p w14:paraId="3A84A511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总的来看，我</w:t>
      </w:r>
      <w:r>
        <w:rPr>
          <w:rFonts w:hint="eastAsia" w:ascii="仿宋" w:hAnsi="仿宋" w:eastAsia="仿宋" w:cs="仿宋_GB2312"/>
          <w:bCs/>
          <w:sz w:val="28"/>
          <w:szCs w:val="28"/>
        </w:rPr>
        <w:t>单位</w:t>
      </w:r>
      <w:r>
        <w:rPr>
          <w:rFonts w:ascii="仿宋" w:hAnsi="仿宋" w:eastAsia="仿宋" w:cs="仿宋_GB2312"/>
          <w:bCs/>
          <w:sz w:val="28"/>
          <w:szCs w:val="28"/>
        </w:rPr>
        <w:t>预算绩效管理工作虽然取得了一些成绩，但也存在一些问题需要解决，还有一些不足之处需要完善，其中既有面上普遍存在的，也有实际工作中遇到的个性问题。</w:t>
      </w:r>
    </w:p>
    <w:p w14:paraId="74933FDF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1、评价指标体系需要进一步完善。财政支出评价对象涉及部门多，指标体系之间差异性大，难以把握评价办法，还不能满足目前工作开展需要。</w:t>
      </w:r>
    </w:p>
    <w:p w14:paraId="3BDC2A0E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2、业务素质有待进一步提高。由于预算绩效管理工作缺乏系统的培训，对预算绩效管理认识不到位、理解不充分，对预算绩效管理业务不了解、不熟悉，对工作重点把握不到位。</w:t>
      </w:r>
    </w:p>
    <w:p w14:paraId="4E52F0BD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bCs/>
          <w:sz w:val="28"/>
          <w:szCs w:val="28"/>
        </w:rPr>
        <w:t>、由于经济影响，房地产市场疲软，土地出让收益锐减，保障性住房配套资金很难及时足额到位，影响城镇保障性安居工程的推进。</w:t>
      </w:r>
    </w:p>
    <w:p w14:paraId="1A5F2636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_GB2312"/>
          <w:bCs/>
          <w:sz w:val="28"/>
          <w:szCs w:val="28"/>
        </w:rPr>
        <w:t>、</w:t>
      </w:r>
      <w:r>
        <w:rPr>
          <w:rFonts w:hint="eastAsia" w:ascii="仿宋" w:hAnsi="仿宋" w:eastAsia="仿宋" w:cs="仿宋_GB2312"/>
          <w:bCs/>
          <w:sz w:val="28"/>
          <w:szCs w:val="28"/>
        </w:rPr>
        <w:t>政策难把握，住房保障政策调整较大，下拨资金标准和数额每年都在变化，在具体操作中难以掌控，建议上级财政部门在下拨资金时提出相关资金分配建议</w:t>
      </w:r>
      <w:r>
        <w:rPr>
          <w:rFonts w:ascii="仿宋" w:hAnsi="仿宋" w:eastAsia="仿宋" w:cs="仿宋_GB2312"/>
          <w:bCs/>
          <w:sz w:val="28"/>
          <w:szCs w:val="28"/>
        </w:rPr>
        <w:t>。</w:t>
      </w:r>
    </w:p>
    <w:p w14:paraId="1029FB8E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_GB2312"/>
          <w:bCs/>
          <w:sz w:val="28"/>
          <w:szCs w:val="28"/>
        </w:rPr>
        <w:t>、</w:t>
      </w:r>
      <w:r>
        <w:rPr>
          <w:rFonts w:hint="eastAsia" w:ascii="仿宋" w:hAnsi="仿宋" w:eastAsia="仿宋" w:cs="仿宋_GB2312"/>
          <w:bCs/>
          <w:sz w:val="28"/>
          <w:szCs w:val="28"/>
        </w:rPr>
        <w:t>租金难收缴。少数住户以经济困难为由，拒不缴纳房租，虽然我县采取多种办法改善管理服务，此种现象已大有改观。</w:t>
      </w:r>
    </w:p>
    <w:p w14:paraId="357843E6">
      <w:pPr>
        <w:numPr>
          <w:ilvl w:val="0"/>
          <w:numId w:val="3"/>
        </w:numPr>
        <w:spacing w:line="560" w:lineRule="exact"/>
        <w:ind w:firstLine="560" w:firstLineChars="200"/>
        <w:rPr>
          <w:rFonts w:ascii="黑体" w:eastAsia="黑体" w:cs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 w:cs="黑体"/>
          <w:bCs/>
          <w:sz w:val="28"/>
          <w:szCs w:val="28"/>
        </w:rPr>
        <w:t>下一步改进措施</w:t>
      </w:r>
    </w:p>
    <w:p w14:paraId="3C2A5062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1、逐步扩大绩效管理范围。在绩效目标管理方面，探索实施单位整体支出绩效目标管理，施行整体支出评价。在项目绩效评价方面，逐步增加评价项目数量和项目支出数额占比。</w:t>
      </w:r>
    </w:p>
    <w:p w14:paraId="3C85B592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2、加强评价指标体系建设。一是汇总梳理以前年度制定的指标，将符合当前预算绩效管理要求和行业管理特点的个性指标汇编成库；二是建立指标更新机制，将以后年度新制定的指标及时纳入指标库，做到随时更新、完善。</w:t>
      </w:r>
    </w:p>
    <w:p w14:paraId="6C4C2512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3、积极运用绩效评价结果。建立绩效评价结果的反馈与整改、激励与问责制度，进一步完善绩效评价结果的反馈和运用机制，将绩效结果逐步公布，进一步增强单位的责任感和紧迫感。将评价结果作为安排以后年度预算的重要依据，将一些绩效评价结果不好的项目取消，对执行不力的预算要进行相应削减，切实发挥绩效评价工作的应有作用。</w:t>
      </w:r>
    </w:p>
    <w:p w14:paraId="4A1561E1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4、加强培训和指导。采取集中学习、讲座、专题会议等方式，加大对参与绩效评价的人员培训力度，进一步统一认识，充实业务知识。</w:t>
      </w:r>
    </w:p>
    <w:p w14:paraId="4A8A1FB0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九、部门整体支出绩效自评结果拟应用和公开情况</w:t>
      </w:r>
    </w:p>
    <w:p w14:paraId="6D5DFEBF">
      <w:pPr>
        <w:spacing w:line="560" w:lineRule="exact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bCs/>
          <w:sz w:val="28"/>
          <w:szCs w:val="28"/>
        </w:rPr>
        <w:t xml:space="preserve">  我单位部分整体支出绩效自评报告已在政府门户网站公开。</w:t>
      </w:r>
    </w:p>
    <w:p w14:paraId="165E1814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十、其他需要说明的情况</w:t>
      </w:r>
    </w:p>
    <w:p w14:paraId="3DE1377C">
      <w:pPr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无</w:t>
      </w:r>
    </w:p>
    <w:p w14:paraId="185E9857">
      <w:pPr>
        <w:spacing w:line="560" w:lineRule="exact"/>
        <w:ind w:firstLine="6160" w:firstLineChars="2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2024年5月8日</w:t>
      </w:r>
    </w:p>
    <w:p w14:paraId="72FE5052">
      <w:pPr>
        <w:adjustRightInd w:val="0"/>
        <w:snapToGrid w:val="0"/>
        <w:spacing w:line="200" w:lineRule="exact"/>
        <w:contextualSpacing/>
        <w:rPr>
          <w:rFonts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58E5B"/>
    <w:multiLevelType w:val="singleLevel"/>
    <w:tmpl w:val="A8758E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E2C0BF"/>
    <w:multiLevelType w:val="singleLevel"/>
    <w:tmpl w:val="21E2C0B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04E8C8"/>
    <w:multiLevelType w:val="singleLevel"/>
    <w:tmpl w:val="7204E8C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xNmFhMWZlZTYyM2MxMTRhZjA1ZDY5OTQ2ZjcxMWUifQ=="/>
  </w:docVars>
  <w:rsids>
    <w:rsidRoot w:val="00250400"/>
    <w:rsid w:val="00010C2C"/>
    <w:rsid w:val="000137F5"/>
    <w:rsid w:val="000841DB"/>
    <w:rsid w:val="000A25BC"/>
    <w:rsid w:val="000C0859"/>
    <w:rsid w:val="0022681A"/>
    <w:rsid w:val="00250400"/>
    <w:rsid w:val="00255879"/>
    <w:rsid w:val="00365BBD"/>
    <w:rsid w:val="003A7C4C"/>
    <w:rsid w:val="003C5204"/>
    <w:rsid w:val="004E33B1"/>
    <w:rsid w:val="00500E4F"/>
    <w:rsid w:val="00530332"/>
    <w:rsid w:val="00605266"/>
    <w:rsid w:val="00633909"/>
    <w:rsid w:val="00662B09"/>
    <w:rsid w:val="00721352"/>
    <w:rsid w:val="007E62AB"/>
    <w:rsid w:val="008024A8"/>
    <w:rsid w:val="008124CD"/>
    <w:rsid w:val="008A52DA"/>
    <w:rsid w:val="008E72DB"/>
    <w:rsid w:val="00B32D09"/>
    <w:rsid w:val="00B53CE2"/>
    <w:rsid w:val="00B61FCF"/>
    <w:rsid w:val="00B67434"/>
    <w:rsid w:val="00BD477D"/>
    <w:rsid w:val="00C634ED"/>
    <w:rsid w:val="00C651A3"/>
    <w:rsid w:val="00EA0255"/>
    <w:rsid w:val="00F1310B"/>
    <w:rsid w:val="00F21CB0"/>
    <w:rsid w:val="00F501A8"/>
    <w:rsid w:val="00F546ED"/>
    <w:rsid w:val="00FE73FC"/>
    <w:rsid w:val="01C24098"/>
    <w:rsid w:val="022F36AD"/>
    <w:rsid w:val="090C3711"/>
    <w:rsid w:val="0A2D14EA"/>
    <w:rsid w:val="11F50CB6"/>
    <w:rsid w:val="16695657"/>
    <w:rsid w:val="196F72B0"/>
    <w:rsid w:val="232070E8"/>
    <w:rsid w:val="25BA7C7E"/>
    <w:rsid w:val="2DAB1220"/>
    <w:rsid w:val="3F9B5FD2"/>
    <w:rsid w:val="41272213"/>
    <w:rsid w:val="45F60406"/>
    <w:rsid w:val="46A44EEF"/>
    <w:rsid w:val="47793279"/>
    <w:rsid w:val="4CA47E02"/>
    <w:rsid w:val="4CD34FFD"/>
    <w:rsid w:val="4DAB5F7A"/>
    <w:rsid w:val="4DBC5B34"/>
    <w:rsid w:val="503A3CBF"/>
    <w:rsid w:val="50C636F7"/>
    <w:rsid w:val="51441B43"/>
    <w:rsid w:val="528E3AD7"/>
    <w:rsid w:val="5A4237C2"/>
    <w:rsid w:val="5AC97A40"/>
    <w:rsid w:val="5DB6035C"/>
    <w:rsid w:val="611D1FCC"/>
    <w:rsid w:val="644D7933"/>
    <w:rsid w:val="6ABD556C"/>
    <w:rsid w:val="6C130452"/>
    <w:rsid w:val="70CA6E9E"/>
    <w:rsid w:val="7260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firstLine="560" w:firstLineChars="200"/>
      <w:jc w:val="left"/>
    </w:pPr>
    <w:rPr>
      <w:kern w:val="0"/>
      <w:sz w:val="24"/>
      <w:szCs w:val="21"/>
    </w:rPr>
  </w:style>
  <w:style w:type="character" w:customStyle="1" w:styleId="7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3512</Words>
  <Characters>3658</Characters>
  <Lines>23</Lines>
  <Paragraphs>6</Paragraphs>
  <TotalTime>11</TotalTime>
  <ScaleCrop>false</ScaleCrop>
  <LinksUpToDate>false</LinksUpToDate>
  <CharactersWithSpaces>3663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2024-06-03T00:30:00Z</dcterms:created>
  <dc:creator>微软用户</dc:creator>
  <cp:lastModifiedBy>Administrator</cp:lastModifiedBy>
  <dcterms:modified xsi:type="dcterms:W3CDTF">2024-10-10T07:42:41Z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BE01A2EBCF1140E1956DFBF91955E209_12</vt:lpwstr>
  </property>
</Properties>
</file>